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ED7EF6" w14:textId="77777777" w:rsidR="005C518C" w:rsidRPr="0079154C" w:rsidRDefault="005C518C" w:rsidP="00310A33">
      <w:pPr>
        <w:pStyle w:val="Cmtbank"/>
        <w:spacing w:before="0"/>
      </w:pPr>
      <w:r w:rsidRPr="0079154C">
        <w:t>I. ÖSSZEFOGLALÓ</w:t>
      </w:r>
    </w:p>
    <w:p w14:paraId="4C2C9D93" w14:textId="77777777" w:rsidR="005C518C" w:rsidRPr="00A4053D" w:rsidRDefault="005553B8" w:rsidP="000800EF">
      <w:pPr>
        <w:pStyle w:val="Alcmtbank"/>
      </w:pPr>
      <w:r>
        <w:t>Lassuló növekedés, gyorsuló infláció</w:t>
      </w:r>
      <w:r w:rsidR="00E83D4B">
        <w:t xml:space="preserve"> </w:t>
      </w:r>
    </w:p>
    <w:p w14:paraId="66A5F40E" w14:textId="77777777" w:rsidR="005C518C" w:rsidRPr="00E23806" w:rsidRDefault="005C518C" w:rsidP="00F90BB0">
      <w:pPr>
        <w:spacing w:after="120" w:line="360" w:lineRule="auto"/>
        <w:jc w:val="both"/>
        <w:rPr>
          <w:rFonts w:ascii="Arial" w:hAnsi="Arial" w:cs="Arial"/>
          <w:sz w:val="20"/>
        </w:rPr>
      </w:pPr>
      <w:r>
        <w:rPr>
          <w:rFonts w:ascii="Arial" w:hAnsi="Arial" w:cs="Arial"/>
          <w:b/>
          <w:sz w:val="20"/>
        </w:rPr>
        <w:t xml:space="preserve">A </w:t>
      </w:r>
      <w:r w:rsidR="00DB4EC7">
        <w:rPr>
          <w:rFonts w:ascii="Arial" w:hAnsi="Arial" w:cs="Arial"/>
          <w:b/>
          <w:sz w:val="20"/>
        </w:rPr>
        <w:t xml:space="preserve">vártnál </w:t>
      </w:r>
      <w:r w:rsidR="002E5E99">
        <w:rPr>
          <w:rFonts w:ascii="Arial" w:hAnsi="Arial" w:cs="Arial"/>
          <w:b/>
          <w:sz w:val="20"/>
        </w:rPr>
        <w:t>kedvezőtlenebb</w:t>
      </w:r>
      <w:r w:rsidR="00DB4EC7">
        <w:rPr>
          <w:rFonts w:ascii="Arial" w:hAnsi="Arial" w:cs="Arial"/>
          <w:b/>
          <w:sz w:val="20"/>
        </w:rPr>
        <w:t xml:space="preserve"> </w:t>
      </w:r>
      <w:r w:rsidR="002E5E99">
        <w:rPr>
          <w:rFonts w:ascii="Arial" w:hAnsi="Arial" w:cs="Arial"/>
          <w:b/>
          <w:sz w:val="20"/>
        </w:rPr>
        <w:t>harmadik</w:t>
      </w:r>
      <w:r w:rsidR="00DB4EC7">
        <w:rPr>
          <w:rFonts w:ascii="Arial" w:hAnsi="Arial" w:cs="Arial"/>
          <w:b/>
          <w:sz w:val="20"/>
        </w:rPr>
        <w:t xml:space="preserve"> negyedéves GDP adatok</w:t>
      </w:r>
      <w:r w:rsidR="00196BBA">
        <w:rPr>
          <w:rFonts w:ascii="Arial" w:hAnsi="Arial" w:cs="Arial"/>
          <w:b/>
          <w:sz w:val="20"/>
        </w:rPr>
        <w:t xml:space="preserve">, </w:t>
      </w:r>
      <w:r w:rsidR="00196BBA" w:rsidRPr="00196BBA">
        <w:rPr>
          <w:rFonts w:ascii="Arial" w:hAnsi="Arial" w:cs="Arial"/>
          <w:sz w:val="20"/>
        </w:rPr>
        <w:t>valamint</w:t>
      </w:r>
      <w:r w:rsidR="00196BBA">
        <w:rPr>
          <w:rFonts w:ascii="Arial" w:hAnsi="Arial" w:cs="Arial"/>
          <w:b/>
          <w:sz w:val="20"/>
        </w:rPr>
        <w:t xml:space="preserve"> </w:t>
      </w:r>
      <w:r w:rsidR="00DB4EC7">
        <w:rPr>
          <w:rFonts w:ascii="Arial" w:hAnsi="Arial" w:cs="Arial"/>
          <w:sz w:val="20"/>
        </w:rPr>
        <w:t xml:space="preserve">az </w:t>
      </w:r>
      <w:r w:rsidR="002E5E99">
        <w:rPr>
          <w:rFonts w:ascii="Arial" w:hAnsi="Arial" w:cs="Arial"/>
          <w:sz w:val="20"/>
        </w:rPr>
        <w:t>ipari termelést és a járműgyártást visszafogó akut alkatrész- és félvezetőhiány</w:t>
      </w:r>
      <w:r w:rsidRPr="00196BBA">
        <w:rPr>
          <w:rFonts w:ascii="Arial" w:hAnsi="Arial" w:cs="Arial"/>
          <w:sz w:val="20"/>
        </w:rPr>
        <w:t xml:space="preserve"> miatt a</w:t>
      </w:r>
      <w:r>
        <w:rPr>
          <w:rFonts w:ascii="Arial" w:hAnsi="Arial" w:cs="Arial"/>
          <w:b/>
          <w:sz w:val="20"/>
        </w:rPr>
        <w:t xml:space="preserve"> GDP</w:t>
      </w:r>
      <w:r w:rsidRPr="00703845">
        <w:rPr>
          <w:rFonts w:ascii="Arial" w:hAnsi="Arial" w:cs="Arial"/>
          <w:b/>
          <w:sz w:val="20"/>
        </w:rPr>
        <w:t xml:space="preserve"> </w:t>
      </w:r>
      <w:r w:rsidR="002E5E99">
        <w:rPr>
          <w:rFonts w:ascii="Arial" w:hAnsi="Arial" w:cs="Arial"/>
          <w:b/>
          <w:sz w:val="20"/>
        </w:rPr>
        <w:t>2021.</w:t>
      </w:r>
      <w:r w:rsidR="00DB4EC7">
        <w:rPr>
          <w:rFonts w:ascii="Arial" w:hAnsi="Arial" w:cs="Arial"/>
          <w:b/>
          <w:sz w:val="20"/>
        </w:rPr>
        <w:t xml:space="preserve"> évi növekedési prognózisunkat</w:t>
      </w:r>
      <w:r w:rsidRPr="00703845">
        <w:rPr>
          <w:rFonts w:ascii="Arial" w:hAnsi="Arial" w:cs="Arial"/>
          <w:b/>
          <w:sz w:val="20"/>
        </w:rPr>
        <w:t xml:space="preserve"> </w:t>
      </w:r>
      <w:r w:rsidR="002E5E99">
        <w:rPr>
          <w:rFonts w:ascii="Arial" w:hAnsi="Arial" w:cs="Arial"/>
          <w:b/>
          <w:sz w:val="20"/>
        </w:rPr>
        <w:t>6,9</w:t>
      </w:r>
      <w:r w:rsidRPr="00703845">
        <w:rPr>
          <w:rFonts w:ascii="Arial" w:hAnsi="Arial" w:cs="Arial"/>
          <w:b/>
          <w:sz w:val="20"/>
        </w:rPr>
        <w:t>%-</w:t>
      </w:r>
      <w:proofErr w:type="spellStart"/>
      <w:r w:rsidRPr="00703845">
        <w:rPr>
          <w:rFonts w:ascii="Arial" w:hAnsi="Arial" w:cs="Arial"/>
          <w:b/>
          <w:sz w:val="20"/>
        </w:rPr>
        <w:t>ra</w:t>
      </w:r>
      <w:proofErr w:type="spellEnd"/>
      <w:r w:rsidRPr="00703845">
        <w:rPr>
          <w:rFonts w:ascii="Arial" w:hAnsi="Arial" w:cs="Arial"/>
          <w:b/>
          <w:sz w:val="20"/>
        </w:rPr>
        <w:t xml:space="preserve"> </w:t>
      </w:r>
      <w:r w:rsidR="002E5E99">
        <w:rPr>
          <w:rFonts w:ascii="Arial" w:hAnsi="Arial" w:cs="Arial"/>
          <w:b/>
          <w:sz w:val="20"/>
        </w:rPr>
        <w:t>csökkentettük</w:t>
      </w:r>
      <w:r w:rsidRPr="00703845">
        <w:rPr>
          <w:rFonts w:ascii="Arial" w:hAnsi="Arial" w:cs="Arial"/>
          <w:sz w:val="20"/>
        </w:rPr>
        <w:t xml:space="preserve"> a korábbi </w:t>
      </w:r>
      <w:r w:rsidR="002E5E99">
        <w:rPr>
          <w:rFonts w:ascii="Arial" w:hAnsi="Arial" w:cs="Arial"/>
          <w:sz w:val="20"/>
        </w:rPr>
        <w:t>8</w:t>
      </w:r>
      <w:r w:rsidRPr="00703845">
        <w:rPr>
          <w:rFonts w:ascii="Arial" w:hAnsi="Arial" w:cs="Arial"/>
          <w:sz w:val="20"/>
        </w:rPr>
        <w:t>%-os várakozásunkról</w:t>
      </w:r>
      <w:r w:rsidR="00AD6889">
        <w:rPr>
          <w:rFonts w:ascii="Arial" w:hAnsi="Arial" w:cs="Arial"/>
          <w:sz w:val="20"/>
        </w:rPr>
        <w:t xml:space="preserve">, </w:t>
      </w:r>
      <w:r w:rsidR="002E5E99" w:rsidRPr="00F87412">
        <w:rPr>
          <w:rFonts w:ascii="Arial" w:hAnsi="Arial" w:cs="Arial"/>
          <w:b/>
          <w:sz w:val="20"/>
        </w:rPr>
        <w:t>az</w:t>
      </w:r>
      <w:r w:rsidR="00AD6889" w:rsidRPr="00F87412">
        <w:rPr>
          <w:rFonts w:ascii="Arial" w:hAnsi="Arial" w:cs="Arial"/>
          <w:b/>
          <w:sz w:val="20"/>
        </w:rPr>
        <w:t xml:space="preserve"> </w:t>
      </w:r>
      <w:r w:rsidR="002E5E99" w:rsidRPr="00F87412">
        <w:rPr>
          <w:rFonts w:ascii="Arial" w:hAnsi="Arial" w:cs="Arial"/>
          <w:b/>
          <w:sz w:val="20"/>
        </w:rPr>
        <w:t xml:space="preserve">idei </w:t>
      </w:r>
      <w:r w:rsidR="00AD6889" w:rsidRPr="00F87412">
        <w:rPr>
          <w:rFonts w:ascii="Arial" w:hAnsi="Arial" w:cs="Arial"/>
          <w:b/>
          <w:sz w:val="20"/>
        </w:rPr>
        <w:t>évi növekedési előrejelzésünket</w:t>
      </w:r>
      <w:r w:rsidR="002E5E99" w:rsidRPr="00F87412">
        <w:rPr>
          <w:rFonts w:ascii="Arial" w:hAnsi="Arial" w:cs="Arial"/>
          <w:b/>
          <w:sz w:val="20"/>
        </w:rPr>
        <w:t xml:space="preserve"> pedig 6%-</w:t>
      </w:r>
      <w:proofErr w:type="spellStart"/>
      <w:r w:rsidR="002E5E99" w:rsidRPr="00F87412">
        <w:rPr>
          <w:rFonts w:ascii="Arial" w:hAnsi="Arial" w:cs="Arial"/>
          <w:b/>
          <w:sz w:val="20"/>
        </w:rPr>
        <w:t>ra</w:t>
      </w:r>
      <w:proofErr w:type="spellEnd"/>
      <w:r w:rsidR="002E5E99" w:rsidRPr="00F87412">
        <w:rPr>
          <w:rFonts w:ascii="Arial" w:hAnsi="Arial" w:cs="Arial"/>
          <w:b/>
          <w:sz w:val="20"/>
        </w:rPr>
        <w:t xml:space="preserve"> a korábbi</w:t>
      </w:r>
      <w:r w:rsidR="00AD6889">
        <w:rPr>
          <w:rFonts w:ascii="Arial" w:hAnsi="Arial" w:cs="Arial"/>
          <w:sz w:val="20"/>
        </w:rPr>
        <w:t xml:space="preserve"> </w:t>
      </w:r>
      <w:r w:rsidR="002E5E99">
        <w:rPr>
          <w:rFonts w:ascii="Arial" w:hAnsi="Arial" w:cs="Arial"/>
          <w:b/>
          <w:sz w:val="20"/>
        </w:rPr>
        <w:t>7%-</w:t>
      </w:r>
      <w:proofErr w:type="spellStart"/>
      <w:r w:rsidR="002E5E99">
        <w:rPr>
          <w:rFonts w:ascii="Arial" w:hAnsi="Arial" w:cs="Arial"/>
          <w:b/>
          <w:sz w:val="20"/>
        </w:rPr>
        <w:t>ról</w:t>
      </w:r>
      <w:proofErr w:type="spellEnd"/>
      <w:r w:rsidRPr="00703845">
        <w:rPr>
          <w:rFonts w:ascii="Arial" w:hAnsi="Arial" w:cs="Arial"/>
          <w:sz w:val="20"/>
        </w:rPr>
        <w:t>.</w:t>
      </w:r>
      <w:r w:rsidR="00031BFB">
        <w:rPr>
          <w:rFonts w:ascii="Arial" w:hAnsi="Arial" w:cs="Arial"/>
          <w:sz w:val="20"/>
        </w:rPr>
        <w:t xml:space="preserve"> </w:t>
      </w:r>
      <w:r w:rsidR="00015A5E" w:rsidRPr="00FE7C6B">
        <w:rPr>
          <w:rFonts w:ascii="Arial" w:hAnsi="Arial" w:cs="Arial"/>
          <w:b/>
          <w:sz w:val="20"/>
        </w:rPr>
        <w:t xml:space="preserve">A járvány előtti szintet </w:t>
      </w:r>
      <w:r w:rsidR="00C84E2F">
        <w:rPr>
          <w:rFonts w:ascii="Arial" w:hAnsi="Arial" w:cs="Arial"/>
          <w:b/>
          <w:sz w:val="20"/>
        </w:rPr>
        <w:t>a GDP mintegy 0,7 százalékponttal meghaladta</w:t>
      </w:r>
      <w:r w:rsidR="005B55EB">
        <w:rPr>
          <w:rFonts w:ascii="Arial" w:hAnsi="Arial" w:cs="Arial"/>
          <w:b/>
          <w:sz w:val="20"/>
        </w:rPr>
        <w:t xml:space="preserve"> a </w:t>
      </w:r>
      <w:r w:rsidR="00C84E2F">
        <w:rPr>
          <w:rFonts w:ascii="Arial" w:hAnsi="Arial" w:cs="Arial"/>
          <w:b/>
          <w:sz w:val="20"/>
        </w:rPr>
        <w:t>harmadik</w:t>
      </w:r>
      <w:r w:rsidR="00DB4EC7" w:rsidRPr="00FE7C6B">
        <w:rPr>
          <w:rFonts w:ascii="Arial" w:hAnsi="Arial" w:cs="Arial"/>
          <w:b/>
          <w:sz w:val="20"/>
        </w:rPr>
        <w:t xml:space="preserve"> </w:t>
      </w:r>
      <w:r w:rsidR="00015A5E" w:rsidRPr="00FE7C6B">
        <w:rPr>
          <w:rFonts w:ascii="Arial" w:hAnsi="Arial" w:cs="Arial"/>
          <w:b/>
          <w:sz w:val="20"/>
        </w:rPr>
        <w:t>negyedévben</w:t>
      </w:r>
      <w:r w:rsidR="00015A5E">
        <w:rPr>
          <w:rFonts w:ascii="Arial" w:hAnsi="Arial" w:cs="Arial"/>
          <w:sz w:val="20"/>
        </w:rPr>
        <w:t>,</w:t>
      </w:r>
      <w:r w:rsidR="00FE7C6B" w:rsidRPr="00FE7C6B">
        <w:rPr>
          <w:rFonts w:ascii="Arial" w:hAnsi="Arial" w:cs="Arial"/>
          <w:sz w:val="20"/>
        </w:rPr>
        <w:t xml:space="preserve"> </w:t>
      </w:r>
      <w:r w:rsidR="00FE7C6B">
        <w:rPr>
          <w:rFonts w:ascii="Arial" w:hAnsi="Arial" w:cs="Arial"/>
          <w:sz w:val="20"/>
        </w:rPr>
        <w:t xml:space="preserve">azonban egyes ágazatok, mint az ipar, építőipar, </w:t>
      </w:r>
      <w:proofErr w:type="spellStart"/>
      <w:r w:rsidR="00FE7C6B">
        <w:rPr>
          <w:rFonts w:ascii="Arial" w:hAnsi="Arial" w:cs="Arial"/>
          <w:sz w:val="20"/>
        </w:rPr>
        <w:t>infokommunikáció</w:t>
      </w:r>
      <w:proofErr w:type="spellEnd"/>
      <w:r w:rsidR="00FE7C6B">
        <w:rPr>
          <w:rFonts w:ascii="Arial" w:hAnsi="Arial" w:cs="Arial"/>
          <w:sz w:val="20"/>
        </w:rPr>
        <w:t xml:space="preserve">, </w:t>
      </w:r>
      <w:r w:rsidR="00E879B4">
        <w:rPr>
          <w:rFonts w:ascii="Arial" w:hAnsi="Arial" w:cs="Arial"/>
          <w:sz w:val="20"/>
        </w:rPr>
        <w:t xml:space="preserve">pénzügyi és ingatlanpiaci szolgáltatási szektorok </w:t>
      </w:r>
      <w:r w:rsidR="00FE7C6B">
        <w:rPr>
          <w:rFonts w:ascii="Arial" w:hAnsi="Arial" w:cs="Arial"/>
          <w:sz w:val="20"/>
        </w:rPr>
        <w:t xml:space="preserve">már </w:t>
      </w:r>
      <w:r w:rsidR="00F8113C">
        <w:rPr>
          <w:rFonts w:ascii="Arial" w:hAnsi="Arial" w:cs="Arial"/>
          <w:sz w:val="20"/>
        </w:rPr>
        <w:t>meghala</w:t>
      </w:r>
      <w:r w:rsidR="005B55EB">
        <w:rPr>
          <w:rFonts w:ascii="Arial" w:hAnsi="Arial" w:cs="Arial"/>
          <w:sz w:val="20"/>
        </w:rPr>
        <w:t>d</w:t>
      </w:r>
      <w:r w:rsidR="00F8113C">
        <w:rPr>
          <w:rFonts w:ascii="Arial" w:hAnsi="Arial" w:cs="Arial"/>
          <w:sz w:val="20"/>
        </w:rPr>
        <w:t>ják</w:t>
      </w:r>
      <w:r w:rsidR="00FE7C6B">
        <w:rPr>
          <w:rFonts w:ascii="Arial" w:hAnsi="Arial" w:cs="Arial"/>
          <w:sz w:val="20"/>
        </w:rPr>
        <w:t xml:space="preserve">, míg más ágazatok </w:t>
      </w:r>
      <w:r w:rsidR="00176A6A">
        <w:rPr>
          <w:rFonts w:ascii="Arial" w:hAnsi="Arial" w:cs="Arial"/>
          <w:sz w:val="20"/>
        </w:rPr>
        <w:t xml:space="preserve">helyreállása </w:t>
      </w:r>
      <w:r w:rsidR="00E879B4">
        <w:rPr>
          <w:rFonts w:ascii="Arial" w:hAnsi="Arial" w:cs="Arial"/>
          <w:sz w:val="20"/>
        </w:rPr>
        <w:t>idén</w:t>
      </w:r>
      <w:r w:rsidR="00031BFB">
        <w:rPr>
          <w:rFonts w:ascii="Arial" w:hAnsi="Arial" w:cs="Arial"/>
          <w:sz w:val="20"/>
        </w:rPr>
        <w:t xml:space="preserve"> fol</w:t>
      </w:r>
      <w:r w:rsidR="002B507C">
        <w:rPr>
          <w:rFonts w:ascii="Arial" w:hAnsi="Arial" w:cs="Arial"/>
          <w:sz w:val="20"/>
        </w:rPr>
        <w:t>ytatódhat</w:t>
      </w:r>
      <w:r w:rsidR="00AD6889">
        <w:rPr>
          <w:rFonts w:ascii="Arial" w:hAnsi="Arial" w:cs="Arial"/>
          <w:sz w:val="20"/>
        </w:rPr>
        <w:t>.</w:t>
      </w:r>
      <w:r w:rsidR="00CD333B" w:rsidRPr="00CD333B">
        <w:t xml:space="preserve"> </w:t>
      </w:r>
      <w:r w:rsidR="00CD333B" w:rsidRPr="00CD333B">
        <w:rPr>
          <w:rFonts w:ascii="Arial" w:hAnsi="Arial" w:cs="Arial"/>
          <w:sz w:val="20"/>
        </w:rPr>
        <w:t xml:space="preserve">A következő negyedévekben az ipari termelés várható stabilizálódása, új kapacitások üzembe helyezése mellett a </w:t>
      </w:r>
      <w:r w:rsidR="00CD333B" w:rsidRPr="0078742E">
        <w:rPr>
          <w:rFonts w:ascii="Arial" w:hAnsi="Arial" w:cs="Arial"/>
          <w:b/>
          <w:sz w:val="20"/>
        </w:rPr>
        <w:t>fogyasztás adhat lendületet</w:t>
      </w:r>
      <w:r w:rsidR="00CD333B" w:rsidRPr="00CD333B">
        <w:rPr>
          <w:rFonts w:ascii="Arial" w:hAnsi="Arial" w:cs="Arial"/>
          <w:sz w:val="20"/>
        </w:rPr>
        <w:t xml:space="preserve"> a növekedésnek. A lakosság mintegy </w:t>
      </w:r>
      <w:r w:rsidR="00CD333B" w:rsidRPr="0078742E">
        <w:rPr>
          <w:rFonts w:ascii="Arial" w:hAnsi="Arial" w:cs="Arial"/>
          <w:b/>
          <w:sz w:val="20"/>
        </w:rPr>
        <w:t>1200 milliárd forint többletjövedelemben</w:t>
      </w:r>
      <w:r w:rsidR="00CD333B" w:rsidRPr="00CD333B">
        <w:rPr>
          <w:rFonts w:ascii="Arial" w:hAnsi="Arial" w:cs="Arial"/>
          <w:sz w:val="20"/>
        </w:rPr>
        <w:t xml:space="preserve"> részesül. A negyedik negyedévben már megjelenhet a </w:t>
      </w:r>
      <w:r w:rsidR="00CD333B" w:rsidRPr="0078742E">
        <w:rPr>
          <w:rFonts w:ascii="Arial" w:hAnsi="Arial" w:cs="Arial"/>
          <w:b/>
          <w:sz w:val="20"/>
        </w:rPr>
        <w:t>nyugdíjprémium</w:t>
      </w:r>
      <w:r w:rsidR="00CD333B" w:rsidRPr="00CD333B">
        <w:rPr>
          <w:rFonts w:ascii="Arial" w:hAnsi="Arial" w:cs="Arial"/>
          <w:sz w:val="20"/>
        </w:rPr>
        <w:t xml:space="preserve"> hatása, míg a következő év első negyedévétől az </w:t>
      </w:r>
      <w:r w:rsidR="00CD333B" w:rsidRPr="0078742E">
        <w:rPr>
          <w:rFonts w:ascii="Arial" w:hAnsi="Arial" w:cs="Arial"/>
          <w:b/>
          <w:sz w:val="20"/>
        </w:rPr>
        <w:t>szja visszatérítés, a 13. havi nyugdíj, a katonák és rendőrök fegyverpénze, a 25 év alatti foglalkoztatottak szja mentessége, a minimálbér és a bérminimum közel 20%-os emelése, 20%-os béremelés számos költségvetési ágazatban</w:t>
      </w:r>
      <w:r w:rsidR="00CD333B" w:rsidRPr="00CD333B">
        <w:rPr>
          <w:rFonts w:ascii="Arial" w:hAnsi="Arial" w:cs="Arial"/>
          <w:sz w:val="20"/>
        </w:rPr>
        <w:t xml:space="preserve"> (egészségügyi, szociális, kulturális, bölcsődei dolgozók). A növekedést ugyanakkor lassíthatja a járvány </w:t>
      </w:r>
      <w:r w:rsidR="00323141">
        <w:rPr>
          <w:rFonts w:ascii="Arial" w:hAnsi="Arial" w:cs="Arial"/>
          <w:sz w:val="20"/>
        </w:rPr>
        <w:t>újabb hullámai</w:t>
      </w:r>
      <w:r w:rsidR="00CD333B" w:rsidRPr="00CD333B">
        <w:rPr>
          <w:rFonts w:ascii="Arial" w:hAnsi="Arial" w:cs="Arial"/>
          <w:sz w:val="20"/>
        </w:rPr>
        <w:t xml:space="preserve">nak felfutása, a meglóduló infláció, esetleges leállások az energiaárak robbanása által érintett egyes szektorokban. </w:t>
      </w:r>
      <w:r w:rsidR="00031BFB">
        <w:rPr>
          <w:rFonts w:ascii="Arial" w:hAnsi="Arial" w:cs="Arial"/>
          <w:sz w:val="20"/>
        </w:rPr>
        <w:t xml:space="preserve"> </w:t>
      </w:r>
      <w:r w:rsidR="00015A5E" w:rsidRPr="00015A5E">
        <w:rPr>
          <w:rFonts w:ascii="Arial" w:hAnsi="Arial" w:cs="Arial"/>
          <w:sz w:val="20"/>
        </w:rPr>
        <w:t xml:space="preserve">A </w:t>
      </w:r>
      <w:r w:rsidR="00E879B4">
        <w:rPr>
          <w:rFonts w:ascii="Arial" w:hAnsi="Arial" w:cs="Arial"/>
          <w:sz w:val="20"/>
        </w:rPr>
        <w:t xml:space="preserve">tavalyi </w:t>
      </w:r>
      <w:r w:rsidR="00015A5E" w:rsidRPr="00015A5E">
        <w:rPr>
          <w:rFonts w:ascii="Arial" w:hAnsi="Arial" w:cs="Arial"/>
          <w:sz w:val="20"/>
        </w:rPr>
        <w:t>második félévben már újra</w:t>
      </w:r>
      <w:r w:rsidR="00E879B4">
        <w:rPr>
          <w:rFonts w:ascii="Arial" w:hAnsi="Arial" w:cs="Arial"/>
          <w:sz w:val="20"/>
        </w:rPr>
        <w:t xml:space="preserve"> fellépett</w:t>
      </w:r>
      <w:r w:rsidR="00015A5E" w:rsidRPr="00015A5E">
        <w:rPr>
          <w:rFonts w:ascii="Arial" w:hAnsi="Arial" w:cs="Arial"/>
          <w:sz w:val="20"/>
        </w:rPr>
        <w:t xml:space="preserve"> </w:t>
      </w:r>
      <w:r w:rsidR="00015A5E" w:rsidRPr="00E12C8E">
        <w:rPr>
          <w:rFonts w:ascii="Arial" w:hAnsi="Arial" w:cs="Arial"/>
          <w:b/>
          <w:sz w:val="20"/>
        </w:rPr>
        <w:t>munkaerőhiány</w:t>
      </w:r>
      <w:r w:rsidR="00015A5E" w:rsidRPr="00015A5E">
        <w:rPr>
          <w:rFonts w:ascii="Arial" w:hAnsi="Arial" w:cs="Arial"/>
          <w:sz w:val="20"/>
        </w:rPr>
        <w:t xml:space="preserve">, ami gyorsíthatja a bérnövekedést. </w:t>
      </w:r>
      <w:r w:rsidR="00F87412" w:rsidRPr="00F87412">
        <w:rPr>
          <w:rFonts w:ascii="Arial" w:hAnsi="Arial" w:cs="Arial"/>
          <w:b/>
          <w:sz w:val="20"/>
        </w:rPr>
        <w:t>Tavaly át</w:t>
      </w:r>
      <w:r w:rsidR="00E879B4" w:rsidRPr="00F87412">
        <w:rPr>
          <w:rFonts w:ascii="Arial" w:hAnsi="Arial" w:cs="Arial"/>
          <w:b/>
          <w:sz w:val="20"/>
        </w:rPr>
        <w:t>l</w:t>
      </w:r>
      <w:r w:rsidR="00F87412" w:rsidRPr="00F87412">
        <w:rPr>
          <w:rFonts w:ascii="Arial" w:hAnsi="Arial" w:cs="Arial"/>
          <w:b/>
          <w:sz w:val="20"/>
        </w:rPr>
        <w:t>a</w:t>
      </w:r>
      <w:r w:rsidR="00E879B4" w:rsidRPr="00F87412">
        <w:rPr>
          <w:rFonts w:ascii="Arial" w:hAnsi="Arial" w:cs="Arial"/>
          <w:b/>
          <w:sz w:val="20"/>
        </w:rPr>
        <w:t>gosan</w:t>
      </w:r>
      <w:r w:rsidR="00015A5E" w:rsidRPr="00F87412">
        <w:rPr>
          <w:rFonts w:ascii="Arial" w:hAnsi="Arial" w:cs="Arial"/>
          <w:b/>
          <w:sz w:val="20"/>
        </w:rPr>
        <w:t xml:space="preserve"> </w:t>
      </w:r>
      <w:r w:rsidR="00E879B4" w:rsidRPr="00F87412">
        <w:rPr>
          <w:rFonts w:ascii="Arial" w:hAnsi="Arial" w:cs="Arial"/>
          <w:b/>
          <w:sz w:val="20"/>
        </w:rPr>
        <w:t>5,1 százalék</w:t>
      </w:r>
      <w:r w:rsidR="00015A5E" w:rsidRPr="00F87412">
        <w:rPr>
          <w:rFonts w:ascii="Arial" w:hAnsi="Arial" w:cs="Arial"/>
          <w:b/>
          <w:sz w:val="20"/>
        </w:rPr>
        <w:t xml:space="preserve"> </w:t>
      </w:r>
      <w:r w:rsidR="00E879B4" w:rsidRPr="00F87412">
        <w:rPr>
          <w:rFonts w:ascii="Arial" w:hAnsi="Arial" w:cs="Arial"/>
          <w:b/>
          <w:sz w:val="20"/>
        </w:rPr>
        <w:t>lehetett az infláció, ami idén 5</w:t>
      </w:r>
      <w:r w:rsidR="00344847">
        <w:rPr>
          <w:rFonts w:ascii="Arial" w:hAnsi="Arial" w:cs="Arial"/>
          <w:b/>
          <w:sz w:val="20"/>
        </w:rPr>
        <w:t>,5</w:t>
      </w:r>
      <w:r w:rsidR="00E879B4" w:rsidRPr="00F87412">
        <w:rPr>
          <w:rFonts w:ascii="Arial" w:hAnsi="Arial" w:cs="Arial"/>
          <w:b/>
          <w:sz w:val="20"/>
        </w:rPr>
        <w:t>%-</w:t>
      </w:r>
      <w:proofErr w:type="spellStart"/>
      <w:r w:rsidR="00E879B4" w:rsidRPr="00F87412">
        <w:rPr>
          <w:rFonts w:ascii="Arial" w:hAnsi="Arial" w:cs="Arial"/>
          <w:b/>
          <w:sz w:val="20"/>
        </w:rPr>
        <w:t>ra</w:t>
      </w:r>
      <w:proofErr w:type="spellEnd"/>
      <w:r w:rsidR="00E879B4" w:rsidRPr="00F87412">
        <w:rPr>
          <w:rFonts w:ascii="Arial" w:hAnsi="Arial" w:cs="Arial"/>
          <w:b/>
          <w:sz w:val="20"/>
        </w:rPr>
        <w:t xml:space="preserve"> </w:t>
      </w:r>
      <w:r w:rsidR="00344847">
        <w:rPr>
          <w:rFonts w:ascii="Arial" w:hAnsi="Arial" w:cs="Arial"/>
          <w:b/>
          <w:sz w:val="20"/>
        </w:rPr>
        <w:t>gyorsulhat</w:t>
      </w:r>
      <w:r w:rsidR="0054106A" w:rsidRPr="00F87412">
        <w:rPr>
          <w:rFonts w:ascii="Arial" w:hAnsi="Arial" w:cs="Arial"/>
          <w:b/>
          <w:sz w:val="20"/>
        </w:rPr>
        <w:t>,</w:t>
      </w:r>
      <w:r w:rsidR="0054106A">
        <w:rPr>
          <w:rFonts w:ascii="Arial" w:hAnsi="Arial" w:cs="Arial"/>
          <w:sz w:val="20"/>
        </w:rPr>
        <w:t xml:space="preserve"> </w:t>
      </w:r>
      <w:r w:rsidR="00E879B4">
        <w:rPr>
          <w:rFonts w:ascii="Arial" w:hAnsi="Arial" w:cs="Arial"/>
          <w:sz w:val="20"/>
        </w:rPr>
        <w:t>az energia-,</w:t>
      </w:r>
      <w:r w:rsidR="0054106A">
        <w:rPr>
          <w:rFonts w:ascii="Arial" w:hAnsi="Arial" w:cs="Arial"/>
          <w:sz w:val="20"/>
        </w:rPr>
        <w:t xml:space="preserve"> a nyersanyag-, és agrárárak meredek emelkedése, </w:t>
      </w:r>
      <w:r w:rsidR="00E879B4">
        <w:rPr>
          <w:rFonts w:ascii="Arial" w:hAnsi="Arial" w:cs="Arial"/>
          <w:sz w:val="20"/>
        </w:rPr>
        <w:t xml:space="preserve">valamint az erőteljes bérkiáramlás </w:t>
      </w:r>
      <w:r w:rsidR="00E879B4" w:rsidRPr="00F87412">
        <w:rPr>
          <w:rFonts w:ascii="Arial" w:hAnsi="Arial" w:cs="Arial"/>
          <w:b/>
          <w:sz w:val="20"/>
        </w:rPr>
        <w:t>jelentős felfelé mutató kockázatot</w:t>
      </w:r>
      <w:r w:rsidR="00E879B4">
        <w:rPr>
          <w:rFonts w:ascii="Arial" w:hAnsi="Arial" w:cs="Arial"/>
          <w:sz w:val="20"/>
        </w:rPr>
        <w:t xml:space="preserve"> jelent</w:t>
      </w:r>
      <w:r w:rsidR="00015A5E" w:rsidRPr="00015A5E">
        <w:rPr>
          <w:rFonts w:ascii="Arial" w:hAnsi="Arial" w:cs="Arial"/>
          <w:sz w:val="20"/>
        </w:rPr>
        <w:t>. A</w:t>
      </w:r>
      <w:r w:rsidR="00950A8E">
        <w:rPr>
          <w:rFonts w:ascii="Arial" w:hAnsi="Arial" w:cs="Arial"/>
          <w:sz w:val="20"/>
        </w:rPr>
        <w:t xml:space="preserve">z MNB </w:t>
      </w:r>
      <w:r w:rsidR="00481E69">
        <w:rPr>
          <w:rFonts w:ascii="Arial" w:hAnsi="Arial" w:cs="Arial"/>
          <w:sz w:val="20"/>
        </w:rPr>
        <w:t>fokozatos</w:t>
      </w:r>
      <w:r w:rsidR="00E879B4">
        <w:rPr>
          <w:rFonts w:ascii="Arial" w:hAnsi="Arial" w:cs="Arial"/>
          <w:sz w:val="20"/>
        </w:rPr>
        <w:t xml:space="preserve"> további</w:t>
      </w:r>
      <w:r w:rsidR="00950A8E">
        <w:rPr>
          <w:rFonts w:ascii="Arial" w:hAnsi="Arial" w:cs="Arial"/>
          <w:sz w:val="20"/>
        </w:rPr>
        <w:t xml:space="preserve"> szigorítása és a </w:t>
      </w:r>
      <w:r w:rsidR="00B879D2">
        <w:rPr>
          <w:rFonts w:ascii="Arial" w:hAnsi="Arial" w:cs="Arial"/>
          <w:sz w:val="20"/>
        </w:rPr>
        <w:t xml:space="preserve">hazai gazdaság </w:t>
      </w:r>
      <w:r w:rsidR="00950A8E">
        <w:rPr>
          <w:rFonts w:ascii="Arial" w:hAnsi="Arial" w:cs="Arial"/>
          <w:sz w:val="20"/>
        </w:rPr>
        <w:t xml:space="preserve">vártnál gyorsabb kilábalás hatására </w:t>
      </w:r>
      <w:r w:rsidR="00E879B4">
        <w:rPr>
          <w:rFonts w:ascii="Arial" w:hAnsi="Arial" w:cs="Arial"/>
          <w:b/>
          <w:sz w:val="20"/>
        </w:rPr>
        <w:t>a forint</w:t>
      </w:r>
      <w:r w:rsidR="00950A8E">
        <w:rPr>
          <w:rFonts w:ascii="Arial" w:hAnsi="Arial" w:cs="Arial"/>
          <w:sz w:val="20"/>
        </w:rPr>
        <w:t xml:space="preserve"> </w:t>
      </w:r>
      <w:r w:rsidR="00950A8E" w:rsidRPr="00F87412">
        <w:rPr>
          <w:rFonts w:ascii="Arial" w:hAnsi="Arial" w:cs="Arial"/>
          <w:b/>
          <w:sz w:val="20"/>
        </w:rPr>
        <w:t>kismértékben erősödhet</w:t>
      </w:r>
      <w:r w:rsidR="00E879B4">
        <w:rPr>
          <w:rFonts w:ascii="Arial" w:hAnsi="Arial" w:cs="Arial"/>
          <w:sz w:val="20"/>
        </w:rPr>
        <w:t xml:space="preserve"> az előző évek leértékelődését követően</w:t>
      </w:r>
      <w:r w:rsidR="00015A5E" w:rsidRPr="00015A5E">
        <w:rPr>
          <w:rFonts w:ascii="Arial" w:hAnsi="Arial" w:cs="Arial"/>
          <w:sz w:val="20"/>
        </w:rPr>
        <w:t>.</w:t>
      </w:r>
      <w:r w:rsidRPr="00703845">
        <w:rPr>
          <w:rFonts w:ascii="Arial" w:hAnsi="Arial" w:cs="Arial"/>
          <w:sz w:val="20"/>
        </w:rPr>
        <w:t xml:space="preserve"> </w:t>
      </w:r>
      <w:r w:rsidR="00031BFB">
        <w:rPr>
          <w:rFonts w:ascii="Arial" w:hAnsi="Arial" w:cs="Arial"/>
          <w:sz w:val="20"/>
        </w:rPr>
        <w:t xml:space="preserve"> </w:t>
      </w:r>
      <w:r w:rsidRPr="00E23806">
        <w:rPr>
          <w:rFonts w:ascii="Arial" w:hAnsi="Arial" w:cs="Arial"/>
          <w:sz w:val="20"/>
        </w:rPr>
        <w:t xml:space="preserve">  </w:t>
      </w:r>
    </w:p>
    <w:p w14:paraId="0790AD42" w14:textId="77777777" w:rsidR="00180748" w:rsidRDefault="00AF5DE1" w:rsidP="00F90BB0">
      <w:pPr>
        <w:spacing w:after="120" w:line="360" w:lineRule="auto"/>
        <w:jc w:val="both"/>
      </w:pPr>
      <w:r w:rsidRPr="00AF5DE1">
        <w:rPr>
          <w:rFonts w:ascii="Arial" w:hAnsi="Arial" w:cs="Arial"/>
          <w:sz w:val="20"/>
        </w:rPr>
        <w:t xml:space="preserve">A világgazdaság kilábalási folyamatát valamelyest lefékezte a </w:t>
      </w:r>
      <w:r w:rsidRPr="00AF5DE1">
        <w:rPr>
          <w:rFonts w:ascii="Arial" w:hAnsi="Arial" w:cs="Arial"/>
          <w:b/>
          <w:sz w:val="20"/>
        </w:rPr>
        <w:t>járvány negyedik</w:t>
      </w:r>
      <w:r w:rsidRPr="00AF5DE1">
        <w:rPr>
          <w:rFonts w:ascii="Arial" w:hAnsi="Arial" w:cs="Arial"/>
          <w:sz w:val="20"/>
        </w:rPr>
        <w:t xml:space="preserve">, egyes országokban pedig ötödik hulláma, valamint a továbbra is </w:t>
      </w:r>
      <w:r w:rsidRPr="00AF5DE1">
        <w:rPr>
          <w:rFonts w:ascii="Arial" w:hAnsi="Arial" w:cs="Arial"/>
          <w:b/>
          <w:sz w:val="20"/>
        </w:rPr>
        <w:t>akut alkatrész- és félvezetőhiány</w:t>
      </w:r>
      <w:r w:rsidRPr="00AF5DE1">
        <w:rPr>
          <w:rFonts w:ascii="Arial" w:hAnsi="Arial" w:cs="Arial"/>
          <w:sz w:val="20"/>
        </w:rPr>
        <w:t xml:space="preserve"> a negyedik negyedévben. A globális szinten, különösen az európai országokban megjelenő </w:t>
      </w:r>
      <w:r w:rsidRPr="00AF5DE1">
        <w:rPr>
          <w:rFonts w:ascii="Arial" w:hAnsi="Arial" w:cs="Arial"/>
          <w:b/>
          <w:sz w:val="20"/>
        </w:rPr>
        <w:t>energiaválság</w:t>
      </w:r>
      <w:r w:rsidRPr="00AF5DE1">
        <w:rPr>
          <w:rFonts w:ascii="Arial" w:hAnsi="Arial" w:cs="Arial"/>
          <w:sz w:val="20"/>
        </w:rPr>
        <w:t xml:space="preserve"> pedig további nehézségeket ok</w:t>
      </w:r>
      <w:r w:rsidR="00182019">
        <w:rPr>
          <w:rFonts w:ascii="Arial" w:hAnsi="Arial" w:cs="Arial"/>
          <w:sz w:val="20"/>
        </w:rPr>
        <w:t>ozott, amelynek még nem látható</w:t>
      </w:r>
      <w:r w:rsidRPr="00AF5DE1">
        <w:rPr>
          <w:rFonts w:ascii="Arial" w:hAnsi="Arial" w:cs="Arial"/>
          <w:sz w:val="20"/>
        </w:rPr>
        <w:t xml:space="preserve">k előre a következményei. Noha a koronavírus delta-variánsa által okozott negyedik hullám a magas átoltottság miatt már jóval kevesebb súlyos, illetve halálos kimenetelű esettel járt, ami a korábbiakhoz képest enyhébb korlátozásokat tett szükségessé, az omikron-variáns korábbiaknál messze gyorsabb terjedése egyes országokban </w:t>
      </w:r>
      <w:r w:rsidRPr="00F3735A">
        <w:rPr>
          <w:rFonts w:ascii="Arial" w:hAnsi="Arial" w:cs="Arial"/>
          <w:b/>
          <w:sz w:val="20"/>
        </w:rPr>
        <w:t>ismételten szigorúbb korlátozásokhoz</w:t>
      </w:r>
      <w:r w:rsidRPr="00AF5DE1">
        <w:rPr>
          <w:rFonts w:ascii="Arial" w:hAnsi="Arial" w:cs="Arial"/>
          <w:sz w:val="20"/>
        </w:rPr>
        <w:t>, illetve lezárásokhoz vezetett az év vége felé, annak ellenére, hogy a súlyos és halálos kimenetelek száma a korábbiak töredékére esett vissza.</w:t>
      </w:r>
      <w:r w:rsidR="00180748">
        <w:rPr>
          <w:rFonts w:ascii="Arial" w:hAnsi="Arial" w:cs="Arial"/>
          <w:sz w:val="20"/>
        </w:rPr>
        <w:t xml:space="preserve">  </w:t>
      </w:r>
      <w:r w:rsidR="00C56607" w:rsidRPr="00C56607">
        <w:t xml:space="preserve"> </w:t>
      </w:r>
    </w:p>
    <w:p w14:paraId="54536D3B" w14:textId="77777777" w:rsidR="005C518C" w:rsidRDefault="0022388E" w:rsidP="00F90BB0">
      <w:pPr>
        <w:spacing w:after="120" w:line="360" w:lineRule="auto"/>
        <w:jc w:val="both"/>
        <w:rPr>
          <w:rFonts w:ascii="Arial" w:hAnsi="Arial" w:cs="Arial"/>
          <w:sz w:val="20"/>
        </w:rPr>
      </w:pPr>
      <w:r w:rsidRPr="0022388E">
        <w:rPr>
          <w:rFonts w:ascii="Arial" w:hAnsi="Arial" w:cs="Arial"/>
          <w:b/>
          <w:sz w:val="20"/>
        </w:rPr>
        <w:t xml:space="preserve">Az egyes </w:t>
      </w:r>
      <w:proofErr w:type="spellStart"/>
      <w:r w:rsidRPr="0022388E">
        <w:rPr>
          <w:rFonts w:ascii="Arial" w:hAnsi="Arial" w:cs="Arial"/>
          <w:b/>
          <w:sz w:val="20"/>
        </w:rPr>
        <w:t>ágazatokat</w:t>
      </w:r>
      <w:proofErr w:type="spellEnd"/>
      <w:r w:rsidRPr="0022388E">
        <w:rPr>
          <w:rFonts w:ascii="Arial" w:hAnsi="Arial" w:cs="Arial"/>
          <w:b/>
          <w:sz w:val="20"/>
        </w:rPr>
        <w:t xml:space="preserve"> és országokat továbbra is különböző mértékű felpattanás jellemzi</w:t>
      </w:r>
      <w:r w:rsidRPr="0022388E">
        <w:rPr>
          <w:rFonts w:ascii="Arial" w:hAnsi="Arial" w:cs="Arial"/>
          <w:sz w:val="20"/>
        </w:rPr>
        <w:t xml:space="preserve">. Az </w:t>
      </w:r>
      <w:r w:rsidRPr="0022388E">
        <w:rPr>
          <w:rFonts w:ascii="Arial" w:hAnsi="Arial" w:cs="Arial"/>
          <w:b/>
          <w:sz w:val="20"/>
        </w:rPr>
        <w:t>ipari termelés</w:t>
      </w:r>
      <w:r w:rsidRPr="0022388E">
        <w:rPr>
          <w:rFonts w:ascii="Arial" w:hAnsi="Arial" w:cs="Arial"/>
          <w:sz w:val="20"/>
        </w:rPr>
        <w:t xml:space="preserve"> lendületét a gyors helyreállást követően </w:t>
      </w:r>
      <w:r w:rsidRPr="0022388E">
        <w:rPr>
          <w:rFonts w:ascii="Arial" w:hAnsi="Arial" w:cs="Arial"/>
          <w:b/>
          <w:sz w:val="20"/>
        </w:rPr>
        <w:t>az általánossá váló alkatrész- és félvezetőhiány</w:t>
      </w:r>
      <w:r w:rsidRPr="0022388E">
        <w:rPr>
          <w:rFonts w:ascii="Arial" w:hAnsi="Arial" w:cs="Arial"/>
          <w:sz w:val="20"/>
        </w:rPr>
        <w:t xml:space="preserve">, valamint a szállítási kapacitások-korlátok </w:t>
      </w:r>
      <w:r w:rsidRPr="0022388E">
        <w:rPr>
          <w:rFonts w:ascii="Arial" w:hAnsi="Arial" w:cs="Arial"/>
          <w:b/>
          <w:sz w:val="20"/>
        </w:rPr>
        <w:t>törték meg</w:t>
      </w:r>
      <w:r w:rsidRPr="0022388E">
        <w:rPr>
          <w:rFonts w:ascii="Arial" w:hAnsi="Arial" w:cs="Arial"/>
          <w:sz w:val="20"/>
        </w:rPr>
        <w:t xml:space="preserve">, noha a kilátások továbbra is kedvezőek lennének </w:t>
      </w:r>
      <w:r w:rsidRPr="0022388E">
        <w:rPr>
          <w:rFonts w:ascii="Arial" w:hAnsi="Arial" w:cs="Arial"/>
          <w:b/>
          <w:sz w:val="20"/>
        </w:rPr>
        <w:t>a kifejezetten magas rendelés állománynak</w:t>
      </w:r>
      <w:r w:rsidRPr="0022388E">
        <w:rPr>
          <w:rFonts w:ascii="Arial" w:hAnsi="Arial" w:cs="Arial"/>
          <w:sz w:val="20"/>
        </w:rPr>
        <w:t xml:space="preserve"> köszönhetően. A </w:t>
      </w:r>
      <w:r w:rsidRPr="00BE2F61">
        <w:rPr>
          <w:rFonts w:ascii="Arial" w:hAnsi="Arial" w:cs="Arial"/>
          <w:b/>
          <w:sz w:val="20"/>
        </w:rPr>
        <w:t>kiskereskedelem helyreállása</w:t>
      </w:r>
      <w:r w:rsidRPr="0022388E">
        <w:rPr>
          <w:rFonts w:ascii="Arial" w:hAnsi="Arial" w:cs="Arial"/>
          <w:sz w:val="20"/>
        </w:rPr>
        <w:t xml:space="preserve"> folytatódott, amit néhány országban az egyes cikkeket érintő </w:t>
      </w:r>
      <w:r w:rsidRPr="00BE2F61">
        <w:rPr>
          <w:rFonts w:ascii="Arial" w:hAnsi="Arial" w:cs="Arial"/>
          <w:b/>
          <w:sz w:val="20"/>
        </w:rPr>
        <w:t>áruhiány</w:t>
      </w:r>
      <w:r w:rsidRPr="0022388E">
        <w:rPr>
          <w:rFonts w:ascii="Arial" w:hAnsi="Arial" w:cs="Arial"/>
          <w:sz w:val="20"/>
        </w:rPr>
        <w:t xml:space="preserve">, valamint korábbi </w:t>
      </w:r>
      <w:r w:rsidRPr="00BE2F61">
        <w:rPr>
          <w:rFonts w:ascii="Arial" w:hAnsi="Arial" w:cs="Arial"/>
          <w:b/>
          <w:sz w:val="20"/>
        </w:rPr>
        <w:t>ösztönző intézkedések kifutása</w:t>
      </w:r>
      <w:r w:rsidRPr="0022388E">
        <w:rPr>
          <w:rFonts w:ascii="Arial" w:hAnsi="Arial" w:cs="Arial"/>
          <w:sz w:val="20"/>
        </w:rPr>
        <w:t xml:space="preserve"> árnyékolt be. </w:t>
      </w:r>
      <w:r w:rsidRPr="0022388E">
        <w:rPr>
          <w:rFonts w:ascii="Arial" w:hAnsi="Arial" w:cs="Arial"/>
          <w:sz w:val="20"/>
        </w:rPr>
        <w:lastRenderedPageBreak/>
        <w:t xml:space="preserve">A </w:t>
      </w:r>
      <w:r w:rsidRPr="00BE2F61">
        <w:rPr>
          <w:rFonts w:ascii="Arial" w:hAnsi="Arial" w:cs="Arial"/>
          <w:b/>
          <w:sz w:val="20"/>
        </w:rPr>
        <w:t>nemzetközi turizmus</w:t>
      </w:r>
      <w:r w:rsidRPr="0022388E">
        <w:rPr>
          <w:rFonts w:ascii="Arial" w:hAnsi="Arial" w:cs="Arial"/>
          <w:sz w:val="20"/>
        </w:rPr>
        <w:t xml:space="preserve">, az erre épülő szolgáltatások, rendezvények felépülése </w:t>
      </w:r>
      <w:r w:rsidRPr="00BE2F61">
        <w:rPr>
          <w:rFonts w:ascii="Arial" w:hAnsi="Arial" w:cs="Arial"/>
          <w:b/>
          <w:sz w:val="20"/>
        </w:rPr>
        <w:t>részlegesen</w:t>
      </w:r>
      <w:r w:rsidRPr="0022388E">
        <w:rPr>
          <w:rFonts w:ascii="Arial" w:hAnsi="Arial" w:cs="Arial"/>
          <w:sz w:val="20"/>
        </w:rPr>
        <w:t xml:space="preserve"> folytatódott, mivel az egyes országok </w:t>
      </w:r>
      <w:r w:rsidRPr="00BE2F61">
        <w:rPr>
          <w:rFonts w:ascii="Arial" w:hAnsi="Arial" w:cs="Arial"/>
          <w:b/>
          <w:sz w:val="20"/>
        </w:rPr>
        <w:t>eltérő feltételeket</w:t>
      </w:r>
      <w:r w:rsidRPr="0022388E">
        <w:rPr>
          <w:rFonts w:ascii="Arial" w:hAnsi="Arial" w:cs="Arial"/>
          <w:sz w:val="20"/>
        </w:rPr>
        <w:t xml:space="preserve"> szabnak meg a beutazáshoz. A </w:t>
      </w:r>
      <w:r w:rsidRPr="00BE2F61">
        <w:rPr>
          <w:rFonts w:ascii="Arial" w:hAnsi="Arial" w:cs="Arial"/>
          <w:b/>
          <w:sz w:val="20"/>
        </w:rPr>
        <w:t>transzkontinentális utazások</w:t>
      </w:r>
      <w:r w:rsidRPr="0022388E">
        <w:rPr>
          <w:rFonts w:ascii="Arial" w:hAnsi="Arial" w:cs="Arial"/>
          <w:sz w:val="20"/>
        </w:rPr>
        <w:t xml:space="preserve"> helyreállásához több időre lesz szükség, különösen, hogy a koronavírus újabb, delta, valamint omikron variánsa több helyen már a negyedik, illetve ötödik hullámot indította el. Ennek megfelelően az egyes országok kilábalását nagymértékben határozza meg az </w:t>
      </w:r>
      <w:r w:rsidRPr="00BE2F61">
        <w:rPr>
          <w:rFonts w:ascii="Arial" w:hAnsi="Arial" w:cs="Arial"/>
          <w:b/>
          <w:sz w:val="20"/>
        </w:rPr>
        <w:t>átoltottság alakulása, a gazdasági szerkezet</w:t>
      </w:r>
      <w:r w:rsidRPr="0022388E">
        <w:rPr>
          <w:rFonts w:ascii="Arial" w:hAnsi="Arial" w:cs="Arial"/>
          <w:sz w:val="20"/>
        </w:rPr>
        <w:t xml:space="preserve">, így a kilábalás/helyreállás mértéke is igen különböző maradhat. A turizmustól erőteljesen függő dél-európai országok jelentős hátrányból indultak. Ezt enyhítheti az uniós helyreállítási alap, amely döntően a nagyobb visszaesést elszenvedő országokat támogatja. A küldő, döntően északi országok mindazonáltal profitáltak az elmaradt nyaralásokból származó megtakarítások belső felhasználásából, amit az északi államok jóval kisebb tavalyi visszaesése és gyorsabb helyreállása tükröztek. A jelentősebb ipari, járműgyártási kapacitásokkal rendelkező gazdaságokban pedig a </w:t>
      </w:r>
      <w:r w:rsidRPr="0078074B">
        <w:rPr>
          <w:rFonts w:ascii="Arial" w:hAnsi="Arial" w:cs="Arial"/>
          <w:b/>
          <w:sz w:val="20"/>
        </w:rPr>
        <w:t>beszállítói láncokkal kapcsolatos nehézségek</w:t>
      </w:r>
      <w:r w:rsidRPr="0022388E">
        <w:rPr>
          <w:rFonts w:ascii="Arial" w:hAnsi="Arial" w:cs="Arial"/>
          <w:sz w:val="20"/>
        </w:rPr>
        <w:t xml:space="preserve"> vezettek lassuláshoz. Ebből kifolyólag a </w:t>
      </w:r>
      <w:r w:rsidRPr="0078074B">
        <w:rPr>
          <w:rFonts w:ascii="Arial" w:hAnsi="Arial" w:cs="Arial"/>
          <w:b/>
          <w:sz w:val="20"/>
        </w:rPr>
        <w:t>kilábalás továbbra is egyenlőtlen</w:t>
      </w:r>
      <w:r w:rsidR="005C518C" w:rsidRPr="00B66927">
        <w:rPr>
          <w:rFonts w:ascii="Arial" w:hAnsi="Arial" w:cs="Arial"/>
          <w:sz w:val="20"/>
        </w:rPr>
        <w:t xml:space="preserve">. </w:t>
      </w:r>
      <w:r w:rsidR="005C518C" w:rsidRPr="00E64DB9">
        <w:rPr>
          <w:rFonts w:ascii="Arial" w:hAnsi="Arial" w:cs="Arial"/>
          <w:sz w:val="20"/>
        </w:rPr>
        <w:t xml:space="preserve"> </w:t>
      </w:r>
    </w:p>
    <w:p w14:paraId="1F924960" w14:textId="77777777" w:rsidR="005C518C" w:rsidRPr="00E23806" w:rsidRDefault="00604699" w:rsidP="00A4053D">
      <w:pPr>
        <w:spacing w:after="120" w:line="360" w:lineRule="auto"/>
        <w:jc w:val="both"/>
        <w:rPr>
          <w:rFonts w:ascii="Arial" w:hAnsi="Arial" w:cs="Arial"/>
          <w:sz w:val="20"/>
        </w:rPr>
      </w:pPr>
      <w:r w:rsidRPr="00604699">
        <w:rPr>
          <w:rFonts w:ascii="Arial" w:hAnsi="Arial" w:cs="Arial"/>
          <w:sz w:val="20"/>
        </w:rPr>
        <w:t xml:space="preserve">A nagy jegybankok mellett számos további jegybank és szinte minden kormány soha nem látott méretű fiskális és monetáris támogatásról biztosította a gazdasági szereplőket a túléléshez, a likviditáshoz való hozzáféréshez, az </w:t>
      </w:r>
      <w:proofErr w:type="spellStart"/>
      <w:r w:rsidRPr="00604699">
        <w:rPr>
          <w:rFonts w:ascii="Arial" w:hAnsi="Arial" w:cs="Arial"/>
          <w:sz w:val="20"/>
        </w:rPr>
        <w:t>újrainduláshoz</w:t>
      </w:r>
      <w:proofErr w:type="spellEnd"/>
      <w:r w:rsidRPr="00604699">
        <w:rPr>
          <w:rFonts w:ascii="Arial" w:hAnsi="Arial" w:cs="Arial"/>
          <w:sz w:val="20"/>
        </w:rPr>
        <w:t xml:space="preserve">. A Fed nullára csökkentette az irányadó kamatszintet, korlátlan eszközvásárlási programot és számos likviditáskönnyítő intézkedést jelentett be, az EKB 1850 milliárd euróra növelte a vészhelyzeti kötvényvásárlási programját, emellett szinte minden jegybank csökkentette a kamatokat, és több tucatnyi jegybank jelentett be mennyiségi lazításokat. Az Európai Bizottság német-francia közös javaslatra 750 milliárd euró összegű helyreállítási alapot jelentett be, közös kötvénykibocsátással finanszírozva. Ennek oroszlánrészét a leginkább bajba jutott tagállamok kapják, nagyrészt vissza nem térítendő támogatás, </w:t>
      </w:r>
      <w:proofErr w:type="spellStart"/>
      <w:r w:rsidRPr="00604699">
        <w:rPr>
          <w:rFonts w:ascii="Arial" w:hAnsi="Arial" w:cs="Arial"/>
          <w:sz w:val="20"/>
        </w:rPr>
        <w:t>kisebbrészt</w:t>
      </w:r>
      <w:proofErr w:type="spellEnd"/>
      <w:r w:rsidRPr="00604699">
        <w:rPr>
          <w:rFonts w:ascii="Arial" w:hAnsi="Arial" w:cs="Arial"/>
          <w:sz w:val="20"/>
        </w:rPr>
        <w:t xml:space="preserve"> kedvezményes hitel formájában. A Fed egy időszakra vonatkozó, átlagos infláció elérését tűzte ki célul a korábbi fix inflációs cél helyett, ami jóval nagyobb rugalmasságot engedhet meg a monetáris politika alakítására. Az EKB a korábbi, 2%-</w:t>
      </w:r>
      <w:proofErr w:type="spellStart"/>
      <w:r w:rsidRPr="00604699">
        <w:rPr>
          <w:rFonts w:ascii="Arial" w:hAnsi="Arial" w:cs="Arial"/>
          <w:sz w:val="20"/>
        </w:rPr>
        <w:t>nál</w:t>
      </w:r>
      <w:proofErr w:type="spellEnd"/>
      <w:r w:rsidRPr="00604699">
        <w:rPr>
          <w:rFonts w:ascii="Arial" w:hAnsi="Arial" w:cs="Arial"/>
          <w:sz w:val="20"/>
        </w:rPr>
        <w:t xml:space="preserve"> kicsivel alacsonyabb inflációs célkitűzés helyett hajlandó tolerálni a 2%-ot meghaladó inflációt is, így a célkitűzést szimmetrikussá változtatta. Az Egyesült Államok új vezetése további 1900 milliárd dollár nagyságrendű fiskális mentőcsomagot fogadott el, ami többszörösen meghaladja a járvány által okozott, még be nem zárult kibocsátási rést. Emellett 1750 milliárd dollár értékben egy évtized alatt infrastrukturális beruházásokat és jóléti intézkedéseket tervez. A nyersanyagárak elszállása és a nyitással kapcsolatos kereslet-kínálati súrlódások ugyanakkor számottevően növelték az inflációs várakozásokat, ami már az inflációban is határozottan megjelent, így nőttek a szigorítással, vagy legalábbis a mennyiségi lazítások enyhítésével kapcsolatos várakozások. A meghatározó jegybankok közül az EKB továbbra is igyekszik hűteni a várakozásokat, mivel az infláció megugrását egyszeri, bázishatások által is befolyásolt jelenségnek tekinti. </w:t>
      </w:r>
      <w:r w:rsidRPr="00604699">
        <w:rPr>
          <w:rFonts w:ascii="Arial" w:hAnsi="Arial" w:cs="Arial"/>
          <w:b/>
          <w:sz w:val="20"/>
        </w:rPr>
        <w:t xml:space="preserve">Az EKB ezért a márciusban lejáró </w:t>
      </w:r>
      <w:proofErr w:type="spellStart"/>
      <w:r w:rsidRPr="00604699">
        <w:rPr>
          <w:rFonts w:ascii="Arial" w:hAnsi="Arial" w:cs="Arial"/>
          <w:b/>
          <w:sz w:val="20"/>
        </w:rPr>
        <w:t>pandémiás</w:t>
      </w:r>
      <w:proofErr w:type="spellEnd"/>
      <w:r w:rsidRPr="00604699">
        <w:rPr>
          <w:rFonts w:ascii="Arial" w:hAnsi="Arial" w:cs="Arial"/>
          <w:b/>
          <w:sz w:val="20"/>
        </w:rPr>
        <w:t xml:space="preserve"> vészhelyzeti eszközvásárlási program (PEPP) helyett átmenetileg 20 milliárd euróról 40 milliárd euróra növeli a korábban elindított eszközvásárlási program (AP) havi vásárlási keretét, </w:t>
      </w:r>
      <w:r w:rsidRPr="00604699">
        <w:rPr>
          <w:rFonts w:ascii="Arial" w:hAnsi="Arial" w:cs="Arial"/>
          <w:sz w:val="20"/>
        </w:rPr>
        <w:t xml:space="preserve">amit fokozatosan csökkent 2022 végéig. </w:t>
      </w:r>
      <w:r w:rsidRPr="00604699">
        <w:rPr>
          <w:rFonts w:ascii="Arial" w:hAnsi="Arial" w:cs="Arial"/>
          <w:b/>
          <w:sz w:val="20"/>
        </w:rPr>
        <w:t>A Fed Nyílt Piaci Bizottsága novembertől elkezdte az eszközvásárlási program kivezetését, amit decembertől felgyorsított, így 2022 márciusában futhat ki. A Fed döntéshozói mindazonáltal 2022-ben három, a következő két évben pedig további három és kettő kamatemelésre számítanak</w:t>
      </w:r>
      <w:r w:rsidR="00842FD5" w:rsidRPr="00604699">
        <w:rPr>
          <w:rFonts w:ascii="Arial" w:hAnsi="Arial" w:cs="Arial"/>
          <w:b/>
          <w:sz w:val="20"/>
        </w:rPr>
        <w:t xml:space="preserve">. </w:t>
      </w:r>
      <w:r w:rsidR="00842FD5">
        <w:rPr>
          <w:rFonts w:ascii="Arial" w:hAnsi="Arial" w:cs="Arial"/>
          <w:sz w:val="20"/>
        </w:rPr>
        <w:t xml:space="preserve"> </w:t>
      </w:r>
      <w:r w:rsidR="005C518C">
        <w:rPr>
          <w:rFonts w:ascii="Arial" w:hAnsi="Arial" w:cs="Arial"/>
          <w:sz w:val="20"/>
        </w:rPr>
        <w:t xml:space="preserve">  </w:t>
      </w:r>
      <w:r w:rsidR="005C518C" w:rsidRPr="00E23806">
        <w:rPr>
          <w:rFonts w:ascii="Arial" w:hAnsi="Arial" w:cs="Arial"/>
          <w:sz w:val="20"/>
        </w:rPr>
        <w:t xml:space="preserve">     </w:t>
      </w:r>
    </w:p>
    <w:p w14:paraId="4A15B2A7" w14:textId="77777777" w:rsidR="005C518C" w:rsidRPr="00E23806" w:rsidRDefault="008A4BCB" w:rsidP="00316464">
      <w:pPr>
        <w:pStyle w:val="Alcmtbank"/>
      </w:pPr>
      <w:r>
        <w:lastRenderedPageBreak/>
        <w:t xml:space="preserve">A </w:t>
      </w:r>
      <w:r w:rsidR="005553B8">
        <w:t>növekvő jövedelmek élénkítik a gazdaságot</w:t>
      </w:r>
      <w:r w:rsidR="00177F73">
        <w:t xml:space="preserve"> </w:t>
      </w:r>
    </w:p>
    <w:p w14:paraId="3D739526" w14:textId="77777777" w:rsidR="005C518C" w:rsidRPr="00321293" w:rsidRDefault="009E45B8" w:rsidP="00A4053D">
      <w:pPr>
        <w:spacing w:after="120" w:line="360" w:lineRule="auto"/>
        <w:jc w:val="both"/>
        <w:rPr>
          <w:rFonts w:ascii="Arial" w:hAnsi="Arial" w:cs="Arial"/>
          <w:sz w:val="20"/>
        </w:rPr>
      </w:pPr>
      <w:r w:rsidRPr="002E37E6">
        <w:rPr>
          <w:rFonts w:ascii="Arial" w:hAnsi="Arial" w:cs="Arial"/>
          <w:b/>
          <w:sz w:val="20"/>
          <w:szCs w:val="20"/>
        </w:rPr>
        <w:t>6,1</w:t>
      </w:r>
      <w:r w:rsidRPr="0006793D">
        <w:rPr>
          <w:rFonts w:ascii="Arial" w:hAnsi="Arial" w:cs="Arial"/>
          <w:b/>
          <w:sz w:val="20"/>
          <w:szCs w:val="20"/>
        </w:rPr>
        <w:t xml:space="preserve">%-kal </w:t>
      </w:r>
      <w:r>
        <w:rPr>
          <w:rFonts w:ascii="Arial" w:hAnsi="Arial" w:cs="Arial"/>
          <w:b/>
          <w:sz w:val="20"/>
          <w:szCs w:val="20"/>
        </w:rPr>
        <w:t>nőtt</w:t>
      </w:r>
      <w:r w:rsidRPr="0006793D">
        <w:rPr>
          <w:rFonts w:ascii="Arial" w:hAnsi="Arial" w:cs="Arial"/>
          <w:b/>
          <w:sz w:val="20"/>
          <w:szCs w:val="20"/>
        </w:rPr>
        <w:t xml:space="preserve"> a hazai GDP </w:t>
      </w:r>
      <w:r w:rsidRPr="0006793D">
        <w:rPr>
          <w:rFonts w:ascii="Arial" w:hAnsi="Arial" w:cs="Arial"/>
          <w:sz w:val="20"/>
          <w:szCs w:val="20"/>
        </w:rPr>
        <w:t xml:space="preserve">a </w:t>
      </w:r>
      <w:r w:rsidRPr="002E37E6">
        <w:rPr>
          <w:rFonts w:ascii="Arial" w:hAnsi="Arial" w:cs="Arial"/>
          <w:sz w:val="20"/>
          <w:szCs w:val="20"/>
        </w:rPr>
        <w:t xml:space="preserve">harmadik negyedévben az egy évvel ezelőttihez, míg </w:t>
      </w:r>
      <w:r w:rsidRPr="0006793D">
        <w:rPr>
          <w:rFonts w:ascii="Arial" w:hAnsi="Arial" w:cs="Arial"/>
          <w:sz w:val="20"/>
          <w:szCs w:val="20"/>
        </w:rPr>
        <w:t>szezonálisan és munkanappal kiigazítva</w:t>
      </w:r>
      <w:r>
        <w:rPr>
          <w:rFonts w:ascii="Arial" w:hAnsi="Arial" w:cs="Arial"/>
          <w:b/>
          <w:sz w:val="20"/>
          <w:szCs w:val="20"/>
        </w:rPr>
        <w:t xml:space="preserve"> 0</w:t>
      </w:r>
      <w:r w:rsidRPr="0006793D">
        <w:rPr>
          <w:rFonts w:ascii="Arial" w:hAnsi="Arial" w:cs="Arial"/>
          <w:b/>
          <w:sz w:val="20"/>
          <w:szCs w:val="20"/>
        </w:rPr>
        <w:t>,7%-kal bőv</w:t>
      </w:r>
      <w:r>
        <w:rPr>
          <w:rFonts w:ascii="Arial" w:hAnsi="Arial" w:cs="Arial"/>
          <w:b/>
          <w:sz w:val="20"/>
          <w:szCs w:val="20"/>
        </w:rPr>
        <w:t>ült az előző negyedévhez képest, ami az első háromnegyed évben 7,1%-os bővülést eredményezett.</w:t>
      </w:r>
      <w:r w:rsidRPr="0006793D">
        <w:rPr>
          <w:rFonts w:ascii="Arial" w:hAnsi="Arial" w:cs="Arial"/>
          <w:b/>
          <w:sz w:val="20"/>
          <w:szCs w:val="20"/>
        </w:rPr>
        <w:t xml:space="preserve"> </w:t>
      </w:r>
      <w:r w:rsidRPr="00FE7C6B">
        <w:rPr>
          <w:rFonts w:ascii="Arial" w:hAnsi="Arial" w:cs="Arial"/>
          <w:b/>
          <w:sz w:val="20"/>
        </w:rPr>
        <w:t xml:space="preserve">A járvány előtti szintet </w:t>
      </w:r>
      <w:r>
        <w:rPr>
          <w:rFonts w:ascii="Arial" w:hAnsi="Arial" w:cs="Arial"/>
          <w:b/>
          <w:sz w:val="20"/>
        </w:rPr>
        <w:t>a GDP mintegy 0,7 százalékponttal meghaladta a harmadik</w:t>
      </w:r>
      <w:r w:rsidRPr="00FE7C6B">
        <w:rPr>
          <w:rFonts w:ascii="Arial" w:hAnsi="Arial" w:cs="Arial"/>
          <w:b/>
          <w:sz w:val="20"/>
        </w:rPr>
        <w:t xml:space="preserve"> negyedévben</w:t>
      </w:r>
      <w:r>
        <w:rPr>
          <w:rFonts w:ascii="Arial" w:hAnsi="Arial" w:cs="Arial"/>
          <w:b/>
          <w:sz w:val="20"/>
        </w:rPr>
        <w:t xml:space="preserve">. </w:t>
      </w:r>
      <w:r w:rsidRPr="00B50754">
        <w:rPr>
          <w:rFonts w:ascii="Arial" w:hAnsi="Arial" w:cs="Arial"/>
          <w:sz w:val="20"/>
        </w:rPr>
        <w:t>A növekedést érdemben visszafogta chip- és más alkatrészek hiánya miatt akadozó járműgyártás, enélkül a növekedés akár másfél százalékponttal magasabb is lehetett volna. Amennyiben stabilizálódnának a beszállítói láncok, az ipari termelés élesen felpattanhatna a meglevő robosztus rendelésállománynak köszönhetően. A növekedést szintén lassíthatta, hogy a hazai gazdaságban a keleti vakcina beszerzéseknek köszönhetően korábban kerülhetett sor a korlátozások feloldására, így az érintett ágazatok már a korábbi negyedévekben elkezdhették a kilábalást.</w:t>
      </w:r>
      <w:r w:rsidR="0075521D">
        <w:rPr>
          <w:rFonts w:ascii="Arial" w:hAnsi="Arial" w:cs="Arial"/>
          <w:sz w:val="20"/>
          <w:szCs w:val="20"/>
        </w:rPr>
        <w:t xml:space="preserve"> </w:t>
      </w:r>
      <w:r w:rsidR="005C518C">
        <w:rPr>
          <w:rFonts w:ascii="Arial" w:hAnsi="Arial" w:cs="Arial"/>
          <w:sz w:val="20"/>
        </w:rPr>
        <w:t xml:space="preserve"> </w:t>
      </w:r>
      <w:r w:rsidR="005C518C" w:rsidRPr="00321293">
        <w:rPr>
          <w:rFonts w:ascii="Arial" w:hAnsi="Arial" w:cs="Arial"/>
          <w:sz w:val="20"/>
        </w:rPr>
        <w:t xml:space="preserve"> </w:t>
      </w:r>
    </w:p>
    <w:p w14:paraId="162D9C89" w14:textId="77777777" w:rsidR="005C518C" w:rsidRPr="000A3DE5" w:rsidRDefault="009E45B8" w:rsidP="00A4053D">
      <w:pPr>
        <w:spacing w:after="120" w:line="360" w:lineRule="auto"/>
        <w:jc w:val="both"/>
        <w:rPr>
          <w:rFonts w:ascii="Arial" w:hAnsi="Arial" w:cs="Arial"/>
          <w:sz w:val="20"/>
        </w:rPr>
      </w:pPr>
      <w:r>
        <w:rPr>
          <w:rFonts w:ascii="Arial" w:hAnsi="Arial" w:cs="Arial"/>
          <w:sz w:val="20"/>
          <w:szCs w:val="20"/>
        </w:rPr>
        <w:t>A</w:t>
      </w:r>
      <w:r w:rsidRPr="00327593">
        <w:rPr>
          <w:rFonts w:ascii="Arial" w:hAnsi="Arial" w:cs="Arial"/>
          <w:sz w:val="20"/>
          <w:szCs w:val="20"/>
        </w:rPr>
        <w:t xml:space="preserve">z iparban </w:t>
      </w:r>
      <w:r>
        <w:rPr>
          <w:rFonts w:ascii="Arial" w:hAnsi="Arial" w:cs="Arial"/>
          <w:sz w:val="20"/>
          <w:szCs w:val="20"/>
        </w:rPr>
        <w:t>a következő hónapokban</w:t>
      </w:r>
      <w:r w:rsidRPr="00327593">
        <w:rPr>
          <w:rFonts w:ascii="Arial" w:hAnsi="Arial" w:cs="Arial"/>
          <w:sz w:val="20"/>
          <w:szCs w:val="20"/>
        </w:rPr>
        <w:t xml:space="preserve"> a </w:t>
      </w:r>
      <w:r w:rsidRPr="00AC3BF1">
        <w:rPr>
          <w:rFonts w:ascii="Arial" w:hAnsi="Arial" w:cs="Arial"/>
          <w:b/>
          <w:sz w:val="20"/>
          <w:szCs w:val="20"/>
        </w:rPr>
        <w:t>chiphiány miatt többször leálló autógyárak</w:t>
      </w:r>
      <w:r>
        <w:rPr>
          <w:rFonts w:ascii="Arial" w:hAnsi="Arial" w:cs="Arial"/>
          <w:sz w:val="20"/>
          <w:szCs w:val="20"/>
        </w:rPr>
        <w:t xml:space="preserve"> továbbra is fékezhetik a növekedést</w:t>
      </w:r>
      <w:r w:rsidRPr="00327593">
        <w:rPr>
          <w:rFonts w:ascii="Arial" w:hAnsi="Arial" w:cs="Arial"/>
          <w:sz w:val="20"/>
          <w:szCs w:val="20"/>
        </w:rPr>
        <w:t>, azonban a</w:t>
      </w:r>
      <w:r>
        <w:rPr>
          <w:rFonts w:ascii="Arial" w:hAnsi="Arial" w:cs="Arial"/>
          <w:sz w:val="20"/>
          <w:szCs w:val="20"/>
        </w:rPr>
        <w:t xml:space="preserve"> </w:t>
      </w:r>
      <w:r w:rsidRPr="00AC3BF1">
        <w:rPr>
          <w:rFonts w:ascii="Arial" w:hAnsi="Arial" w:cs="Arial"/>
          <w:b/>
          <w:sz w:val="20"/>
          <w:szCs w:val="20"/>
        </w:rPr>
        <w:t>jelentős rendelésállomány</w:t>
      </w:r>
      <w:r w:rsidRPr="00327593">
        <w:rPr>
          <w:rFonts w:ascii="Arial" w:hAnsi="Arial" w:cs="Arial"/>
          <w:sz w:val="20"/>
          <w:szCs w:val="20"/>
        </w:rPr>
        <w:t>,</w:t>
      </w:r>
      <w:r>
        <w:rPr>
          <w:rFonts w:ascii="Arial" w:hAnsi="Arial" w:cs="Arial"/>
          <w:sz w:val="20"/>
          <w:szCs w:val="20"/>
        </w:rPr>
        <w:t xml:space="preserve"> valamint</w:t>
      </w:r>
      <w:r w:rsidRPr="00327593">
        <w:rPr>
          <w:rFonts w:ascii="Arial" w:hAnsi="Arial" w:cs="Arial"/>
          <w:sz w:val="20"/>
          <w:szCs w:val="20"/>
        </w:rPr>
        <w:t xml:space="preserve"> az </w:t>
      </w:r>
      <w:r w:rsidRPr="00AC3BF1">
        <w:rPr>
          <w:rFonts w:ascii="Arial" w:hAnsi="Arial" w:cs="Arial"/>
          <w:b/>
          <w:sz w:val="20"/>
          <w:szCs w:val="20"/>
        </w:rPr>
        <w:t>új kapacitások</w:t>
      </w:r>
      <w:r>
        <w:rPr>
          <w:rFonts w:ascii="Arial" w:hAnsi="Arial" w:cs="Arial"/>
          <w:sz w:val="20"/>
          <w:szCs w:val="20"/>
        </w:rPr>
        <w:t xml:space="preserve"> üzembe helyezése ezt ellensúlyozhatja. Egyes előrejelzések szerint </w:t>
      </w:r>
      <w:r w:rsidRPr="00AC3BF1">
        <w:rPr>
          <w:rFonts w:ascii="Arial" w:hAnsi="Arial" w:cs="Arial"/>
          <w:b/>
          <w:sz w:val="20"/>
          <w:szCs w:val="20"/>
        </w:rPr>
        <w:t>az év során fokozatosan enyhülhet a félvezetőhiány</w:t>
      </w:r>
      <w:r>
        <w:rPr>
          <w:rFonts w:ascii="Arial" w:hAnsi="Arial" w:cs="Arial"/>
          <w:sz w:val="20"/>
          <w:szCs w:val="20"/>
        </w:rPr>
        <w:t>. A</w:t>
      </w:r>
      <w:r w:rsidRPr="00327593">
        <w:rPr>
          <w:rFonts w:ascii="Arial" w:hAnsi="Arial" w:cs="Arial"/>
          <w:sz w:val="20"/>
          <w:szCs w:val="20"/>
        </w:rPr>
        <w:t xml:space="preserve">z </w:t>
      </w:r>
      <w:r w:rsidRPr="00AC3BF1">
        <w:rPr>
          <w:rFonts w:ascii="Arial" w:hAnsi="Arial" w:cs="Arial"/>
          <w:b/>
          <w:sz w:val="20"/>
          <w:szCs w:val="20"/>
        </w:rPr>
        <w:t>építőiparban</w:t>
      </w:r>
      <w:r w:rsidRPr="00327593">
        <w:rPr>
          <w:rFonts w:ascii="Arial" w:hAnsi="Arial" w:cs="Arial"/>
          <w:sz w:val="20"/>
          <w:szCs w:val="20"/>
        </w:rPr>
        <w:t xml:space="preserve"> a lakásfelújítások, lakásépítések, állami, valamint uniós források</w:t>
      </w:r>
      <w:r>
        <w:rPr>
          <w:rFonts w:ascii="Arial" w:hAnsi="Arial" w:cs="Arial"/>
          <w:sz w:val="20"/>
          <w:szCs w:val="20"/>
        </w:rPr>
        <w:t xml:space="preserve">ból finanszírozott </w:t>
      </w:r>
      <w:proofErr w:type="gramStart"/>
      <w:r>
        <w:rPr>
          <w:rFonts w:ascii="Arial" w:hAnsi="Arial" w:cs="Arial"/>
          <w:sz w:val="20"/>
          <w:szCs w:val="20"/>
        </w:rPr>
        <w:t>beruházások</w:t>
      </w:r>
      <w:r w:rsidRPr="00327593">
        <w:rPr>
          <w:rFonts w:ascii="Arial" w:hAnsi="Arial" w:cs="Arial"/>
          <w:sz w:val="20"/>
          <w:szCs w:val="20"/>
        </w:rPr>
        <w:t>,</w:t>
      </w:r>
      <w:proofErr w:type="gramEnd"/>
      <w:r w:rsidRPr="00327593">
        <w:rPr>
          <w:rFonts w:ascii="Arial" w:hAnsi="Arial" w:cs="Arial"/>
          <w:sz w:val="20"/>
          <w:szCs w:val="20"/>
        </w:rPr>
        <w:t xml:space="preserve"> és az ipari beruházási boom </w:t>
      </w:r>
      <w:r>
        <w:rPr>
          <w:rFonts w:ascii="Arial" w:hAnsi="Arial" w:cs="Arial"/>
          <w:sz w:val="20"/>
          <w:szCs w:val="20"/>
        </w:rPr>
        <w:t>ad lendületet, azonban az építőanyagárak elszállása, egyes építőanyagok hiánya, szállítási nehézségek az építőiparban is okoznak fennakadásokat</w:t>
      </w:r>
      <w:r w:rsidRPr="00327593">
        <w:rPr>
          <w:rFonts w:ascii="Arial" w:hAnsi="Arial" w:cs="Arial"/>
          <w:sz w:val="20"/>
          <w:szCs w:val="20"/>
        </w:rPr>
        <w:t xml:space="preserve">. A járvány miatti korlátozások által érintett szektorok kilábalása </w:t>
      </w:r>
      <w:r>
        <w:rPr>
          <w:rFonts w:ascii="Arial" w:hAnsi="Arial" w:cs="Arial"/>
          <w:sz w:val="20"/>
          <w:szCs w:val="20"/>
        </w:rPr>
        <w:t>az újabb hullám(ok) súlyosságától függ</w:t>
      </w:r>
      <w:r w:rsidRPr="00327593">
        <w:rPr>
          <w:rFonts w:ascii="Arial" w:hAnsi="Arial" w:cs="Arial"/>
          <w:sz w:val="20"/>
          <w:szCs w:val="20"/>
        </w:rPr>
        <w:t xml:space="preserve">, </w:t>
      </w:r>
      <w:r w:rsidRPr="00AC3BF1">
        <w:rPr>
          <w:rFonts w:ascii="Arial" w:hAnsi="Arial" w:cs="Arial"/>
          <w:b/>
          <w:sz w:val="20"/>
          <w:szCs w:val="20"/>
        </w:rPr>
        <w:t>a belföldi turizmus, vendéglátás és szabadidős tevékenységek területén azonban folytatódhat a helyreállás.</w:t>
      </w:r>
      <w:r w:rsidRPr="00327593">
        <w:rPr>
          <w:rFonts w:ascii="Arial" w:hAnsi="Arial" w:cs="Arial"/>
          <w:sz w:val="20"/>
          <w:szCs w:val="20"/>
        </w:rPr>
        <w:t xml:space="preserve"> Az európai oltási folyamat </w:t>
      </w:r>
      <w:r>
        <w:rPr>
          <w:rFonts w:ascii="Arial" w:hAnsi="Arial" w:cs="Arial"/>
          <w:sz w:val="20"/>
          <w:szCs w:val="20"/>
        </w:rPr>
        <w:t xml:space="preserve">gyorsulása és a járványhelyzet meredek javulása lehetővé tette a </w:t>
      </w:r>
      <w:r w:rsidRPr="00AC3BF1">
        <w:rPr>
          <w:rFonts w:ascii="Arial" w:hAnsi="Arial" w:cs="Arial"/>
          <w:b/>
          <w:sz w:val="20"/>
          <w:szCs w:val="20"/>
        </w:rPr>
        <w:t>fokozatos nyitást</w:t>
      </w:r>
      <w:r>
        <w:rPr>
          <w:rFonts w:ascii="Arial" w:hAnsi="Arial" w:cs="Arial"/>
          <w:sz w:val="20"/>
          <w:szCs w:val="20"/>
        </w:rPr>
        <w:t xml:space="preserve">, ezzel szemben a negyedik/ötödik hullámok ellen egyes országokban újabb korlátozásokat vezettek be. </w:t>
      </w:r>
      <w:r w:rsidRPr="00531466">
        <w:rPr>
          <w:rFonts w:ascii="Arial" w:hAnsi="Arial" w:cs="Arial"/>
          <w:sz w:val="20"/>
          <w:szCs w:val="20"/>
        </w:rPr>
        <w:t xml:space="preserve">A kilábalás, </w:t>
      </w:r>
      <w:r w:rsidRPr="00AC3BF1">
        <w:rPr>
          <w:rFonts w:ascii="Arial" w:hAnsi="Arial" w:cs="Arial"/>
          <w:b/>
          <w:sz w:val="20"/>
          <w:szCs w:val="20"/>
        </w:rPr>
        <w:t>a GDP helyreállása korántsem egyenletes</w:t>
      </w:r>
      <w:r w:rsidRPr="00531466">
        <w:rPr>
          <w:rFonts w:ascii="Arial" w:hAnsi="Arial" w:cs="Arial"/>
          <w:sz w:val="20"/>
          <w:szCs w:val="20"/>
        </w:rPr>
        <w:t xml:space="preserve">, egyes ágazatok (élen az </w:t>
      </w:r>
      <w:proofErr w:type="spellStart"/>
      <w:r w:rsidRPr="00531466">
        <w:rPr>
          <w:rFonts w:ascii="Arial" w:hAnsi="Arial" w:cs="Arial"/>
          <w:sz w:val="20"/>
          <w:szCs w:val="20"/>
        </w:rPr>
        <w:t>infokommunikációval</w:t>
      </w:r>
      <w:proofErr w:type="spellEnd"/>
      <w:r w:rsidRPr="00531466">
        <w:rPr>
          <w:rFonts w:ascii="Arial" w:hAnsi="Arial" w:cs="Arial"/>
          <w:sz w:val="20"/>
          <w:szCs w:val="20"/>
        </w:rPr>
        <w:t xml:space="preserve">) már </w:t>
      </w:r>
      <w:r>
        <w:rPr>
          <w:rFonts w:ascii="Arial" w:hAnsi="Arial" w:cs="Arial"/>
          <w:sz w:val="20"/>
          <w:szCs w:val="20"/>
        </w:rPr>
        <w:t>jóval</w:t>
      </w:r>
      <w:r w:rsidRPr="00531466">
        <w:rPr>
          <w:rFonts w:ascii="Arial" w:hAnsi="Arial" w:cs="Arial"/>
          <w:sz w:val="20"/>
          <w:szCs w:val="20"/>
        </w:rPr>
        <w:t xml:space="preserve"> meghaladják a járvány előtti szintet, az idegenforgalomhoz, rendezvényszervezéshez kapcsolódó szolgáltatások ugyanakkor még elmaradnak. </w:t>
      </w:r>
      <w:r w:rsidRPr="004910F1">
        <w:rPr>
          <w:rFonts w:ascii="Arial" w:hAnsi="Arial" w:cs="Arial"/>
          <w:b/>
          <w:sz w:val="20"/>
          <w:szCs w:val="20"/>
        </w:rPr>
        <w:t xml:space="preserve">A delta és az omikron variáns ugyan egyértelmű kockázatot </w:t>
      </w:r>
      <w:r w:rsidRPr="00531466">
        <w:rPr>
          <w:rFonts w:ascii="Arial" w:hAnsi="Arial" w:cs="Arial"/>
          <w:sz w:val="20"/>
          <w:szCs w:val="20"/>
        </w:rPr>
        <w:t xml:space="preserve">jelent, azonban ezen ágazatok folytathatják a helyreállást, ami még </w:t>
      </w:r>
      <w:r>
        <w:rPr>
          <w:rFonts w:ascii="Arial" w:hAnsi="Arial" w:cs="Arial"/>
          <w:sz w:val="20"/>
          <w:szCs w:val="20"/>
        </w:rPr>
        <w:t>a következő évekre</w:t>
      </w:r>
      <w:r w:rsidRPr="00531466">
        <w:rPr>
          <w:rFonts w:ascii="Arial" w:hAnsi="Arial" w:cs="Arial"/>
          <w:sz w:val="20"/>
          <w:szCs w:val="20"/>
        </w:rPr>
        <w:t xml:space="preserve"> is áthúzódik (</w:t>
      </w:r>
      <w:r>
        <w:rPr>
          <w:rFonts w:ascii="Arial" w:hAnsi="Arial" w:cs="Arial"/>
          <w:sz w:val="20"/>
          <w:szCs w:val="20"/>
        </w:rPr>
        <w:t>a tavalyi</w:t>
      </w:r>
      <w:r w:rsidRPr="00531466">
        <w:rPr>
          <w:rFonts w:ascii="Arial" w:hAnsi="Arial" w:cs="Arial"/>
          <w:sz w:val="20"/>
          <w:szCs w:val="20"/>
        </w:rPr>
        <w:t xml:space="preserve"> első és részben második negyedéves korlátozások miatt egyes ágazatokban még mély lesz a bázis </w:t>
      </w:r>
      <w:r>
        <w:rPr>
          <w:rFonts w:ascii="Arial" w:hAnsi="Arial" w:cs="Arial"/>
          <w:sz w:val="20"/>
          <w:szCs w:val="20"/>
        </w:rPr>
        <w:t>az idei</w:t>
      </w:r>
      <w:r w:rsidRPr="00531466">
        <w:rPr>
          <w:rFonts w:ascii="Arial" w:hAnsi="Arial" w:cs="Arial"/>
          <w:sz w:val="20"/>
          <w:szCs w:val="20"/>
        </w:rPr>
        <w:t xml:space="preserve"> év első negyedévi növekedéshez). Ezért a következő negyedévekben még kifejezetten erős növekedésre számítunk, amit a munkaerőpiac helyreállása és az erőteljes bérdinamika is támogat. </w:t>
      </w:r>
      <w:r w:rsidRPr="000C76C4">
        <w:rPr>
          <w:rFonts w:ascii="Arial" w:hAnsi="Arial" w:cs="Arial"/>
          <w:b/>
          <w:sz w:val="20"/>
          <w:szCs w:val="20"/>
        </w:rPr>
        <w:t>Idén pedig a szja visszatérítés, a 20% közeli minimálbér és bérminimum emelés, a rendőröknek tervezett féléves bónusz, a további ágazati béremelések, a 13. havi nyugdíj kéthetes részlete, valamint a 25 év alattiak szja mentessége adhat további lökést a gazdaságnak</w:t>
      </w:r>
      <w:r w:rsidRPr="00531466">
        <w:rPr>
          <w:rFonts w:ascii="Arial" w:hAnsi="Arial" w:cs="Arial"/>
          <w:sz w:val="20"/>
          <w:szCs w:val="20"/>
        </w:rPr>
        <w:t>.</w:t>
      </w:r>
      <w:r w:rsidR="00C92AC9">
        <w:rPr>
          <w:rFonts w:ascii="Arial" w:hAnsi="Arial" w:cs="Arial"/>
          <w:sz w:val="20"/>
          <w:szCs w:val="20"/>
        </w:rPr>
        <w:t xml:space="preserve">  </w:t>
      </w:r>
      <w:r w:rsidR="003740BA">
        <w:rPr>
          <w:rFonts w:ascii="Arial" w:hAnsi="Arial" w:cs="Arial"/>
          <w:sz w:val="20"/>
        </w:rPr>
        <w:t xml:space="preserve"> </w:t>
      </w:r>
      <w:r w:rsidR="003204A8">
        <w:rPr>
          <w:rFonts w:ascii="Arial" w:hAnsi="Arial" w:cs="Arial"/>
          <w:sz w:val="20"/>
        </w:rPr>
        <w:t xml:space="preserve"> </w:t>
      </w:r>
    </w:p>
    <w:p w14:paraId="6EDB036A" w14:textId="77777777" w:rsidR="005C518C" w:rsidRPr="00E23806" w:rsidRDefault="005C518C" w:rsidP="00316464">
      <w:pPr>
        <w:pStyle w:val="Alcmtbank"/>
      </w:pPr>
      <w:r w:rsidRPr="00E23806">
        <w:t xml:space="preserve">Élénkülő inflációs nyomás, idén </w:t>
      </w:r>
      <w:r>
        <w:t xml:space="preserve">és jövőre </w:t>
      </w:r>
      <w:r w:rsidRPr="00E23806">
        <w:t>a középtávú cél felett lehet az infláció</w:t>
      </w:r>
    </w:p>
    <w:p w14:paraId="631EFCEE" w14:textId="77777777" w:rsidR="005C518C" w:rsidRPr="00A97707" w:rsidRDefault="00A97707" w:rsidP="00A4053D">
      <w:pPr>
        <w:spacing w:after="120" w:line="360" w:lineRule="auto"/>
        <w:jc w:val="both"/>
        <w:rPr>
          <w:rFonts w:ascii="Arial" w:hAnsi="Arial" w:cs="Arial"/>
          <w:bCs/>
          <w:sz w:val="20"/>
          <w:szCs w:val="20"/>
        </w:rPr>
      </w:pPr>
      <w:r w:rsidRPr="00A97707">
        <w:rPr>
          <w:rFonts w:ascii="Arial" w:hAnsi="Arial" w:cs="Arial"/>
          <w:b/>
          <w:bCs/>
          <w:sz w:val="20"/>
          <w:szCs w:val="20"/>
        </w:rPr>
        <w:t xml:space="preserve">7,4% maradt az infláció decemberben </w:t>
      </w:r>
      <w:r w:rsidRPr="00A97707">
        <w:rPr>
          <w:rFonts w:ascii="Arial" w:hAnsi="Arial" w:cs="Arial"/>
          <w:bCs/>
          <w:sz w:val="20"/>
          <w:szCs w:val="20"/>
        </w:rPr>
        <w:t xml:space="preserve">az igen széleskörű áremelkedés miatt, mivel a dohánytermékek jövedéki adójának egy évvel ezelőtti emelésének hatása elkezdett kiesni a bázisból, valamint az üzemanyagárak egy évvel ezelőtti megugrása, illetve a november második felében bevezetett 480 forintos </w:t>
      </w:r>
      <w:proofErr w:type="spellStart"/>
      <w:r w:rsidRPr="00A97707">
        <w:rPr>
          <w:rFonts w:ascii="Arial" w:hAnsi="Arial" w:cs="Arial"/>
          <w:bCs/>
          <w:sz w:val="20"/>
          <w:szCs w:val="20"/>
        </w:rPr>
        <w:t>árplafon</w:t>
      </w:r>
      <w:proofErr w:type="spellEnd"/>
      <w:r w:rsidRPr="00A97707">
        <w:rPr>
          <w:rFonts w:ascii="Arial" w:hAnsi="Arial" w:cs="Arial"/>
          <w:bCs/>
          <w:sz w:val="20"/>
          <w:szCs w:val="20"/>
        </w:rPr>
        <w:t>, valamint az alá esése önmagában</w:t>
      </w:r>
      <w:r w:rsidRPr="00A97707">
        <w:rPr>
          <w:rFonts w:ascii="Arial" w:hAnsi="Arial" w:cs="Arial"/>
          <w:b/>
          <w:bCs/>
          <w:sz w:val="20"/>
          <w:szCs w:val="20"/>
        </w:rPr>
        <w:t xml:space="preserve"> 0,8 százalékponttal mérsékelhette volna az inflációt. </w:t>
      </w:r>
      <w:r w:rsidRPr="00A97707">
        <w:rPr>
          <w:rFonts w:ascii="Arial" w:hAnsi="Arial" w:cs="Arial"/>
          <w:bCs/>
          <w:sz w:val="20"/>
          <w:szCs w:val="20"/>
        </w:rPr>
        <w:t xml:space="preserve">Az erősödő </w:t>
      </w:r>
      <w:proofErr w:type="spellStart"/>
      <w:r w:rsidRPr="00A97707">
        <w:rPr>
          <w:rFonts w:ascii="Arial" w:hAnsi="Arial" w:cs="Arial"/>
          <w:bCs/>
          <w:sz w:val="20"/>
          <w:szCs w:val="20"/>
        </w:rPr>
        <w:t>árnyomást</w:t>
      </w:r>
      <w:proofErr w:type="spellEnd"/>
      <w:r w:rsidRPr="00A97707">
        <w:rPr>
          <w:rFonts w:ascii="Arial" w:hAnsi="Arial" w:cs="Arial"/>
          <w:bCs/>
          <w:sz w:val="20"/>
          <w:szCs w:val="20"/>
        </w:rPr>
        <w:t xml:space="preserve"> tükrözi, hogy</w:t>
      </w:r>
      <w:r w:rsidRPr="00A97707">
        <w:rPr>
          <w:rFonts w:ascii="Arial" w:hAnsi="Arial" w:cs="Arial"/>
          <w:b/>
          <w:bCs/>
          <w:sz w:val="20"/>
          <w:szCs w:val="20"/>
        </w:rPr>
        <w:t xml:space="preserve"> a maginfláció 6,4%-</w:t>
      </w:r>
      <w:proofErr w:type="spellStart"/>
      <w:r w:rsidRPr="00A97707">
        <w:rPr>
          <w:rFonts w:ascii="Arial" w:hAnsi="Arial" w:cs="Arial"/>
          <w:b/>
          <w:bCs/>
          <w:sz w:val="20"/>
          <w:szCs w:val="20"/>
        </w:rPr>
        <w:t>ra</w:t>
      </w:r>
      <w:proofErr w:type="spellEnd"/>
      <w:r w:rsidRPr="00A97707">
        <w:rPr>
          <w:rFonts w:ascii="Arial" w:hAnsi="Arial" w:cs="Arial"/>
          <w:b/>
          <w:bCs/>
          <w:sz w:val="20"/>
          <w:szCs w:val="20"/>
        </w:rPr>
        <w:t xml:space="preserve"> ugrott, </w:t>
      </w:r>
      <w:r w:rsidRPr="00A97707">
        <w:rPr>
          <w:rFonts w:ascii="Arial" w:hAnsi="Arial" w:cs="Arial"/>
          <w:bCs/>
          <w:sz w:val="20"/>
          <w:szCs w:val="20"/>
        </w:rPr>
        <w:t>ami bőven felülmúlta a várakozásokat</w:t>
      </w:r>
      <w:r w:rsidRPr="00A97707">
        <w:rPr>
          <w:rFonts w:ascii="Arial" w:hAnsi="Arial" w:cs="Arial"/>
          <w:b/>
          <w:bCs/>
          <w:sz w:val="20"/>
          <w:szCs w:val="20"/>
        </w:rPr>
        <w:t xml:space="preserve">. </w:t>
      </w:r>
      <w:r w:rsidRPr="00A97707">
        <w:rPr>
          <w:rFonts w:ascii="Arial" w:hAnsi="Arial" w:cs="Arial"/>
          <w:bCs/>
          <w:sz w:val="20"/>
          <w:szCs w:val="20"/>
        </w:rPr>
        <w:t xml:space="preserve">A </w:t>
      </w:r>
      <w:r w:rsidRPr="00A97707">
        <w:rPr>
          <w:rFonts w:ascii="Arial" w:hAnsi="Arial" w:cs="Arial"/>
          <w:bCs/>
          <w:sz w:val="20"/>
          <w:szCs w:val="20"/>
        </w:rPr>
        <w:lastRenderedPageBreak/>
        <w:t xml:space="preserve">meglepetést az élelmiszerek és tartós </w:t>
      </w:r>
      <w:proofErr w:type="spellStart"/>
      <w:r w:rsidRPr="00A97707">
        <w:rPr>
          <w:rFonts w:ascii="Arial" w:hAnsi="Arial" w:cs="Arial"/>
          <w:bCs/>
          <w:sz w:val="20"/>
          <w:szCs w:val="20"/>
        </w:rPr>
        <w:t>fogyazstási</w:t>
      </w:r>
      <w:proofErr w:type="spellEnd"/>
      <w:r w:rsidRPr="00A97707">
        <w:rPr>
          <w:rFonts w:ascii="Arial" w:hAnsi="Arial" w:cs="Arial"/>
          <w:bCs/>
          <w:sz w:val="20"/>
          <w:szCs w:val="20"/>
        </w:rPr>
        <w:t xml:space="preserve"> cikkek vártnál lényegesen gyorsabb áremelkedése okozta. Az egyre tartósabbnak ígérkező magas infláció miatt szükséges volt a kamatemelési ciklus elindítása, ráadásul még számos felfelé mutató kockázatot jelentenek a nyersanyagárak másodkörös hatásai, az </w:t>
      </w:r>
      <w:proofErr w:type="spellStart"/>
      <w:r w:rsidRPr="00A97707">
        <w:rPr>
          <w:rFonts w:ascii="Arial" w:hAnsi="Arial" w:cs="Arial"/>
          <w:bCs/>
          <w:sz w:val="20"/>
          <w:szCs w:val="20"/>
        </w:rPr>
        <w:t>újranyitás</w:t>
      </w:r>
      <w:proofErr w:type="spellEnd"/>
      <w:r w:rsidRPr="00A97707">
        <w:rPr>
          <w:rFonts w:ascii="Arial" w:hAnsi="Arial" w:cs="Arial"/>
          <w:bCs/>
          <w:sz w:val="20"/>
          <w:szCs w:val="20"/>
        </w:rPr>
        <w:t xml:space="preserve"> miatt felrobbanó kereslet, amit a kínálat lassabban tud követni, a munkaerőhiány miatt várhatóan érdemben megugró bérek, így az MNB a kamatemelési ciklus gyorsítására kényszerülhet.</w:t>
      </w:r>
      <w:r w:rsidRPr="00A97707">
        <w:rPr>
          <w:rFonts w:ascii="Arial" w:hAnsi="Arial" w:cs="Arial"/>
          <w:b/>
          <w:bCs/>
          <w:sz w:val="20"/>
          <w:szCs w:val="20"/>
        </w:rPr>
        <w:t xml:space="preserve">  </w:t>
      </w:r>
      <w:r w:rsidRPr="00A97707">
        <w:rPr>
          <w:rFonts w:ascii="Arial" w:hAnsi="Arial" w:cs="Arial"/>
          <w:bCs/>
          <w:sz w:val="20"/>
          <w:szCs w:val="20"/>
        </w:rPr>
        <w:t xml:space="preserve">Egyes alapvető élelmiszerek árainak rögzítése a következő hónapokban némileg mérsékelheti az inflációt, ugyanakkor a tőzsdei gázárak elszállásának még beláthatatlan következményei lehetnek. Noha a hazai háztartási energiaárak feltehetően nem változnak a közeljövőben, a </w:t>
      </w:r>
      <w:r w:rsidRPr="00F65429">
        <w:rPr>
          <w:rFonts w:ascii="Arial" w:hAnsi="Arial" w:cs="Arial"/>
          <w:b/>
          <w:bCs/>
          <w:sz w:val="20"/>
          <w:szCs w:val="20"/>
        </w:rPr>
        <w:t xml:space="preserve">gázárak </w:t>
      </w:r>
      <w:proofErr w:type="spellStart"/>
      <w:r w:rsidRPr="00F65429">
        <w:rPr>
          <w:rFonts w:ascii="Arial" w:hAnsi="Arial" w:cs="Arial"/>
          <w:b/>
          <w:bCs/>
          <w:sz w:val="20"/>
          <w:szCs w:val="20"/>
        </w:rPr>
        <w:t>megötszöröződése</w:t>
      </w:r>
      <w:proofErr w:type="spellEnd"/>
      <w:r w:rsidRPr="00F65429">
        <w:rPr>
          <w:rFonts w:ascii="Arial" w:hAnsi="Arial" w:cs="Arial"/>
          <w:b/>
          <w:bCs/>
          <w:sz w:val="20"/>
          <w:szCs w:val="20"/>
        </w:rPr>
        <w:t xml:space="preserve">, az áramárak </w:t>
      </w:r>
      <w:proofErr w:type="spellStart"/>
      <w:r w:rsidRPr="00F65429">
        <w:rPr>
          <w:rFonts w:ascii="Arial" w:hAnsi="Arial" w:cs="Arial"/>
          <w:b/>
          <w:bCs/>
          <w:sz w:val="20"/>
          <w:szCs w:val="20"/>
        </w:rPr>
        <w:t>megháromszorozódása</w:t>
      </w:r>
      <w:proofErr w:type="spellEnd"/>
      <w:r w:rsidRPr="00F65429">
        <w:rPr>
          <w:rFonts w:ascii="Arial" w:hAnsi="Arial" w:cs="Arial"/>
          <w:b/>
          <w:bCs/>
          <w:sz w:val="20"/>
          <w:szCs w:val="20"/>
        </w:rPr>
        <w:t xml:space="preserve"> számos ágazatban, és szinte minden ipari folyamatban megjelenhet,</w:t>
      </w:r>
      <w:r w:rsidRPr="00A97707">
        <w:rPr>
          <w:rFonts w:ascii="Arial" w:hAnsi="Arial" w:cs="Arial"/>
          <w:bCs/>
          <w:sz w:val="20"/>
          <w:szCs w:val="20"/>
        </w:rPr>
        <w:t xml:space="preserve"> így a pékáruktól az élelmiszertermeléshez szükséges </w:t>
      </w:r>
      <w:proofErr w:type="gramStart"/>
      <w:r w:rsidRPr="00A97707">
        <w:rPr>
          <w:rFonts w:ascii="Arial" w:hAnsi="Arial" w:cs="Arial"/>
          <w:bCs/>
          <w:sz w:val="20"/>
          <w:szCs w:val="20"/>
        </w:rPr>
        <w:t>műtrágyáig  jelentős</w:t>
      </w:r>
      <w:proofErr w:type="gramEnd"/>
      <w:r w:rsidRPr="00A97707">
        <w:rPr>
          <w:rFonts w:ascii="Arial" w:hAnsi="Arial" w:cs="Arial"/>
          <w:bCs/>
          <w:sz w:val="20"/>
          <w:szCs w:val="20"/>
        </w:rPr>
        <w:t xml:space="preserve"> mértékű drágulást okozhat. Az inflációban ugyanakkor hangsúlyosan jelen vannak </w:t>
      </w:r>
      <w:r w:rsidRPr="00F65429">
        <w:rPr>
          <w:rFonts w:ascii="Arial" w:hAnsi="Arial" w:cs="Arial"/>
          <w:b/>
          <w:bCs/>
          <w:sz w:val="20"/>
          <w:szCs w:val="20"/>
        </w:rPr>
        <w:t>egyszeri tényezők</w:t>
      </w:r>
      <w:r w:rsidRPr="00A97707">
        <w:rPr>
          <w:rFonts w:ascii="Arial" w:hAnsi="Arial" w:cs="Arial"/>
          <w:bCs/>
          <w:sz w:val="20"/>
          <w:szCs w:val="20"/>
        </w:rPr>
        <w:t xml:space="preserve"> is, mint a dohánytermékek jövedéki adóemelése, ami önmagában 1,2 százalékponttal növelte az inflációt, a tavalyi év végétől idén áprilisig pedig két lépésben ugyanennyivel vissza fogja húzni az inflációt, ezért </w:t>
      </w:r>
      <w:r w:rsidRPr="00F65429">
        <w:rPr>
          <w:rFonts w:ascii="Arial" w:hAnsi="Arial" w:cs="Arial"/>
          <w:b/>
          <w:bCs/>
          <w:sz w:val="20"/>
          <w:szCs w:val="20"/>
        </w:rPr>
        <w:t>az idei év végére már visszatérhet az infláció a toleranciasáv felső széle, 4% alá.</w:t>
      </w:r>
      <w:r w:rsidRPr="00A97707">
        <w:rPr>
          <w:rFonts w:ascii="Arial" w:hAnsi="Arial" w:cs="Arial"/>
          <w:bCs/>
          <w:sz w:val="20"/>
          <w:szCs w:val="20"/>
        </w:rPr>
        <w:t xml:space="preserve"> Ugyanakkor az előbb említett kockázatok hosszabb távú hatással járhatnak.</w:t>
      </w:r>
    </w:p>
    <w:p w14:paraId="36DA2761" w14:textId="77777777" w:rsidR="005C518C" w:rsidRPr="00EF0933" w:rsidRDefault="001D510E" w:rsidP="00A4053D">
      <w:pPr>
        <w:spacing w:after="120" w:line="360" w:lineRule="auto"/>
        <w:jc w:val="both"/>
        <w:rPr>
          <w:rFonts w:ascii="Arial" w:hAnsi="Arial" w:cs="Arial"/>
          <w:sz w:val="20"/>
          <w:szCs w:val="20"/>
        </w:rPr>
      </w:pPr>
      <w:r w:rsidRPr="001D510E">
        <w:rPr>
          <w:rFonts w:ascii="Arial" w:hAnsi="Arial" w:cs="Arial"/>
          <w:bCs/>
          <w:sz w:val="20"/>
          <w:szCs w:val="20"/>
        </w:rPr>
        <w:t xml:space="preserve">A következő hónapokban </w:t>
      </w:r>
      <w:r w:rsidRPr="001D510E">
        <w:rPr>
          <w:rFonts w:ascii="Arial" w:hAnsi="Arial" w:cs="Arial"/>
          <w:b/>
          <w:bCs/>
          <w:sz w:val="20"/>
          <w:szCs w:val="20"/>
        </w:rPr>
        <w:t>bázishatások miatt már mérséklődhet az infláció</w:t>
      </w:r>
      <w:r w:rsidRPr="001D510E">
        <w:rPr>
          <w:rFonts w:ascii="Arial" w:hAnsi="Arial" w:cs="Arial"/>
          <w:bCs/>
          <w:sz w:val="20"/>
          <w:szCs w:val="20"/>
        </w:rPr>
        <w:t xml:space="preserve">, azonban a számos terméket érintő nemzetközi hatások miatt messze magasabb lesz, mint amire korábban számítani lehetett. A vártnál jóval szélesebb körű, és meredekebb áremelkedések hatására </w:t>
      </w:r>
      <w:r w:rsidRPr="001D510E">
        <w:rPr>
          <w:rFonts w:ascii="Arial" w:hAnsi="Arial" w:cs="Arial"/>
          <w:b/>
          <w:bCs/>
          <w:sz w:val="20"/>
          <w:szCs w:val="20"/>
        </w:rPr>
        <w:t>az idei inflációs várakozásunkat 5%-</w:t>
      </w:r>
      <w:proofErr w:type="spellStart"/>
      <w:r w:rsidRPr="001D510E">
        <w:rPr>
          <w:rFonts w:ascii="Arial" w:hAnsi="Arial" w:cs="Arial"/>
          <w:b/>
          <w:bCs/>
          <w:sz w:val="20"/>
          <w:szCs w:val="20"/>
        </w:rPr>
        <w:t>ról</w:t>
      </w:r>
      <w:proofErr w:type="spellEnd"/>
      <w:r w:rsidRPr="001D510E">
        <w:rPr>
          <w:rFonts w:ascii="Arial" w:hAnsi="Arial" w:cs="Arial"/>
          <w:b/>
          <w:bCs/>
          <w:sz w:val="20"/>
          <w:szCs w:val="20"/>
        </w:rPr>
        <w:t xml:space="preserve"> 5,5%-</w:t>
      </w:r>
      <w:proofErr w:type="spellStart"/>
      <w:r w:rsidRPr="001D510E">
        <w:rPr>
          <w:rFonts w:ascii="Arial" w:hAnsi="Arial" w:cs="Arial"/>
          <w:b/>
          <w:bCs/>
          <w:sz w:val="20"/>
          <w:szCs w:val="20"/>
        </w:rPr>
        <w:t>ra</w:t>
      </w:r>
      <w:proofErr w:type="spellEnd"/>
      <w:r w:rsidRPr="001D510E">
        <w:rPr>
          <w:rFonts w:ascii="Arial" w:hAnsi="Arial" w:cs="Arial"/>
          <w:b/>
          <w:bCs/>
          <w:sz w:val="20"/>
          <w:szCs w:val="20"/>
        </w:rPr>
        <w:t xml:space="preserve"> emeljük,</w:t>
      </w:r>
      <w:r w:rsidRPr="001D510E">
        <w:rPr>
          <w:rFonts w:ascii="Arial" w:hAnsi="Arial" w:cs="Arial"/>
          <w:bCs/>
          <w:sz w:val="20"/>
          <w:szCs w:val="20"/>
        </w:rPr>
        <w:t xml:space="preserve"> továbbra is érdemi felfelé mutató kockázatokkal, amit a globális alapanyag-, nyersanyag-, alkatrészhiány, a nemzetközi szállítási árak elszállása és a globális energiaválság okoz. Az inflációra emellett a jelentős béremelések, a bérköltségek érdemi növekedése, a lakosság többletjövedelmei miatt várható keresletélénkülés is kockázatot jelent.</w:t>
      </w:r>
    </w:p>
    <w:p w14:paraId="6A2583CF" w14:textId="77777777" w:rsidR="005C518C" w:rsidRPr="00E23806" w:rsidRDefault="001D435A" w:rsidP="00316464">
      <w:pPr>
        <w:pStyle w:val="Alcmtbank"/>
      </w:pPr>
      <w:r>
        <w:t>Kamatemelési ciklus az inflációs kockázatok miatt</w:t>
      </w:r>
    </w:p>
    <w:p w14:paraId="3C3E98A8" w14:textId="77777777" w:rsidR="008A6A74" w:rsidRPr="00294EDE" w:rsidRDefault="00000405" w:rsidP="00A4053D">
      <w:pPr>
        <w:spacing w:after="120" w:line="360" w:lineRule="auto"/>
        <w:jc w:val="both"/>
        <w:rPr>
          <w:rFonts w:ascii="Arial" w:hAnsi="Arial" w:cs="Arial"/>
          <w:sz w:val="20"/>
          <w:szCs w:val="20"/>
        </w:rPr>
      </w:pPr>
      <w:r w:rsidRPr="0001238E">
        <w:rPr>
          <w:rFonts w:ascii="Arial" w:hAnsi="Arial" w:cs="Arial"/>
          <w:b/>
          <w:sz w:val="20"/>
          <w:szCs w:val="20"/>
        </w:rPr>
        <w:t>2,40%-</w:t>
      </w:r>
      <w:proofErr w:type="spellStart"/>
      <w:r w:rsidRPr="0001238E">
        <w:rPr>
          <w:rFonts w:ascii="Arial" w:hAnsi="Arial" w:cs="Arial"/>
          <w:b/>
          <w:sz w:val="20"/>
          <w:szCs w:val="20"/>
        </w:rPr>
        <w:t>ra</w:t>
      </w:r>
      <w:proofErr w:type="spellEnd"/>
      <w:r w:rsidRPr="0001238E">
        <w:rPr>
          <w:rFonts w:ascii="Arial" w:hAnsi="Arial" w:cs="Arial"/>
          <w:b/>
          <w:sz w:val="20"/>
          <w:szCs w:val="20"/>
        </w:rPr>
        <w:t xml:space="preserve"> emelkedett az alapkamat</w:t>
      </w:r>
      <w:r w:rsidRPr="00000405">
        <w:rPr>
          <w:rFonts w:ascii="Arial" w:hAnsi="Arial" w:cs="Arial"/>
          <w:sz w:val="20"/>
          <w:szCs w:val="20"/>
        </w:rPr>
        <w:t xml:space="preserve"> decemberben a korábbi 2,10%-</w:t>
      </w:r>
      <w:proofErr w:type="spellStart"/>
      <w:r w:rsidRPr="00000405">
        <w:rPr>
          <w:rFonts w:ascii="Arial" w:hAnsi="Arial" w:cs="Arial"/>
          <w:sz w:val="20"/>
          <w:szCs w:val="20"/>
        </w:rPr>
        <w:t>ról</w:t>
      </w:r>
      <w:proofErr w:type="spellEnd"/>
      <w:r w:rsidRPr="00000405">
        <w:rPr>
          <w:rFonts w:ascii="Arial" w:hAnsi="Arial" w:cs="Arial"/>
          <w:sz w:val="20"/>
          <w:szCs w:val="20"/>
        </w:rPr>
        <w:t>, a Monetáris Tanács emellett 80p-tal 2,40%-</w:t>
      </w:r>
      <w:proofErr w:type="spellStart"/>
      <w:r w:rsidRPr="00000405">
        <w:rPr>
          <w:rFonts w:ascii="Arial" w:hAnsi="Arial" w:cs="Arial"/>
          <w:sz w:val="20"/>
          <w:szCs w:val="20"/>
        </w:rPr>
        <w:t>ra</w:t>
      </w:r>
      <w:proofErr w:type="spellEnd"/>
      <w:r w:rsidRPr="00000405">
        <w:rPr>
          <w:rFonts w:ascii="Arial" w:hAnsi="Arial" w:cs="Arial"/>
          <w:sz w:val="20"/>
          <w:szCs w:val="20"/>
        </w:rPr>
        <w:t xml:space="preserve"> emelte az egynapos betéti, valamint 30bp-tal 4,40%-</w:t>
      </w:r>
      <w:proofErr w:type="spellStart"/>
      <w:r w:rsidRPr="00000405">
        <w:rPr>
          <w:rFonts w:ascii="Arial" w:hAnsi="Arial" w:cs="Arial"/>
          <w:sz w:val="20"/>
          <w:szCs w:val="20"/>
        </w:rPr>
        <w:t>ra</w:t>
      </w:r>
      <w:proofErr w:type="spellEnd"/>
      <w:r w:rsidRPr="00000405">
        <w:rPr>
          <w:rFonts w:ascii="Arial" w:hAnsi="Arial" w:cs="Arial"/>
          <w:sz w:val="20"/>
          <w:szCs w:val="20"/>
        </w:rPr>
        <w:t xml:space="preserve"> az egynapos és egyhetes fedezett hitel kamatát. </w:t>
      </w:r>
      <w:r w:rsidRPr="0001238E">
        <w:rPr>
          <w:rFonts w:ascii="Arial" w:hAnsi="Arial" w:cs="Arial"/>
          <w:b/>
          <w:sz w:val="20"/>
          <w:szCs w:val="20"/>
        </w:rPr>
        <w:t>Az egyhetes betéti kamat a tavalyi év végére 4,00%-</w:t>
      </w:r>
      <w:proofErr w:type="spellStart"/>
      <w:r w:rsidRPr="0001238E">
        <w:rPr>
          <w:rFonts w:ascii="Arial" w:hAnsi="Arial" w:cs="Arial"/>
          <w:b/>
          <w:sz w:val="20"/>
          <w:szCs w:val="20"/>
        </w:rPr>
        <w:t>ra</w:t>
      </w:r>
      <w:proofErr w:type="spellEnd"/>
      <w:r w:rsidRPr="0001238E">
        <w:rPr>
          <w:rFonts w:ascii="Arial" w:hAnsi="Arial" w:cs="Arial"/>
          <w:b/>
          <w:sz w:val="20"/>
          <w:szCs w:val="20"/>
        </w:rPr>
        <w:t xml:space="preserve"> emelkedett</w:t>
      </w:r>
      <w:r w:rsidRPr="00000405">
        <w:rPr>
          <w:rFonts w:ascii="Arial" w:hAnsi="Arial" w:cs="Arial"/>
          <w:sz w:val="20"/>
          <w:szCs w:val="20"/>
        </w:rPr>
        <w:t xml:space="preserve">. Az inflációs kockázatok fokozódása és a korábbi várakozásoknál messze magasabb infláció miatt az MNB a közelmúltban elválasztotta az effektív egyhetes betéti kamatot az alapkamattól, ezenkívül kiszélesítette, valamint aszimmetrikussá tette a kamatfolyosót, annak érdekében, hogy a pénz- és árupiaci mozgások kiszámíthatatlansága miatt növelje a mozgásterét. A Monetáris Tanács decemberi ülésén </w:t>
      </w:r>
      <w:r w:rsidRPr="005B48AC">
        <w:rPr>
          <w:rFonts w:ascii="Arial" w:hAnsi="Arial" w:cs="Arial"/>
          <w:b/>
          <w:sz w:val="20"/>
          <w:szCs w:val="20"/>
        </w:rPr>
        <w:t>Növekedési Kötvényprogram és az állampapír-vásárlási program lezárásáról</w:t>
      </w:r>
      <w:r w:rsidRPr="00000405">
        <w:rPr>
          <w:rFonts w:ascii="Arial" w:hAnsi="Arial" w:cs="Arial"/>
          <w:sz w:val="20"/>
          <w:szCs w:val="20"/>
        </w:rPr>
        <w:t xml:space="preserve"> is döntött. </w:t>
      </w:r>
      <w:r w:rsidR="0001238E" w:rsidRPr="00E86D4B">
        <w:rPr>
          <w:rFonts w:ascii="Arial" w:hAnsi="Arial" w:cs="Arial"/>
          <w:sz w:val="20"/>
          <w:szCs w:val="20"/>
        </w:rPr>
        <w:t xml:space="preserve">A Monetáris Tanács megítélése szerint az inflációt övező </w:t>
      </w:r>
      <w:r w:rsidR="0001238E" w:rsidRPr="00E86D4B">
        <w:rPr>
          <w:rFonts w:ascii="Arial" w:hAnsi="Arial" w:cs="Arial"/>
          <w:b/>
          <w:sz w:val="20"/>
          <w:szCs w:val="20"/>
        </w:rPr>
        <w:t>kockázatok</w:t>
      </w:r>
      <w:r w:rsidR="0001238E" w:rsidRPr="00E86D4B">
        <w:rPr>
          <w:rFonts w:ascii="Arial" w:hAnsi="Arial" w:cs="Arial"/>
          <w:sz w:val="20"/>
          <w:szCs w:val="20"/>
        </w:rPr>
        <w:t xml:space="preserve"> továbbra is </w:t>
      </w:r>
      <w:r w:rsidR="0001238E" w:rsidRPr="00E86D4B">
        <w:rPr>
          <w:rFonts w:ascii="Arial" w:hAnsi="Arial" w:cs="Arial"/>
          <w:b/>
          <w:sz w:val="20"/>
          <w:szCs w:val="20"/>
        </w:rPr>
        <w:t>felfelé mutatnak</w:t>
      </w:r>
      <w:r w:rsidR="0001238E" w:rsidRPr="00E86D4B">
        <w:rPr>
          <w:rFonts w:ascii="Arial" w:hAnsi="Arial" w:cs="Arial"/>
          <w:sz w:val="20"/>
          <w:szCs w:val="20"/>
        </w:rPr>
        <w:t>. Az inflációs várakozások emelkedtek az elmúlt hónapokban. A t</w:t>
      </w:r>
      <w:r w:rsidR="0001238E" w:rsidRPr="00E86D4B">
        <w:rPr>
          <w:rFonts w:ascii="Arial" w:hAnsi="Arial" w:cs="Arial"/>
          <w:b/>
          <w:sz w:val="20"/>
          <w:szCs w:val="20"/>
        </w:rPr>
        <w:t>artósan magas nyersanyag- és energiaárak, a nemzetközi szállítmányozás költségeinek emelkedése</w:t>
      </w:r>
      <w:r w:rsidR="0001238E" w:rsidRPr="00E86D4B">
        <w:rPr>
          <w:rFonts w:ascii="Arial" w:hAnsi="Arial" w:cs="Arial"/>
          <w:sz w:val="20"/>
          <w:szCs w:val="20"/>
        </w:rPr>
        <w:t xml:space="preserve">, valamint az egyre szélesebb körű </w:t>
      </w:r>
      <w:r w:rsidR="0001238E" w:rsidRPr="00E86D4B">
        <w:rPr>
          <w:rFonts w:ascii="Arial" w:hAnsi="Arial" w:cs="Arial"/>
          <w:b/>
          <w:sz w:val="20"/>
          <w:szCs w:val="20"/>
        </w:rPr>
        <w:t>ellátási nehézségek</w:t>
      </w:r>
      <w:r w:rsidR="0001238E" w:rsidRPr="00E86D4B">
        <w:rPr>
          <w:rFonts w:ascii="Arial" w:hAnsi="Arial" w:cs="Arial"/>
          <w:sz w:val="20"/>
          <w:szCs w:val="20"/>
        </w:rPr>
        <w:t xml:space="preserve"> változatlanul tartósabb külső inflációs nyomás irányába mutatnak. Eközben a feszes munkaerőpiac az </w:t>
      </w:r>
      <w:r w:rsidR="0001238E" w:rsidRPr="00E86D4B">
        <w:rPr>
          <w:rFonts w:ascii="Arial" w:hAnsi="Arial" w:cs="Arial"/>
          <w:b/>
          <w:sz w:val="20"/>
          <w:szCs w:val="20"/>
        </w:rPr>
        <w:t>élénkülő bérdinamikával</w:t>
      </w:r>
      <w:r w:rsidR="0001238E" w:rsidRPr="00E86D4B">
        <w:rPr>
          <w:rFonts w:ascii="Arial" w:hAnsi="Arial" w:cs="Arial"/>
          <w:sz w:val="20"/>
          <w:szCs w:val="20"/>
        </w:rPr>
        <w:t xml:space="preserve"> és a magasabb inflációs környezettel párosulva az inflációs várakozások további emelkedését és a </w:t>
      </w:r>
      <w:r w:rsidR="0001238E" w:rsidRPr="00E86D4B">
        <w:rPr>
          <w:rFonts w:ascii="Arial" w:hAnsi="Arial" w:cs="Arial"/>
          <w:b/>
          <w:sz w:val="20"/>
          <w:szCs w:val="20"/>
        </w:rPr>
        <w:t>másodkörös inflációs kockázatok erősödését</w:t>
      </w:r>
      <w:r w:rsidR="0001238E">
        <w:rPr>
          <w:rFonts w:ascii="Arial" w:hAnsi="Arial" w:cs="Arial"/>
          <w:sz w:val="20"/>
          <w:szCs w:val="20"/>
        </w:rPr>
        <w:t xml:space="preserve"> </w:t>
      </w:r>
      <w:r w:rsidR="0001238E">
        <w:rPr>
          <w:rFonts w:ascii="Arial" w:hAnsi="Arial" w:cs="Arial"/>
          <w:sz w:val="20"/>
          <w:szCs w:val="20"/>
        </w:rPr>
        <w:lastRenderedPageBreak/>
        <w:t xml:space="preserve">eredményezheti. </w:t>
      </w:r>
      <w:r w:rsidR="0057042A" w:rsidRPr="00C2546C">
        <w:rPr>
          <w:rFonts w:ascii="Arial" w:hAnsi="Arial" w:cs="Arial"/>
          <w:sz w:val="20"/>
          <w:szCs w:val="20"/>
        </w:rPr>
        <w:t xml:space="preserve"> </w:t>
      </w:r>
      <w:r w:rsidR="00B203AA" w:rsidRPr="005F0C61">
        <w:rPr>
          <w:rFonts w:ascii="Arial" w:hAnsi="Arial" w:cs="Arial"/>
          <w:sz w:val="20"/>
          <w:szCs w:val="20"/>
        </w:rPr>
        <w:t xml:space="preserve">Ezért az </w:t>
      </w:r>
      <w:r w:rsidR="00B203AA" w:rsidRPr="00B636B7">
        <w:rPr>
          <w:rFonts w:ascii="Arial" w:hAnsi="Arial" w:cs="Arial"/>
          <w:b/>
          <w:sz w:val="20"/>
          <w:szCs w:val="20"/>
        </w:rPr>
        <w:t>MNB proaktív jelleggel kamatemelési ciklust</w:t>
      </w:r>
      <w:r w:rsidR="00B203AA" w:rsidRPr="005F0C61">
        <w:rPr>
          <w:rFonts w:ascii="Arial" w:hAnsi="Arial" w:cs="Arial"/>
          <w:sz w:val="20"/>
          <w:szCs w:val="20"/>
        </w:rPr>
        <w:t xml:space="preserve"> kezdett, ami az MNB iránymutatása szerint </w:t>
      </w:r>
      <w:r w:rsidR="00B203AA" w:rsidRPr="00B636B7">
        <w:rPr>
          <w:rFonts w:ascii="Arial" w:hAnsi="Arial" w:cs="Arial"/>
          <w:b/>
          <w:sz w:val="20"/>
          <w:szCs w:val="20"/>
        </w:rPr>
        <w:t>az idei év elején is határozott ütemben</w:t>
      </w:r>
      <w:r w:rsidR="00B203AA" w:rsidRPr="005F0C61">
        <w:rPr>
          <w:rFonts w:ascii="Arial" w:hAnsi="Arial" w:cs="Arial"/>
          <w:sz w:val="20"/>
          <w:szCs w:val="20"/>
        </w:rPr>
        <w:t xml:space="preserve"> folytatódhat, így a tavaszi hónapokig </w:t>
      </w:r>
      <w:r w:rsidR="00B203AA" w:rsidRPr="00B636B7">
        <w:rPr>
          <w:rFonts w:ascii="Arial" w:hAnsi="Arial" w:cs="Arial"/>
          <w:b/>
          <w:sz w:val="20"/>
          <w:szCs w:val="20"/>
        </w:rPr>
        <w:t>további kamatemelésekre</w:t>
      </w:r>
      <w:r w:rsidR="00B203AA" w:rsidRPr="005F0C61">
        <w:rPr>
          <w:rFonts w:ascii="Arial" w:hAnsi="Arial" w:cs="Arial"/>
          <w:sz w:val="20"/>
          <w:szCs w:val="20"/>
        </w:rPr>
        <w:t xml:space="preserve"> számítunk. A </w:t>
      </w:r>
      <w:r w:rsidR="00B203AA">
        <w:rPr>
          <w:rFonts w:ascii="Arial" w:hAnsi="Arial" w:cs="Arial"/>
          <w:sz w:val="20"/>
          <w:szCs w:val="20"/>
        </w:rPr>
        <w:t>tavaszi hónapokban</w:t>
      </w:r>
      <w:r w:rsidR="00B203AA" w:rsidRPr="005F0C61">
        <w:rPr>
          <w:rFonts w:ascii="Arial" w:hAnsi="Arial" w:cs="Arial"/>
          <w:sz w:val="20"/>
          <w:szCs w:val="20"/>
        </w:rPr>
        <w:t xml:space="preserve"> véget érhet a kamatemelési ciklus, mivel </w:t>
      </w:r>
      <w:r w:rsidR="00B203AA">
        <w:rPr>
          <w:rFonts w:ascii="Arial" w:hAnsi="Arial" w:cs="Arial"/>
          <w:sz w:val="20"/>
          <w:szCs w:val="20"/>
        </w:rPr>
        <w:t>az idei</w:t>
      </w:r>
      <w:r w:rsidR="00B203AA" w:rsidRPr="005F0C61">
        <w:rPr>
          <w:rFonts w:ascii="Arial" w:hAnsi="Arial" w:cs="Arial"/>
          <w:sz w:val="20"/>
          <w:szCs w:val="20"/>
        </w:rPr>
        <w:t xml:space="preserve"> inflációs kilátásokat számos bázishatás javíthatja, így feltehetően nem lesz szükség további szigorításra. Az inflációs kockázatok számottevő fokozódása miatt azonban tovább emeljük a kamatemelési várakozásunkat, ennek megfelelően </w:t>
      </w:r>
      <w:r w:rsidR="00B203AA">
        <w:rPr>
          <w:rFonts w:ascii="Arial" w:hAnsi="Arial" w:cs="Arial"/>
          <w:sz w:val="20"/>
          <w:szCs w:val="20"/>
        </w:rPr>
        <w:t xml:space="preserve">az első negyedévében </w:t>
      </w:r>
      <w:r w:rsidR="00B203AA">
        <w:rPr>
          <w:rFonts w:ascii="Arial" w:hAnsi="Arial" w:cs="Arial"/>
          <w:b/>
          <w:sz w:val="20"/>
          <w:szCs w:val="20"/>
        </w:rPr>
        <w:t>4,0</w:t>
      </w:r>
      <w:r w:rsidR="00B203AA" w:rsidRPr="00B636B7">
        <w:rPr>
          <w:rFonts w:ascii="Arial" w:hAnsi="Arial" w:cs="Arial"/>
          <w:b/>
          <w:sz w:val="20"/>
          <w:szCs w:val="20"/>
        </w:rPr>
        <w:t>0%-</w:t>
      </w:r>
      <w:proofErr w:type="spellStart"/>
      <w:r w:rsidR="00B203AA" w:rsidRPr="00B636B7">
        <w:rPr>
          <w:rFonts w:ascii="Arial" w:hAnsi="Arial" w:cs="Arial"/>
          <w:b/>
          <w:sz w:val="20"/>
          <w:szCs w:val="20"/>
        </w:rPr>
        <w:t>ig</w:t>
      </w:r>
      <w:proofErr w:type="spellEnd"/>
      <w:r w:rsidR="00B203AA" w:rsidRPr="00B636B7">
        <w:rPr>
          <w:rFonts w:ascii="Arial" w:hAnsi="Arial" w:cs="Arial"/>
          <w:b/>
          <w:sz w:val="20"/>
          <w:szCs w:val="20"/>
        </w:rPr>
        <w:t xml:space="preserve"> emelkedhet az alapkamat</w:t>
      </w:r>
      <w:r w:rsidR="00B203AA" w:rsidRPr="005F0C61">
        <w:rPr>
          <w:rFonts w:ascii="Arial" w:hAnsi="Arial" w:cs="Arial"/>
          <w:sz w:val="20"/>
          <w:szCs w:val="20"/>
        </w:rPr>
        <w:t xml:space="preserve">, ami az év végéig ezen a szinten maradhat, míg </w:t>
      </w:r>
      <w:r w:rsidR="00B203AA" w:rsidRPr="00B636B7">
        <w:rPr>
          <w:rFonts w:ascii="Arial" w:hAnsi="Arial" w:cs="Arial"/>
          <w:b/>
          <w:sz w:val="20"/>
          <w:szCs w:val="20"/>
        </w:rPr>
        <w:t>az egyhetes betéti kamat az inflác</w:t>
      </w:r>
      <w:r w:rsidR="00B203AA">
        <w:rPr>
          <w:rFonts w:ascii="Arial" w:hAnsi="Arial" w:cs="Arial"/>
          <w:b/>
          <w:sz w:val="20"/>
          <w:szCs w:val="20"/>
        </w:rPr>
        <w:t>ió alakulásának függvényében 4,75-5,0</w:t>
      </w:r>
      <w:r w:rsidR="00B203AA" w:rsidRPr="00B636B7">
        <w:rPr>
          <w:rFonts w:ascii="Arial" w:hAnsi="Arial" w:cs="Arial"/>
          <w:b/>
          <w:sz w:val="20"/>
          <w:szCs w:val="20"/>
        </w:rPr>
        <w:t>0%-</w:t>
      </w:r>
      <w:proofErr w:type="spellStart"/>
      <w:r w:rsidR="00B203AA" w:rsidRPr="00B636B7">
        <w:rPr>
          <w:rFonts w:ascii="Arial" w:hAnsi="Arial" w:cs="Arial"/>
          <w:b/>
          <w:sz w:val="20"/>
          <w:szCs w:val="20"/>
        </w:rPr>
        <w:t>ig</w:t>
      </w:r>
      <w:proofErr w:type="spellEnd"/>
      <w:r w:rsidR="00B203AA" w:rsidRPr="00B636B7">
        <w:rPr>
          <w:rFonts w:ascii="Arial" w:hAnsi="Arial" w:cs="Arial"/>
          <w:b/>
          <w:sz w:val="20"/>
          <w:szCs w:val="20"/>
        </w:rPr>
        <w:t xml:space="preserve"> emelkedhet</w:t>
      </w:r>
      <w:r w:rsidR="00B203AA" w:rsidRPr="005F0C61">
        <w:rPr>
          <w:rFonts w:ascii="Arial" w:hAnsi="Arial" w:cs="Arial"/>
          <w:sz w:val="20"/>
          <w:szCs w:val="20"/>
        </w:rPr>
        <w:t>. A</w:t>
      </w:r>
      <w:r w:rsidR="00B203AA">
        <w:rPr>
          <w:rFonts w:ascii="Arial" w:hAnsi="Arial" w:cs="Arial"/>
          <w:sz w:val="20"/>
          <w:szCs w:val="20"/>
        </w:rPr>
        <w:t>z</w:t>
      </w:r>
      <w:r w:rsidR="00B203AA" w:rsidRPr="005F0C61">
        <w:rPr>
          <w:rFonts w:ascii="Arial" w:hAnsi="Arial" w:cs="Arial"/>
          <w:sz w:val="20"/>
          <w:szCs w:val="20"/>
        </w:rPr>
        <w:t xml:space="preserve"> év végétől azonban elkezdődhet </w:t>
      </w:r>
      <w:r w:rsidR="00B203AA" w:rsidRPr="00B636B7">
        <w:rPr>
          <w:rFonts w:ascii="Arial" w:hAnsi="Arial" w:cs="Arial"/>
          <w:b/>
          <w:sz w:val="20"/>
          <w:szCs w:val="20"/>
        </w:rPr>
        <w:t>az egyhetes betéti kamat mérséklése</w:t>
      </w:r>
      <w:r w:rsidR="00B203AA" w:rsidRPr="005F0C61">
        <w:rPr>
          <w:rFonts w:ascii="Arial" w:hAnsi="Arial" w:cs="Arial"/>
          <w:sz w:val="20"/>
          <w:szCs w:val="20"/>
        </w:rPr>
        <w:t xml:space="preserve">, valamint fokozatos </w:t>
      </w:r>
      <w:r w:rsidR="00B203AA" w:rsidRPr="00B636B7">
        <w:rPr>
          <w:rFonts w:ascii="Arial" w:hAnsi="Arial" w:cs="Arial"/>
          <w:b/>
          <w:sz w:val="20"/>
          <w:szCs w:val="20"/>
        </w:rPr>
        <w:t>visszazárása</w:t>
      </w:r>
      <w:r w:rsidR="00B203AA" w:rsidRPr="005F0C61">
        <w:rPr>
          <w:rFonts w:ascii="Arial" w:hAnsi="Arial" w:cs="Arial"/>
          <w:sz w:val="20"/>
          <w:szCs w:val="20"/>
        </w:rPr>
        <w:t xml:space="preserve"> az alapkamathoz, amennyiben az inflációs előrejelzések a bázishatások miatt arra utalnak, hogy az infláció 2023-ban visszatérhet a toleranciasávba.</w:t>
      </w:r>
      <w:r w:rsidR="0057042A">
        <w:rPr>
          <w:rFonts w:ascii="Arial" w:hAnsi="Arial" w:cs="Arial"/>
          <w:sz w:val="20"/>
          <w:szCs w:val="20"/>
        </w:rPr>
        <w:t xml:space="preserve"> </w:t>
      </w:r>
      <w:r w:rsidR="003628BA" w:rsidRPr="00CC5CDE">
        <w:rPr>
          <w:rFonts w:ascii="Arial" w:hAnsi="Arial" w:cs="Arial"/>
          <w:b/>
          <w:sz w:val="20"/>
          <w:szCs w:val="20"/>
        </w:rPr>
        <w:t xml:space="preserve"> </w:t>
      </w:r>
      <w:r w:rsidR="00A940D7">
        <w:rPr>
          <w:rFonts w:ascii="Arial" w:hAnsi="Arial" w:cs="Arial"/>
          <w:sz w:val="20"/>
        </w:rPr>
        <w:t xml:space="preserve">  </w:t>
      </w:r>
      <w:r w:rsidR="005C518C" w:rsidRPr="00E23806">
        <w:rPr>
          <w:rFonts w:ascii="Arial" w:hAnsi="Arial" w:cs="Arial"/>
          <w:sz w:val="20"/>
        </w:rPr>
        <w:t xml:space="preserve">     </w:t>
      </w:r>
    </w:p>
    <w:p w14:paraId="4873338E" w14:textId="77777777" w:rsidR="005C518C" w:rsidRPr="00E23806" w:rsidRDefault="00B203AA" w:rsidP="00316464">
      <w:pPr>
        <w:pStyle w:val="Alcmtbank"/>
      </w:pPr>
      <w:bookmarkStart w:id="0" w:name="_Hlk5803158"/>
      <w:r>
        <w:t>Csúcson a foglalkoztatás</w:t>
      </w:r>
      <w:r w:rsidR="005C518C" w:rsidRPr="00E23806">
        <w:t>, tartósan emelkednek a reálbérek</w:t>
      </w:r>
    </w:p>
    <w:bookmarkEnd w:id="0"/>
    <w:p w14:paraId="068DB637" w14:textId="77777777" w:rsidR="005C518C" w:rsidRPr="00E23806" w:rsidRDefault="00B203AA" w:rsidP="00A4053D">
      <w:pPr>
        <w:spacing w:after="120" w:line="360" w:lineRule="auto"/>
        <w:jc w:val="both"/>
        <w:rPr>
          <w:rFonts w:ascii="Arial" w:hAnsi="Arial" w:cs="Arial"/>
          <w:b/>
          <w:sz w:val="20"/>
        </w:rPr>
      </w:pPr>
      <w:r>
        <w:rPr>
          <w:rFonts w:ascii="Arial" w:hAnsi="Arial" w:cs="Arial"/>
          <w:b/>
          <w:sz w:val="20"/>
          <w:szCs w:val="20"/>
        </w:rPr>
        <w:t>3,7</w:t>
      </w:r>
      <w:r w:rsidRPr="00FD658E">
        <w:rPr>
          <w:rFonts w:ascii="Arial" w:hAnsi="Arial" w:cs="Arial"/>
          <w:b/>
          <w:sz w:val="20"/>
          <w:szCs w:val="20"/>
        </w:rPr>
        <w:t>%-</w:t>
      </w:r>
      <w:proofErr w:type="spellStart"/>
      <w:r w:rsidRPr="00FD658E">
        <w:rPr>
          <w:rFonts w:ascii="Arial" w:hAnsi="Arial" w:cs="Arial"/>
          <w:b/>
          <w:sz w:val="20"/>
          <w:szCs w:val="20"/>
        </w:rPr>
        <w:t>ra</w:t>
      </w:r>
      <w:proofErr w:type="spellEnd"/>
      <w:r w:rsidRPr="00FD658E">
        <w:rPr>
          <w:rFonts w:ascii="Arial" w:hAnsi="Arial" w:cs="Arial"/>
          <w:b/>
          <w:sz w:val="20"/>
          <w:szCs w:val="20"/>
        </w:rPr>
        <w:t xml:space="preserve"> </w:t>
      </w:r>
      <w:r>
        <w:rPr>
          <w:rFonts w:ascii="Arial" w:hAnsi="Arial" w:cs="Arial"/>
          <w:b/>
          <w:sz w:val="20"/>
          <w:szCs w:val="20"/>
        </w:rPr>
        <w:t>csökkent</w:t>
      </w:r>
      <w:r w:rsidRPr="00FD658E">
        <w:rPr>
          <w:rFonts w:ascii="Arial" w:hAnsi="Arial" w:cs="Arial"/>
          <w:b/>
          <w:sz w:val="20"/>
          <w:szCs w:val="20"/>
        </w:rPr>
        <w:t xml:space="preserve"> a munkanélküliségi ráta </w:t>
      </w:r>
      <w:r>
        <w:rPr>
          <w:rFonts w:ascii="Arial" w:hAnsi="Arial" w:cs="Arial"/>
          <w:sz w:val="20"/>
          <w:szCs w:val="20"/>
        </w:rPr>
        <w:t>szeptember és november között az előző háromhavi 3,8% után</w:t>
      </w:r>
      <w:r w:rsidRPr="00FD658E">
        <w:rPr>
          <w:rFonts w:ascii="Arial" w:hAnsi="Arial" w:cs="Arial"/>
          <w:sz w:val="20"/>
          <w:szCs w:val="20"/>
        </w:rPr>
        <w:t>.</w:t>
      </w:r>
      <w:r>
        <w:rPr>
          <w:rFonts w:ascii="Arial" w:hAnsi="Arial" w:cs="Arial"/>
          <w:sz w:val="20"/>
          <w:szCs w:val="20"/>
        </w:rPr>
        <w:t xml:space="preserve"> </w:t>
      </w:r>
      <w:r>
        <w:rPr>
          <w:rFonts w:ascii="Arial" w:hAnsi="Arial" w:cs="Arial"/>
          <w:b/>
          <w:sz w:val="20"/>
          <w:szCs w:val="20"/>
        </w:rPr>
        <w:t>Egy év alatt 70 ezerrel, 4,687</w:t>
      </w:r>
      <w:r w:rsidRPr="00FD658E">
        <w:rPr>
          <w:rFonts w:ascii="Arial" w:hAnsi="Arial" w:cs="Arial"/>
          <w:b/>
          <w:sz w:val="20"/>
          <w:szCs w:val="20"/>
        </w:rPr>
        <w:t xml:space="preserve"> millióra </w:t>
      </w:r>
      <w:r>
        <w:rPr>
          <w:rFonts w:ascii="Arial" w:hAnsi="Arial" w:cs="Arial"/>
          <w:b/>
          <w:sz w:val="20"/>
          <w:szCs w:val="20"/>
        </w:rPr>
        <w:t>nőtt</w:t>
      </w:r>
      <w:r w:rsidRPr="00FD658E">
        <w:rPr>
          <w:rFonts w:ascii="Arial" w:hAnsi="Arial" w:cs="Arial"/>
          <w:b/>
          <w:sz w:val="20"/>
          <w:szCs w:val="20"/>
        </w:rPr>
        <w:t xml:space="preserve"> a foglalkoztatottak száma</w:t>
      </w:r>
      <w:r>
        <w:rPr>
          <w:rFonts w:ascii="Arial" w:hAnsi="Arial" w:cs="Arial"/>
          <w:b/>
          <w:sz w:val="20"/>
          <w:szCs w:val="20"/>
        </w:rPr>
        <w:t>, ami nem csupán a járvány előtti szintet haladja meg, hanem a rendszerváltás óta a legmagasabb érték</w:t>
      </w:r>
      <w:r w:rsidRPr="00FD658E">
        <w:rPr>
          <w:rFonts w:ascii="Arial" w:hAnsi="Arial" w:cs="Arial"/>
          <w:sz w:val="20"/>
          <w:szCs w:val="20"/>
        </w:rPr>
        <w:t xml:space="preserve">. </w:t>
      </w:r>
      <w:r>
        <w:rPr>
          <w:rFonts w:ascii="Arial" w:hAnsi="Arial" w:cs="Arial"/>
          <w:b/>
          <w:sz w:val="20"/>
          <w:szCs w:val="20"/>
        </w:rPr>
        <w:t>Az elsődleges munkaerőpiacon 88</w:t>
      </w:r>
      <w:r w:rsidRPr="00FD658E">
        <w:rPr>
          <w:rFonts w:ascii="Arial" w:hAnsi="Arial" w:cs="Arial"/>
          <w:b/>
          <w:sz w:val="20"/>
          <w:szCs w:val="20"/>
        </w:rPr>
        <w:t xml:space="preserve"> ezerrel </w:t>
      </w:r>
      <w:r>
        <w:rPr>
          <w:rFonts w:ascii="Arial" w:hAnsi="Arial" w:cs="Arial"/>
          <w:b/>
          <w:sz w:val="20"/>
          <w:szCs w:val="20"/>
        </w:rPr>
        <w:t>nőtt</w:t>
      </w:r>
      <w:r w:rsidRPr="00FD658E">
        <w:rPr>
          <w:rFonts w:ascii="Arial" w:hAnsi="Arial" w:cs="Arial"/>
          <w:b/>
          <w:sz w:val="20"/>
          <w:szCs w:val="20"/>
        </w:rPr>
        <w:t xml:space="preserve"> a munkahelyek száma</w:t>
      </w:r>
      <w:r w:rsidRPr="00FD658E">
        <w:rPr>
          <w:rFonts w:ascii="Arial" w:hAnsi="Arial" w:cs="Arial"/>
          <w:sz w:val="20"/>
          <w:szCs w:val="20"/>
        </w:rPr>
        <w:t xml:space="preserve"> egy év alatt, </w:t>
      </w:r>
      <w:r>
        <w:rPr>
          <w:rFonts w:ascii="Arial" w:hAnsi="Arial" w:cs="Arial"/>
          <w:b/>
          <w:sz w:val="20"/>
          <w:szCs w:val="20"/>
        </w:rPr>
        <w:t>a közfoglalkoztatottak száma 4</w:t>
      </w:r>
      <w:r w:rsidRPr="00FD658E">
        <w:rPr>
          <w:rFonts w:ascii="Arial" w:hAnsi="Arial" w:cs="Arial"/>
          <w:b/>
          <w:sz w:val="20"/>
          <w:szCs w:val="20"/>
        </w:rPr>
        <w:t xml:space="preserve"> ezer fővel</w:t>
      </w:r>
      <w:r w:rsidRPr="00FD658E">
        <w:rPr>
          <w:rFonts w:ascii="Arial" w:hAnsi="Arial" w:cs="Arial"/>
          <w:sz w:val="20"/>
          <w:szCs w:val="20"/>
        </w:rPr>
        <w:t xml:space="preserve">, a külföldön dolgozók létszáma </w:t>
      </w:r>
      <w:r>
        <w:rPr>
          <w:rFonts w:ascii="Arial" w:hAnsi="Arial" w:cs="Arial"/>
          <w:sz w:val="20"/>
          <w:szCs w:val="20"/>
        </w:rPr>
        <w:t>pedig 14</w:t>
      </w:r>
      <w:r w:rsidRPr="00FD658E">
        <w:rPr>
          <w:rFonts w:ascii="Arial" w:hAnsi="Arial" w:cs="Arial"/>
          <w:sz w:val="20"/>
          <w:szCs w:val="20"/>
        </w:rPr>
        <w:t xml:space="preserve"> ezer fővel csökkent.</w:t>
      </w:r>
      <w:r>
        <w:rPr>
          <w:rFonts w:ascii="Arial" w:hAnsi="Arial" w:cs="Arial"/>
          <w:sz w:val="20"/>
          <w:szCs w:val="20"/>
        </w:rPr>
        <w:t xml:space="preserve"> </w:t>
      </w:r>
      <w:r>
        <w:rPr>
          <w:rFonts w:ascii="Arial" w:hAnsi="Arial" w:cs="Arial"/>
          <w:b/>
          <w:sz w:val="20"/>
          <w:szCs w:val="20"/>
        </w:rPr>
        <w:t>2021</w:t>
      </w:r>
      <w:r w:rsidRPr="00BB0CA5">
        <w:rPr>
          <w:rFonts w:ascii="Arial" w:hAnsi="Arial" w:cs="Arial"/>
          <w:b/>
          <w:sz w:val="20"/>
          <w:szCs w:val="20"/>
        </w:rPr>
        <w:t xml:space="preserve"> </w:t>
      </w:r>
      <w:r>
        <w:rPr>
          <w:rFonts w:ascii="Arial" w:hAnsi="Arial" w:cs="Arial"/>
          <w:b/>
          <w:sz w:val="20"/>
          <w:szCs w:val="20"/>
        </w:rPr>
        <w:t>novemberében</w:t>
      </w:r>
      <w:r w:rsidRPr="00E179BE">
        <w:rPr>
          <w:rFonts w:ascii="Arial" w:hAnsi="Arial" w:cs="Arial"/>
          <w:sz w:val="20"/>
          <w:szCs w:val="20"/>
        </w:rPr>
        <w:t xml:space="preserve"> a foglalkoztatottak átlagos havi létszáma </w:t>
      </w:r>
      <w:r>
        <w:rPr>
          <w:rFonts w:ascii="Arial" w:hAnsi="Arial" w:cs="Arial"/>
          <w:b/>
          <w:sz w:val="20"/>
          <w:szCs w:val="20"/>
        </w:rPr>
        <w:t xml:space="preserve">4 millió 678 ezer fő volt, </w:t>
      </w:r>
      <w:r>
        <w:rPr>
          <w:rFonts w:ascii="Arial" w:hAnsi="Arial" w:cs="Arial"/>
          <w:sz w:val="20"/>
          <w:szCs w:val="20"/>
        </w:rPr>
        <w:t>44</w:t>
      </w:r>
      <w:r w:rsidRPr="00E179BE">
        <w:rPr>
          <w:rFonts w:ascii="Arial" w:hAnsi="Arial" w:cs="Arial"/>
          <w:sz w:val="20"/>
          <w:szCs w:val="20"/>
        </w:rPr>
        <w:t xml:space="preserve"> ezer fővel </w:t>
      </w:r>
      <w:r>
        <w:rPr>
          <w:rFonts w:ascii="Arial" w:hAnsi="Arial" w:cs="Arial"/>
          <w:sz w:val="20"/>
          <w:szCs w:val="20"/>
        </w:rPr>
        <w:t>több, mint egy évvel korábban.</w:t>
      </w:r>
      <w:r w:rsidRPr="00FD658E">
        <w:rPr>
          <w:rFonts w:ascii="Arial" w:hAnsi="Arial" w:cs="Arial"/>
          <w:sz w:val="20"/>
          <w:szCs w:val="20"/>
        </w:rPr>
        <w:t xml:space="preserve"> </w:t>
      </w:r>
      <w:r w:rsidRPr="00FD658E">
        <w:rPr>
          <w:rFonts w:ascii="Arial" w:hAnsi="Arial" w:cs="Arial"/>
          <w:b/>
          <w:sz w:val="20"/>
          <w:szCs w:val="20"/>
        </w:rPr>
        <w:t>A munkanélküliek száma</w:t>
      </w:r>
      <w:r w:rsidRPr="00FD658E">
        <w:rPr>
          <w:rFonts w:ascii="Arial" w:hAnsi="Arial" w:cs="Arial"/>
          <w:sz w:val="20"/>
          <w:szCs w:val="20"/>
        </w:rPr>
        <w:t xml:space="preserve"> </w:t>
      </w:r>
      <w:r>
        <w:rPr>
          <w:rFonts w:ascii="Arial" w:hAnsi="Arial" w:cs="Arial"/>
          <w:sz w:val="20"/>
          <w:szCs w:val="20"/>
        </w:rPr>
        <w:t>7 ezer</w:t>
      </w:r>
      <w:r w:rsidRPr="00FD658E">
        <w:rPr>
          <w:rFonts w:ascii="Arial" w:hAnsi="Arial" w:cs="Arial"/>
          <w:sz w:val="20"/>
          <w:szCs w:val="20"/>
        </w:rPr>
        <w:t xml:space="preserve"> fővel </w:t>
      </w:r>
      <w:r>
        <w:rPr>
          <w:rFonts w:ascii="Arial" w:hAnsi="Arial" w:cs="Arial"/>
          <w:sz w:val="20"/>
          <w:szCs w:val="20"/>
        </w:rPr>
        <w:t>csökkent</w:t>
      </w:r>
      <w:r w:rsidRPr="00FD658E">
        <w:rPr>
          <w:rFonts w:ascii="Arial" w:hAnsi="Arial" w:cs="Arial"/>
          <w:sz w:val="20"/>
          <w:szCs w:val="20"/>
        </w:rPr>
        <w:t xml:space="preserve"> a</w:t>
      </w:r>
      <w:r>
        <w:rPr>
          <w:rFonts w:ascii="Arial" w:hAnsi="Arial" w:cs="Arial"/>
          <w:sz w:val="20"/>
          <w:szCs w:val="20"/>
        </w:rPr>
        <w:t>z</w:t>
      </w:r>
      <w:r w:rsidRPr="00FD658E">
        <w:rPr>
          <w:rFonts w:ascii="Arial" w:hAnsi="Arial" w:cs="Arial"/>
          <w:sz w:val="20"/>
          <w:szCs w:val="20"/>
        </w:rPr>
        <w:t xml:space="preserve"> </w:t>
      </w:r>
      <w:r>
        <w:rPr>
          <w:rFonts w:ascii="Arial" w:hAnsi="Arial" w:cs="Arial"/>
          <w:sz w:val="20"/>
          <w:szCs w:val="20"/>
        </w:rPr>
        <w:t>előző háromhavi</w:t>
      </w:r>
      <w:r w:rsidRPr="00FD658E">
        <w:rPr>
          <w:rFonts w:ascii="Arial" w:hAnsi="Arial" w:cs="Arial"/>
          <w:sz w:val="20"/>
          <w:szCs w:val="20"/>
        </w:rPr>
        <w:t xml:space="preserve"> átlaghoz képest, míg </w:t>
      </w:r>
      <w:r>
        <w:rPr>
          <w:rFonts w:ascii="Arial" w:hAnsi="Arial" w:cs="Arial"/>
          <w:b/>
          <w:sz w:val="20"/>
          <w:szCs w:val="20"/>
        </w:rPr>
        <w:t>23</w:t>
      </w:r>
      <w:r w:rsidRPr="00FD658E">
        <w:rPr>
          <w:rFonts w:ascii="Arial" w:hAnsi="Arial" w:cs="Arial"/>
          <w:b/>
          <w:sz w:val="20"/>
          <w:szCs w:val="20"/>
        </w:rPr>
        <w:t xml:space="preserve"> ezer fővel </w:t>
      </w:r>
      <w:r>
        <w:rPr>
          <w:rFonts w:ascii="Arial" w:hAnsi="Arial" w:cs="Arial"/>
          <w:b/>
          <w:sz w:val="20"/>
          <w:szCs w:val="20"/>
        </w:rPr>
        <w:t>csökkent</w:t>
      </w:r>
      <w:r w:rsidRPr="00FD658E">
        <w:rPr>
          <w:rFonts w:ascii="Arial" w:hAnsi="Arial" w:cs="Arial"/>
          <w:sz w:val="20"/>
          <w:szCs w:val="20"/>
        </w:rPr>
        <w:t xml:space="preserve"> az egy évvel ezelőttihez képest,</w:t>
      </w:r>
      <w:r>
        <w:rPr>
          <w:rFonts w:ascii="Arial" w:hAnsi="Arial" w:cs="Arial"/>
          <w:sz w:val="20"/>
          <w:szCs w:val="20"/>
        </w:rPr>
        <w:t xml:space="preserve"> így a munkanélküliségi ráta 3,7%-</w:t>
      </w:r>
      <w:proofErr w:type="spellStart"/>
      <w:r>
        <w:rPr>
          <w:rFonts w:ascii="Arial" w:hAnsi="Arial" w:cs="Arial"/>
          <w:sz w:val="20"/>
          <w:szCs w:val="20"/>
        </w:rPr>
        <w:t>ra</w:t>
      </w:r>
      <w:proofErr w:type="spellEnd"/>
      <w:r>
        <w:rPr>
          <w:rFonts w:ascii="Arial" w:hAnsi="Arial" w:cs="Arial"/>
          <w:sz w:val="20"/>
          <w:szCs w:val="20"/>
        </w:rPr>
        <w:t xml:space="preserve"> mérséklődött</w:t>
      </w:r>
      <w:r w:rsidRPr="00FD658E">
        <w:rPr>
          <w:rFonts w:ascii="Arial" w:hAnsi="Arial" w:cs="Arial"/>
          <w:sz w:val="20"/>
          <w:szCs w:val="20"/>
        </w:rPr>
        <w:t xml:space="preserve"> az egy évve</w:t>
      </w:r>
      <w:r>
        <w:rPr>
          <w:rFonts w:ascii="Arial" w:hAnsi="Arial" w:cs="Arial"/>
          <w:sz w:val="20"/>
          <w:szCs w:val="20"/>
        </w:rPr>
        <w:t>l korábbi 4,2</w:t>
      </w:r>
      <w:r w:rsidRPr="00FD658E">
        <w:rPr>
          <w:rFonts w:ascii="Arial" w:hAnsi="Arial" w:cs="Arial"/>
          <w:sz w:val="20"/>
          <w:szCs w:val="20"/>
        </w:rPr>
        <w:t>%-</w:t>
      </w:r>
      <w:proofErr w:type="spellStart"/>
      <w:r w:rsidRPr="00FD658E">
        <w:rPr>
          <w:rFonts w:ascii="Arial" w:hAnsi="Arial" w:cs="Arial"/>
          <w:sz w:val="20"/>
          <w:szCs w:val="20"/>
        </w:rPr>
        <w:t>ról</w:t>
      </w:r>
      <w:proofErr w:type="spellEnd"/>
      <w:r w:rsidRPr="00FD658E">
        <w:rPr>
          <w:rFonts w:ascii="Arial" w:hAnsi="Arial" w:cs="Arial"/>
          <w:sz w:val="20"/>
          <w:szCs w:val="20"/>
        </w:rPr>
        <w:t xml:space="preserve">. A 15-74 éves korosztályban a gazdaságilag aktívak száma egy év alatt </w:t>
      </w:r>
      <w:r>
        <w:rPr>
          <w:rFonts w:ascii="Arial" w:hAnsi="Arial" w:cs="Arial"/>
          <w:sz w:val="20"/>
          <w:szCs w:val="20"/>
        </w:rPr>
        <w:t>45 ezer fővel 4,864</w:t>
      </w:r>
      <w:r w:rsidRPr="00FD658E">
        <w:rPr>
          <w:rFonts w:ascii="Arial" w:hAnsi="Arial" w:cs="Arial"/>
          <w:sz w:val="20"/>
          <w:szCs w:val="20"/>
        </w:rPr>
        <w:t xml:space="preserve"> millióra </w:t>
      </w:r>
      <w:r>
        <w:rPr>
          <w:rFonts w:ascii="Arial" w:hAnsi="Arial" w:cs="Arial"/>
          <w:sz w:val="20"/>
          <w:szCs w:val="20"/>
        </w:rPr>
        <w:t>nőtt</w:t>
      </w:r>
      <w:r w:rsidRPr="00FD658E">
        <w:rPr>
          <w:rFonts w:ascii="Arial" w:hAnsi="Arial" w:cs="Arial"/>
          <w:sz w:val="20"/>
          <w:szCs w:val="20"/>
        </w:rPr>
        <w:t xml:space="preserve">. A </w:t>
      </w:r>
      <w:r>
        <w:rPr>
          <w:rFonts w:ascii="Arial" w:hAnsi="Arial" w:cs="Arial"/>
          <w:sz w:val="20"/>
          <w:szCs w:val="20"/>
        </w:rPr>
        <w:t>15</w:t>
      </w:r>
      <w:r w:rsidRPr="00FD658E">
        <w:rPr>
          <w:rFonts w:ascii="Arial" w:hAnsi="Arial" w:cs="Arial"/>
          <w:sz w:val="20"/>
          <w:szCs w:val="20"/>
        </w:rPr>
        <w:t>–64 éves korcsoport esetében</w:t>
      </w:r>
      <w:r>
        <w:rPr>
          <w:rFonts w:ascii="Arial" w:hAnsi="Arial" w:cs="Arial"/>
          <w:sz w:val="20"/>
          <w:szCs w:val="20"/>
        </w:rPr>
        <w:t xml:space="preserve"> egy év alatt</w:t>
      </w:r>
      <w:r w:rsidRPr="00FD658E">
        <w:rPr>
          <w:rFonts w:ascii="Arial" w:hAnsi="Arial" w:cs="Arial"/>
          <w:sz w:val="20"/>
          <w:szCs w:val="20"/>
        </w:rPr>
        <w:t xml:space="preserve"> </w:t>
      </w:r>
      <w:r w:rsidRPr="00FD658E">
        <w:rPr>
          <w:rFonts w:ascii="Arial" w:hAnsi="Arial" w:cs="Arial"/>
          <w:b/>
          <w:sz w:val="20"/>
          <w:szCs w:val="20"/>
        </w:rPr>
        <w:t>a foglalkoztatás</w:t>
      </w:r>
      <w:r>
        <w:rPr>
          <w:rFonts w:ascii="Arial" w:hAnsi="Arial" w:cs="Arial"/>
          <w:b/>
          <w:sz w:val="20"/>
          <w:szCs w:val="20"/>
        </w:rPr>
        <w:t>i ráta 1,6 százalékponttal, 74</w:t>
      </w:r>
      <w:r w:rsidRPr="00FD658E">
        <w:rPr>
          <w:rFonts w:ascii="Arial" w:hAnsi="Arial" w:cs="Arial"/>
          <w:b/>
          <w:sz w:val="20"/>
          <w:szCs w:val="20"/>
        </w:rPr>
        <w:t>%-</w:t>
      </w:r>
      <w:proofErr w:type="spellStart"/>
      <w:r w:rsidRPr="00FD658E">
        <w:rPr>
          <w:rFonts w:ascii="Arial" w:hAnsi="Arial" w:cs="Arial"/>
          <w:b/>
          <w:sz w:val="20"/>
          <w:szCs w:val="20"/>
        </w:rPr>
        <w:t>ra</w:t>
      </w:r>
      <w:proofErr w:type="spellEnd"/>
      <w:r w:rsidRPr="00FD658E">
        <w:rPr>
          <w:rFonts w:ascii="Arial" w:hAnsi="Arial" w:cs="Arial"/>
          <w:b/>
          <w:sz w:val="20"/>
          <w:szCs w:val="20"/>
        </w:rPr>
        <w:t xml:space="preserve"> </w:t>
      </w:r>
      <w:r>
        <w:rPr>
          <w:rFonts w:ascii="Arial" w:hAnsi="Arial" w:cs="Arial"/>
          <w:b/>
          <w:sz w:val="20"/>
          <w:szCs w:val="20"/>
        </w:rPr>
        <w:t>nőtt</w:t>
      </w:r>
      <w:r>
        <w:rPr>
          <w:rFonts w:ascii="Arial" w:hAnsi="Arial" w:cs="Arial"/>
          <w:sz w:val="20"/>
          <w:szCs w:val="20"/>
        </w:rPr>
        <w:t xml:space="preserve">. </w:t>
      </w:r>
      <w:r w:rsidR="00B870CB" w:rsidRPr="004A504A">
        <w:rPr>
          <w:rFonts w:ascii="Arial" w:hAnsi="Arial" w:cs="Arial"/>
          <w:sz w:val="20"/>
          <w:szCs w:val="20"/>
        </w:rPr>
        <w:t xml:space="preserve">A harmadik hullámos korlátozások végével hamar magára talált a hazai munkaerőpiac, történelmi csúcsra emelkedett a foglalkoztatottak száma, a nyitási lehetőséggel párhuzamosan láthatóan aktív toborzásba kezdtek a vállalatok, így a nyár végére visszatért a válság előtti feszesség a hazai piacra és újra emelkedik a betöltetlen álláshelyek száma. Várakozásunk szerint </w:t>
      </w:r>
      <w:r>
        <w:rPr>
          <w:rFonts w:ascii="Arial" w:hAnsi="Arial" w:cs="Arial"/>
          <w:b/>
          <w:sz w:val="20"/>
          <w:szCs w:val="20"/>
        </w:rPr>
        <w:t>tavaly</w:t>
      </w:r>
      <w:r w:rsidR="00B870CB" w:rsidRPr="004A504A">
        <w:rPr>
          <w:rFonts w:ascii="Arial" w:hAnsi="Arial" w:cs="Arial"/>
          <w:b/>
          <w:sz w:val="20"/>
          <w:szCs w:val="20"/>
        </w:rPr>
        <w:t xml:space="preserve"> 4.0%, </w:t>
      </w:r>
      <w:r>
        <w:rPr>
          <w:rFonts w:ascii="Arial" w:hAnsi="Arial" w:cs="Arial"/>
          <w:b/>
          <w:sz w:val="20"/>
          <w:szCs w:val="20"/>
        </w:rPr>
        <w:t>idén</w:t>
      </w:r>
      <w:r w:rsidR="00B870CB" w:rsidRPr="004A504A">
        <w:rPr>
          <w:rFonts w:ascii="Arial" w:hAnsi="Arial" w:cs="Arial"/>
          <w:b/>
          <w:sz w:val="20"/>
          <w:szCs w:val="20"/>
        </w:rPr>
        <w:t xml:space="preserve"> pedig 3.3% lehet a</w:t>
      </w:r>
      <w:r>
        <w:rPr>
          <w:rFonts w:ascii="Arial" w:hAnsi="Arial" w:cs="Arial"/>
          <w:b/>
          <w:sz w:val="20"/>
          <w:szCs w:val="20"/>
        </w:rPr>
        <w:t>z átlagos</w:t>
      </w:r>
      <w:r w:rsidR="00B870CB" w:rsidRPr="004A504A">
        <w:rPr>
          <w:rFonts w:ascii="Arial" w:hAnsi="Arial" w:cs="Arial"/>
          <w:b/>
          <w:sz w:val="20"/>
          <w:szCs w:val="20"/>
        </w:rPr>
        <w:t xml:space="preserve"> munkanélküliség</w:t>
      </w:r>
      <w:r>
        <w:rPr>
          <w:rFonts w:ascii="Arial" w:hAnsi="Arial" w:cs="Arial"/>
          <w:b/>
          <w:sz w:val="20"/>
          <w:szCs w:val="20"/>
        </w:rPr>
        <w:t>i ráta</w:t>
      </w:r>
      <w:r w:rsidR="00A4322D" w:rsidRPr="00FD658E">
        <w:rPr>
          <w:rFonts w:ascii="Arial" w:hAnsi="Arial" w:cs="Arial"/>
          <w:sz w:val="20"/>
          <w:szCs w:val="20"/>
        </w:rPr>
        <w:t>.</w:t>
      </w:r>
      <w:r w:rsidR="00AE2E78">
        <w:rPr>
          <w:rFonts w:ascii="Arial" w:hAnsi="Arial" w:cs="Arial"/>
          <w:sz w:val="20"/>
          <w:szCs w:val="20"/>
        </w:rPr>
        <w:t xml:space="preserve"> </w:t>
      </w:r>
      <w:r w:rsidR="004E4584" w:rsidRPr="00FD658E">
        <w:rPr>
          <w:rFonts w:ascii="Arial" w:hAnsi="Arial" w:cs="Arial"/>
          <w:sz w:val="20"/>
          <w:szCs w:val="20"/>
        </w:rPr>
        <w:t xml:space="preserve"> </w:t>
      </w:r>
      <w:r w:rsidR="005C518C">
        <w:rPr>
          <w:rFonts w:ascii="Arial" w:hAnsi="Arial" w:cs="Arial"/>
          <w:sz w:val="20"/>
        </w:rPr>
        <w:t xml:space="preserve">     </w:t>
      </w:r>
      <w:r w:rsidR="005C518C" w:rsidRPr="00E23806">
        <w:rPr>
          <w:rFonts w:ascii="Arial" w:hAnsi="Arial" w:cs="Arial"/>
          <w:sz w:val="20"/>
        </w:rPr>
        <w:t xml:space="preserve"> </w:t>
      </w:r>
    </w:p>
    <w:p w14:paraId="0594177A" w14:textId="77777777" w:rsidR="009A1BC1" w:rsidRDefault="00066C4A" w:rsidP="00A4053D">
      <w:pPr>
        <w:spacing w:after="120" w:line="360" w:lineRule="auto"/>
        <w:jc w:val="both"/>
        <w:rPr>
          <w:rFonts w:ascii="Arial" w:hAnsi="Arial" w:cs="Arial"/>
          <w:sz w:val="20"/>
          <w:szCs w:val="20"/>
        </w:rPr>
      </w:pPr>
      <w:r>
        <w:rPr>
          <w:rFonts w:ascii="Arial" w:hAnsi="Arial" w:cs="Arial"/>
          <w:b/>
          <w:sz w:val="20"/>
          <w:szCs w:val="20"/>
        </w:rPr>
        <w:t>8,5</w:t>
      </w:r>
      <w:r w:rsidRPr="007D7D26">
        <w:rPr>
          <w:rFonts w:ascii="Arial" w:hAnsi="Arial" w:cs="Arial"/>
          <w:b/>
          <w:sz w:val="20"/>
          <w:szCs w:val="20"/>
        </w:rPr>
        <w:t xml:space="preserve">%-kal nőttek a bérek </w:t>
      </w:r>
      <w:r>
        <w:rPr>
          <w:rFonts w:ascii="Arial" w:hAnsi="Arial" w:cs="Arial"/>
          <w:b/>
          <w:sz w:val="20"/>
          <w:szCs w:val="20"/>
        </w:rPr>
        <w:t>októberben</w:t>
      </w:r>
      <w:r w:rsidR="0013589C" w:rsidRPr="00A7592B">
        <w:rPr>
          <w:rFonts w:ascii="Arial" w:hAnsi="Arial" w:cs="Arial"/>
          <w:sz w:val="20"/>
          <w:szCs w:val="20"/>
        </w:rPr>
        <w:t>,</w:t>
      </w:r>
      <w:r w:rsidR="00430E0D">
        <w:rPr>
          <w:rFonts w:ascii="Arial" w:hAnsi="Arial" w:cs="Arial"/>
          <w:sz w:val="20"/>
          <w:szCs w:val="20"/>
        </w:rPr>
        <w:t xml:space="preserve"> míg az első </w:t>
      </w:r>
      <w:r>
        <w:rPr>
          <w:rFonts w:ascii="Arial" w:hAnsi="Arial" w:cs="Arial"/>
          <w:sz w:val="20"/>
          <w:szCs w:val="20"/>
        </w:rPr>
        <w:t>tíz</w:t>
      </w:r>
      <w:r w:rsidR="00430E0D">
        <w:rPr>
          <w:rFonts w:ascii="Arial" w:hAnsi="Arial" w:cs="Arial"/>
          <w:sz w:val="20"/>
          <w:szCs w:val="20"/>
        </w:rPr>
        <w:t xml:space="preserve"> hónapban </w:t>
      </w:r>
      <w:r w:rsidR="009E376B">
        <w:rPr>
          <w:rFonts w:ascii="Arial" w:hAnsi="Arial" w:cs="Arial"/>
          <w:b/>
          <w:sz w:val="20"/>
          <w:szCs w:val="20"/>
        </w:rPr>
        <w:t>8</w:t>
      </w:r>
      <w:r>
        <w:rPr>
          <w:rFonts w:ascii="Arial" w:hAnsi="Arial" w:cs="Arial"/>
          <w:b/>
          <w:sz w:val="20"/>
          <w:szCs w:val="20"/>
        </w:rPr>
        <w:t>,5</w:t>
      </w:r>
      <w:r w:rsidR="00430E0D" w:rsidRPr="00430E0D">
        <w:rPr>
          <w:rFonts w:ascii="Arial" w:hAnsi="Arial" w:cs="Arial"/>
          <w:b/>
          <w:sz w:val="20"/>
          <w:szCs w:val="20"/>
        </w:rPr>
        <w:t>%-kal bővültek</w:t>
      </w:r>
      <w:r w:rsidR="00430E0D">
        <w:rPr>
          <w:rFonts w:ascii="Arial" w:hAnsi="Arial" w:cs="Arial"/>
          <w:sz w:val="20"/>
          <w:szCs w:val="20"/>
        </w:rPr>
        <w:t xml:space="preserve"> a keresetek,</w:t>
      </w:r>
      <w:r w:rsidR="0013589C" w:rsidRPr="00A7592B">
        <w:rPr>
          <w:rFonts w:ascii="Arial" w:hAnsi="Arial" w:cs="Arial"/>
          <w:sz w:val="20"/>
          <w:szCs w:val="20"/>
        </w:rPr>
        <w:t xml:space="preserve"> az alacsonyabb minimálbéremelés ellenére az idei évet is erősen kezdi a hazai bérdinamika. 2017 óta </w:t>
      </w:r>
      <w:r>
        <w:rPr>
          <w:rFonts w:ascii="Arial" w:hAnsi="Arial" w:cs="Arial"/>
          <w:sz w:val="20"/>
          <w:szCs w:val="20"/>
        </w:rPr>
        <w:t>56,5</w:t>
      </w:r>
      <w:r w:rsidR="0013589C" w:rsidRPr="00A7592B">
        <w:rPr>
          <w:rFonts w:ascii="Arial" w:hAnsi="Arial" w:cs="Arial"/>
          <w:sz w:val="20"/>
          <w:szCs w:val="20"/>
        </w:rPr>
        <w:t xml:space="preserve">% a rendszeres bérek növekedése. </w:t>
      </w:r>
      <w:r w:rsidR="0013589C" w:rsidRPr="0014482D">
        <w:rPr>
          <w:rFonts w:ascii="Arial" w:hAnsi="Arial" w:cs="Arial"/>
          <w:b/>
          <w:sz w:val="20"/>
          <w:szCs w:val="20"/>
        </w:rPr>
        <w:t xml:space="preserve">A nettó bérek szintén </w:t>
      </w:r>
      <w:r>
        <w:rPr>
          <w:rFonts w:ascii="Arial" w:hAnsi="Arial" w:cs="Arial"/>
          <w:b/>
          <w:sz w:val="20"/>
          <w:szCs w:val="20"/>
        </w:rPr>
        <w:t>8,5</w:t>
      </w:r>
      <w:r w:rsidR="0013589C" w:rsidRPr="0014482D">
        <w:rPr>
          <w:rFonts w:ascii="Arial" w:hAnsi="Arial" w:cs="Arial"/>
          <w:b/>
          <w:sz w:val="20"/>
          <w:szCs w:val="20"/>
        </w:rPr>
        <w:t xml:space="preserve">%-kal emelkedtek, a reálbérek növekedése </w:t>
      </w:r>
      <w:r w:rsidR="004A27CA">
        <w:rPr>
          <w:rFonts w:ascii="Arial" w:hAnsi="Arial" w:cs="Arial"/>
          <w:b/>
          <w:sz w:val="20"/>
          <w:szCs w:val="20"/>
        </w:rPr>
        <w:t>így</w:t>
      </w:r>
      <w:r w:rsidR="0013589C" w:rsidRPr="0014482D">
        <w:rPr>
          <w:rFonts w:ascii="Arial" w:hAnsi="Arial" w:cs="Arial"/>
          <w:b/>
          <w:sz w:val="20"/>
          <w:szCs w:val="20"/>
        </w:rPr>
        <w:t xml:space="preserve"> </w:t>
      </w:r>
      <w:r>
        <w:rPr>
          <w:rFonts w:ascii="Arial" w:hAnsi="Arial" w:cs="Arial"/>
          <w:b/>
          <w:sz w:val="20"/>
          <w:szCs w:val="20"/>
        </w:rPr>
        <w:t>1,9%-</w:t>
      </w:r>
      <w:proofErr w:type="spellStart"/>
      <w:r>
        <w:rPr>
          <w:rFonts w:ascii="Arial" w:hAnsi="Arial" w:cs="Arial"/>
          <w:b/>
          <w:sz w:val="20"/>
          <w:szCs w:val="20"/>
        </w:rPr>
        <w:t>ra</w:t>
      </w:r>
      <w:proofErr w:type="spellEnd"/>
      <w:r>
        <w:rPr>
          <w:rFonts w:ascii="Arial" w:hAnsi="Arial" w:cs="Arial"/>
          <w:b/>
          <w:sz w:val="20"/>
          <w:szCs w:val="20"/>
        </w:rPr>
        <w:t xml:space="preserve"> mérséklődött az erőteljes infláció miatt</w:t>
      </w:r>
      <w:r w:rsidR="009E376B">
        <w:rPr>
          <w:rFonts w:ascii="Arial" w:hAnsi="Arial" w:cs="Arial"/>
          <w:b/>
          <w:sz w:val="20"/>
          <w:szCs w:val="20"/>
        </w:rPr>
        <w:t xml:space="preserve">, </w:t>
      </w:r>
      <w:r>
        <w:rPr>
          <w:rFonts w:ascii="Arial" w:hAnsi="Arial" w:cs="Arial"/>
          <w:b/>
          <w:sz w:val="20"/>
          <w:szCs w:val="20"/>
        </w:rPr>
        <w:t>azonban 3,7</w:t>
      </w:r>
      <w:r w:rsidR="00430E0D">
        <w:rPr>
          <w:rFonts w:ascii="Arial" w:hAnsi="Arial" w:cs="Arial"/>
          <w:b/>
          <w:sz w:val="20"/>
          <w:szCs w:val="20"/>
        </w:rPr>
        <w:t xml:space="preserve">% </w:t>
      </w:r>
      <w:r>
        <w:rPr>
          <w:rFonts w:ascii="Arial" w:hAnsi="Arial" w:cs="Arial"/>
          <w:b/>
          <w:sz w:val="20"/>
          <w:szCs w:val="20"/>
        </w:rPr>
        <w:t xml:space="preserve">volt </w:t>
      </w:r>
      <w:r w:rsidR="00430E0D">
        <w:rPr>
          <w:rFonts w:ascii="Arial" w:hAnsi="Arial" w:cs="Arial"/>
          <w:b/>
          <w:sz w:val="20"/>
          <w:szCs w:val="20"/>
        </w:rPr>
        <w:t xml:space="preserve">az első </w:t>
      </w:r>
      <w:r>
        <w:rPr>
          <w:rFonts w:ascii="Arial" w:hAnsi="Arial" w:cs="Arial"/>
          <w:b/>
          <w:sz w:val="20"/>
          <w:szCs w:val="20"/>
        </w:rPr>
        <w:t>tíz</w:t>
      </w:r>
      <w:r w:rsidR="00430E0D">
        <w:rPr>
          <w:rFonts w:ascii="Arial" w:hAnsi="Arial" w:cs="Arial"/>
          <w:b/>
          <w:sz w:val="20"/>
          <w:szCs w:val="20"/>
        </w:rPr>
        <w:t xml:space="preserve"> hónapban</w:t>
      </w:r>
      <w:r w:rsidR="005C518C">
        <w:rPr>
          <w:rFonts w:ascii="Arial" w:hAnsi="Arial" w:cs="Arial"/>
          <w:sz w:val="20"/>
          <w:szCs w:val="20"/>
        </w:rPr>
        <w:t>.</w:t>
      </w:r>
      <w:r w:rsidR="004E189D">
        <w:rPr>
          <w:rFonts w:ascii="Arial" w:hAnsi="Arial" w:cs="Arial"/>
          <w:sz w:val="20"/>
          <w:szCs w:val="20"/>
        </w:rPr>
        <w:t xml:space="preserve"> </w:t>
      </w:r>
      <w:r w:rsidR="00D6344D">
        <w:rPr>
          <w:rFonts w:ascii="Arial" w:hAnsi="Arial" w:cs="Arial"/>
          <w:sz w:val="20"/>
          <w:szCs w:val="20"/>
        </w:rPr>
        <w:t xml:space="preserve"> </w:t>
      </w:r>
    </w:p>
    <w:p w14:paraId="1D555F57" w14:textId="77777777" w:rsidR="00DE2974" w:rsidRPr="008E6643" w:rsidRDefault="00D73352" w:rsidP="00A4053D">
      <w:pPr>
        <w:spacing w:after="120" w:line="360" w:lineRule="auto"/>
        <w:jc w:val="both"/>
        <w:rPr>
          <w:rFonts w:ascii="Arial" w:hAnsi="Arial" w:cs="Arial"/>
          <w:sz w:val="20"/>
          <w:szCs w:val="20"/>
        </w:rPr>
      </w:pPr>
      <w:r>
        <w:rPr>
          <w:rFonts w:ascii="Arial" w:hAnsi="Arial" w:cs="Arial"/>
          <w:sz w:val="20"/>
          <w:szCs w:val="20"/>
        </w:rPr>
        <w:t>2020-ban</w:t>
      </w:r>
      <w:r w:rsidR="00D41E61">
        <w:rPr>
          <w:rFonts w:ascii="Arial" w:hAnsi="Arial" w:cs="Arial"/>
          <w:b/>
          <w:sz w:val="20"/>
          <w:szCs w:val="20"/>
        </w:rPr>
        <w:t xml:space="preserve"> </w:t>
      </w:r>
      <w:r w:rsidR="00D41E61" w:rsidRPr="00D73352">
        <w:rPr>
          <w:rFonts w:ascii="Arial" w:hAnsi="Arial" w:cs="Arial"/>
          <w:sz w:val="20"/>
          <w:szCs w:val="20"/>
        </w:rPr>
        <w:t>9,7%-kal emelkedtek a bérek</w:t>
      </w:r>
      <w:r w:rsidR="00D41E61" w:rsidRPr="00FD658E">
        <w:rPr>
          <w:rFonts w:ascii="Arial" w:hAnsi="Arial" w:cs="Arial"/>
          <w:sz w:val="20"/>
          <w:szCs w:val="20"/>
        </w:rPr>
        <w:t xml:space="preserve"> a bérmegállapodás, a minimálbérek 8%-os, a garantált bérminimum 8%-os növelése, valamint az egyes ágazatokban folytatódó életpályamodell</w:t>
      </w:r>
      <w:r w:rsidR="00D41E61">
        <w:rPr>
          <w:rFonts w:ascii="Arial" w:hAnsi="Arial" w:cs="Arial"/>
          <w:sz w:val="20"/>
          <w:szCs w:val="20"/>
        </w:rPr>
        <w:t>ek miatt. Ez a 3,3</w:t>
      </w:r>
      <w:r w:rsidR="00D41E61" w:rsidRPr="00FD658E">
        <w:rPr>
          <w:rFonts w:ascii="Arial" w:hAnsi="Arial" w:cs="Arial"/>
          <w:sz w:val="20"/>
          <w:szCs w:val="20"/>
        </w:rPr>
        <w:t xml:space="preserve">%-os </w:t>
      </w:r>
      <w:r w:rsidR="00D41E61">
        <w:rPr>
          <w:rFonts w:ascii="Arial" w:hAnsi="Arial" w:cs="Arial"/>
          <w:sz w:val="20"/>
          <w:szCs w:val="20"/>
        </w:rPr>
        <w:t>tavalyi</w:t>
      </w:r>
      <w:r w:rsidR="00D41E61" w:rsidRPr="00FD658E">
        <w:rPr>
          <w:rFonts w:ascii="Arial" w:hAnsi="Arial" w:cs="Arial"/>
          <w:sz w:val="20"/>
          <w:szCs w:val="20"/>
        </w:rPr>
        <w:t xml:space="preserve"> infláció mellett </w:t>
      </w:r>
      <w:r w:rsidR="00D41E61" w:rsidRPr="00D73352">
        <w:rPr>
          <w:rFonts w:ascii="Arial" w:hAnsi="Arial" w:cs="Arial"/>
          <w:sz w:val="20"/>
          <w:szCs w:val="20"/>
        </w:rPr>
        <w:t>6,2%-os reálbér növekedést</w:t>
      </w:r>
      <w:r w:rsidR="00D41E61">
        <w:rPr>
          <w:rFonts w:ascii="Arial" w:hAnsi="Arial" w:cs="Arial"/>
          <w:sz w:val="20"/>
          <w:szCs w:val="20"/>
        </w:rPr>
        <w:t xml:space="preserve"> eredményezett</w:t>
      </w:r>
      <w:r w:rsidR="00D41E61" w:rsidRPr="00FD658E">
        <w:rPr>
          <w:rFonts w:ascii="Arial" w:hAnsi="Arial" w:cs="Arial"/>
          <w:sz w:val="20"/>
          <w:szCs w:val="20"/>
        </w:rPr>
        <w:t xml:space="preserve">, így </w:t>
      </w:r>
      <w:r w:rsidR="00D41E61" w:rsidRPr="00FD658E">
        <w:rPr>
          <w:rFonts w:ascii="Arial" w:hAnsi="Arial" w:cs="Arial"/>
          <w:b/>
          <w:sz w:val="20"/>
          <w:szCs w:val="20"/>
        </w:rPr>
        <w:t xml:space="preserve">2013-tól 2020 </w:t>
      </w:r>
      <w:r w:rsidR="00D41E61">
        <w:rPr>
          <w:rFonts w:ascii="Arial" w:hAnsi="Arial" w:cs="Arial"/>
          <w:b/>
          <w:sz w:val="20"/>
          <w:szCs w:val="20"/>
        </w:rPr>
        <w:t>végéig összesen 62,9%-kal nőtt</w:t>
      </w:r>
      <w:r w:rsidR="00D41E61" w:rsidRPr="00FD658E">
        <w:rPr>
          <w:rFonts w:ascii="Arial" w:hAnsi="Arial" w:cs="Arial"/>
          <w:b/>
          <w:sz w:val="20"/>
          <w:szCs w:val="20"/>
        </w:rPr>
        <w:t>ek a nettó reálbérek</w:t>
      </w:r>
      <w:r w:rsidR="00D41E61" w:rsidRPr="00FD658E">
        <w:rPr>
          <w:rFonts w:ascii="Arial" w:hAnsi="Arial" w:cs="Arial"/>
          <w:sz w:val="20"/>
          <w:szCs w:val="20"/>
        </w:rPr>
        <w:t xml:space="preserve">. </w:t>
      </w:r>
      <w:r w:rsidR="00490D93">
        <w:rPr>
          <w:rFonts w:ascii="Arial" w:hAnsi="Arial" w:cs="Arial"/>
          <w:b/>
          <w:sz w:val="20"/>
          <w:szCs w:val="20"/>
        </w:rPr>
        <w:t>Tavaly</w:t>
      </w:r>
      <w:r w:rsidR="00490D93" w:rsidRPr="00746506">
        <w:rPr>
          <w:rFonts w:ascii="Arial" w:hAnsi="Arial" w:cs="Arial"/>
          <w:b/>
          <w:sz w:val="20"/>
          <w:szCs w:val="20"/>
        </w:rPr>
        <w:t xml:space="preserve"> </w:t>
      </w:r>
      <w:r w:rsidR="00490D93">
        <w:rPr>
          <w:rFonts w:ascii="Arial" w:hAnsi="Arial" w:cs="Arial"/>
          <w:b/>
          <w:sz w:val="20"/>
          <w:szCs w:val="20"/>
        </w:rPr>
        <w:t>8,5</w:t>
      </w:r>
      <w:r w:rsidR="00490D93" w:rsidRPr="00746506">
        <w:rPr>
          <w:rFonts w:ascii="Arial" w:hAnsi="Arial" w:cs="Arial"/>
          <w:b/>
          <w:sz w:val="20"/>
          <w:szCs w:val="20"/>
        </w:rPr>
        <w:t>%-</w:t>
      </w:r>
      <w:proofErr w:type="spellStart"/>
      <w:r w:rsidR="00490D93" w:rsidRPr="00746506">
        <w:rPr>
          <w:rFonts w:ascii="Arial" w:hAnsi="Arial" w:cs="Arial"/>
          <w:b/>
          <w:sz w:val="20"/>
          <w:szCs w:val="20"/>
        </w:rPr>
        <w:t>ra</w:t>
      </w:r>
      <w:proofErr w:type="spellEnd"/>
      <w:r w:rsidR="00490D93" w:rsidRPr="00746506">
        <w:rPr>
          <w:rFonts w:ascii="Arial" w:hAnsi="Arial" w:cs="Arial"/>
          <w:b/>
          <w:sz w:val="20"/>
          <w:szCs w:val="20"/>
        </w:rPr>
        <w:t xml:space="preserve"> </w:t>
      </w:r>
      <w:proofErr w:type="spellStart"/>
      <w:r w:rsidR="00490D93">
        <w:rPr>
          <w:rFonts w:ascii="Arial" w:hAnsi="Arial" w:cs="Arial"/>
          <w:b/>
          <w:sz w:val="20"/>
          <w:szCs w:val="20"/>
        </w:rPr>
        <w:t>mérsékődhetett</w:t>
      </w:r>
      <w:proofErr w:type="spellEnd"/>
      <w:r w:rsidR="00490D93" w:rsidRPr="00746506">
        <w:rPr>
          <w:rFonts w:ascii="Arial" w:hAnsi="Arial" w:cs="Arial"/>
          <w:b/>
          <w:sz w:val="20"/>
          <w:szCs w:val="20"/>
        </w:rPr>
        <w:t xml:space="preserve"> a bérnövekedés</w:t>
      </w:r>
      <w:r w:rsidR="00490D93">
        <w:rPr>
          <w:rFonts w:ascii="Arial" w:hAnsi="Arial" w:cs="Arial"/>
          <w:sz w:val="20"/>
          <w:szCs w:val="20"/>
        </w:rPr>
        <w:t xml:space="preserve"> üteme, ami a várt 5,1</w:t>
      </w:r>
      <w:r w:rsidR="00490D93" w:rsidRPr="00FD658E">
        <w:rPr>
          <w:rFonts w:ascii="Arial" w:hAnsi="Arial" w:cs="Arial"/>
          <w:sz w:val="20"/>
          <w:szCs w:val="20"/>
        </w:rPr>
        <w:t xml:space="preserve">%-os infláció </w:t>
      </w:r>
      <w:r w:rsidR="00490D93" w:rsidRPr="00746506">
        <w:rPr>
          <w:rFonts w:ascii="Arial" w:hAnsi="Arial" w:cs="Arial"/>
          <w:b/>
          <w:sz w:val="20"/>
          <w:szCs w:val="20"/>
        </w:rPr>
        <w:t xml:space="preserve">mellet </w:t>
      </w:r>
      <w:r w:rsidR="00490D93">
        <w:rPr>
          <w:rFonts w:ascii="Arial" w:hAnsi="Arial" w:cs="Arial"/>
          <w:b/>
          <w:sz w:val="20"/>
          <w:szCs w:val="20"/>
        </w:rPr>
        <w:t>3,3</w:t>
      </w:r>
      <w:r w:rsidR="00490D93" w:rsidRPr="00746506">
        <w:rPr>
          <w:rFonts w:ascii="Arial" w:hAnsi="Arial" w:cs="Arial"/>
          <w:b/>
          <w:sz w:val="20"/>
          <w:szCs w:val="20"/>
        </w:rPr>
        <w:t>%-os reálbér növekedést</w:t>
      </w:r>
      <w:r w:rsidR="00490D93" w:rsidRPr="00FD658E">
        <w:rPr>
          <w:rFonts w:ascii="Arial" w:hAnsi="Arial" w:cs="Arial"/>
          <w:sz w:val="20"/>
          <w:szCs w:val="20"/>
        </w:rPr>
        <w:t xml:space="preserve"> eredményezhet</w:t>
      </w:r>
      <w:r w:rsidR="00490D93">
        <w:rPr>
          <w:rFonts w:ascii="Arial" w:hAnsi="Arial" w:cs="Arial"/>
          <w:sz w:val="20"/>
          <w:szCs w:val="20"/>
        </w:rPr>
        <w:t>ett</w:t>
      </w:r>
      <w:r w:rsidR="00490D93" w:rsidRPr="00FD658E">
        <w:rPr>
          <w:rFonts w:ascii="Arial" w:hAnsi="Arial" w:cs="Arial"/>
          <w:sz w:val="20"/>
          <w:szCs w:val="20"/>
        </w:rPr>
        <w:t xml:space="preserve">, ezzel </w:t>
      </w:r>
      <w:r w:rsidR="00490D93" w:rsidRPr="00FD658E">
        <w:rPr>
          <w:rFonts w:ascii="Arial" w:hAnsi="Arial" w:cs="Arial"/>
          <w:b/>
          <w:sz w:val="20"/>
          <w:szCs w:val="20"/>
        </w:rPr>
        <w:t>2013-2021 között közel 70%-kal emelkedhet az átlagos reálbér</w:t>
      </w:r>
      <w:r w:rsidR="00490D93" w:rsidRPr="00FD658E">
        <w:rPr>
          <w:rFonts w:ascii="Arial" w:hAnsi="Arial" w:cs="Arial"/>
          <w:sz w:val="20"/>
          <w:szCs w:val="20"/>
        </w:rPr>
        <w:t xml:space="preserve">. </w:t>
      </w:r>
      <w:r w:rsidR="00490D93">
        <w:rPr>
          <w:rFonts w:ascii="Arial" w:hAnsi="Arial" w:cs="Arial"/>
          <w:sz w:val="20"/>
          <w:szCs w:val="20"/>
        </w:rPr>
        <w:t xml:space="preserve">Idén a közel 20%-kal, </w:t>
      </w:r>
      <w:r w:rsidR="00490D93" w:rsidRPr="00BC0169">
        <w:rPr>
          <w:rFonts w:ascii="Arial" w:hAnsi="Arial" w:cs="Arial"/>
          <w:b/>
          <w:sz w:val="20"/>
          <w:szCs w:val="20"/>
        </w:rPr>
        <w:t>200 ezer forintra emelkedő minimálbér</w:t>
      </w:r>
      <w:r w:rsidR="00490D93">
        <w:rPr>
          <w:rFonts w:ascii="Arial" w:hAnsi="Arial" w:cs="Arial"/>
          <w:sz w:val="20"/>
          <w:szCs w:val="20"/>
        </w:rPr>
        <w:t xml:space="preserve"> </w:t>
      </w:r>
      <w:r w:rsidR="00490D93" w:rsidRPr="00EB0DA2">
        <w:rPr>
          <w:rFonts w:ascii="Arial" w:hAnsi="Arial" w:cs="Arial"/>
          <w:b/>
          <w:sz w:val="20"/>
          <w:szCs w:val="20"/>
        </w:rPr>
        <w:t>és 260 ezer forintra emelkedő garantált bérminimum</w:t>
      </w:r>
      <w:r w:rsidR="00490D93">
        <w:rPr>
          <w:rFonts w:ascii="Arial" w:hAnsi="Arial" w:cs="Arial"/>
          <w:b/>
          <w:sz w:val="20"/>
          <w:szCs w:val="20"/>
        </w:rPr>
        <w:t xml:space="preserve">, valamint több költségvetési ágazatban bejelentett 20%-os </w:t>
      </w:r>
      <w:r w:rsidR="00490D93">
        <w:rPr>
          <w:rFonts w:ascii="Arial" w:hAnsi="Arial" w:cs="Arial"/>
          <w:b/>
          <w:sz w:val="20"/>
          <w:szCs w:val="20"/>
        </w:rPr>
        <w:lastRenderedPageBreak/>
        <w:t>béremelés</w:t>
      </w:r>
      <w:r w:rsidR="00490D93" w:rsidRPr="00EB0DA2">
        <w:rPr>
          <w:rFonts w:ascii="Arial" w:hAnsi="Arial" w:cs="Arial"/>
          <w:b/>
          <w:sz w:val="20"/>
          <w:szCs w:val="20"/>
        </w:rPr>
        <w:t xml:space="preserve"> hatására</w:t>
      </w:r>
      <w:r w:rsidR="00490D93">
        <w:rPr>
          <w:rFonts w:ascii="Arial" w:hAnsi="Arial" w:cs="Arial"/>
          <w:sz w:val="20"/>
          <w:szCs w:val="20"/>
        </w:rPr>
        <w:t xml:space="preserve"> </w:t>
      </w:r>
      <w:r w:rsidR="00490D93">
        <w:rPr>
          <w:rFonts w:ascii="Arial" w:hAnsi="Arial" w:cs="Arial"/>
          <w:b/>
          <w:sz w:val="20"/>
          <w:szCs w:val="20"/>
        </w:rPr>
        <w:t>13%-ot megközelítő</w:t>
      </w:r>
      <w:r w:rsidR="00490D93" w:rsidRPr="00BC0169">
        <w:rPr>
          <w:rFonts w:ascii="Arial" w:hAnsi="Arial" w:cs="Arial"/>
          <w:b/>
          <w:sz w:val="20"/>
          <w:szCs w:val="20"/>
        </w:rPr>
        <w:t xml:space="preserve"> bérnövekedésre </w:t>
      </w:r>
      <w:r w:rsidR="00490D93">
        <w:rPr>
          <w:rFonts w:ascii="Arial" w:hAnsi="Arial" w:cs="Arial"/>
          <w:sz w:val="20"/>
          <w:szCs w:val="20"/>
        </w:rPr>
        <w:t>van kilátás.</w:t>
      </w:r>
      <w:r w:rsidR="00490D93" w:rsidRPr="00BC0169">
        <w:rPr>
          <w:rFonts w:ascii="Arial" w:hAnsi="Arial" w:cs="Arial"/>
          <w:sz w:val="20"/>
          <w:szCs w:val="20"/>
        </w:rPr>
        <w:t xml:space="preserve"> </w:t>
      </w:r>
      <w:r w:rsidR="00490D93">
        <w:rPr>
          <w:rFonts w:ascii="Arial" w:hAnsi="Arial" w:cs="Arial"/>
          <w:sz w:val="20"/>
          <w:szCs w:val="20"/>
        </w:rPr>
        <w:t xml:space="preserve">A </w:t>
      </w:r>
      <w:r w:rsidR="00490D93" w:rsidRPr="00BC0169">
        <w:rPr>
          <w:rFonts w:ascii="Arial" w:hAnsi="Arial" w:cs="Arial"/>
          <w:b/>
          <w:sz w:val="20"/>
          <w:szCs w:val="20"/>
        </w:rPr>
        <w:t>rendvédelmi dolgozók</w:t>
      </w:r>
      <w:r w:rsidR="00490D93">
        <w:rPr>
          <w:rFonts w:ascii="Arial" w:hAnsi="Arial" w:cs="Arial"/>
          <w:sz w:val="20"/>
          <w:szCs w:val="20"/>
        </w:rPr>
        <w:t xml:space="preserve"> számára tervezett </w:t>
      </w:r>
      <w:r w:rsidR="00490D93" w:rsidRPr="00BC0169">
        <w:rPr>
          <w:rFonts w:ascii="Arial" w:hAnsi="Arial" w:cs="Arial"/>
          <w:b/>
          <w:sz w:val="20"/>
          <w:szCs w:val="20"/>
        </w:rPr>
        <w:t>hathavi fegyverpénz</w:t>
      </w:r>
      <w:r w:rsidR="00490D93">
        <w:rPr>
          <w:rFonts w:ascii="Arial" w:hAnsi="Arial" w:cs="Arial"/>
          <w:sz w:val="20"/>
          <w:szCs w:val="20"/>
        </w:rPr>
        <w:t xml:space="preserve"> kifizetése szintén hozzájárul a gyorsuló bérnövekedéshez</w:t>
      </w:r>
      <w:r w:rsidR="00490D93" w:rsidRPr="00FD658E">
        <w:rPr>
          <w:rFonts w:ascii="Arial" w:hAnsi="Arial" w:cs="Arial"/>
          <w:sz w:val="20"/>
          <w:szCs w:val="20"/>
        </w:rPr>
        <w:t xml:space="preserve">. </w:t>
      </w:r>
      <w:r w:rsidR="00490D93">
        <w:rPr>
          <w:rFonts w:ascii="Arial" w:hAnsi="Arial" w:cs="Arial"/>
          <w:sz w:val="20"/>
          <w:szCs w:val="20"/>
        </w:rPr>
        <w:t xml:space="preserve"> A nettó bérek pedig elszakadnak a bruttó bérektől, egyrészt a </w:t>
      </w:r>
      <w:r w:rsidR="00490D93" w:rsidRPr="00BC0169">
        <w:rPr>
          <w:rFonts w:ascii="Arial" w:hAnsi="Arial" w:cs="Arial"/>
          <w:b/>
          <w:sz w:val="20"/>
          <w:szCs w:val="20"/>
        </w:rPr>
        <w:t>25 év alatti munkavállalók szja mentessége</w:t>
      </w:r>
      <w:r w:rsidR="00490D93">
        <w:rPr>
          <w:rFonts w:ascii="Arial" w:hAnsi="Arial" w:cs="Arial"/>
          <w:sz w:val="20"/>
          <w:szCs w:val="20"/>
        </w:rPr>
        <w:t xml:space="preserve">, másrészt a gyermeket nevelők </w:t>
      </w:r>
      <w:r w:rsidR="00490D93" w:rsidRPr="00BC0169">
        <w:rPr>
          <w:rFonts w:ascii="Arial" w:hAnsi="Arial" w:cs="Arial"/>
          <w:b/>
          <w:sz w:val="20"/>
          <w:szCs w:val="20"/>
        </w:rPr>
        <w:t>szja visszatérítése</w:t>
      </w:r>
      <w:r w:rsidR="00490D93">
        <w:rPr>
          <w:rFonts w:ascii="Arial" w:hAnsi="Arial" w:cs="Arial"/>
          <w:sz w:val="20"/>
          <w:szCs w:val="20"/>
        </w:rPr>
        <w:t xml:space="preserve"> miatt, aminek hatására a nettó bérnövekedés több mint </w:t>
      </w:r>
      <w:r w:rsidR="00490D93" w:rsidRPr="00BC0169">
        <w:rPr>
          <w:rFonts w:ascii="Arial" w:hAnsi="Arial" w:cs="Arial"/>
          <w:b/>
          <w:sz w:val="20"/>
          <w:szCs w:val="20"/>
        </w:rPr>
        <w:t xml:space="preserve">4 százalékponttal haladhatja meg </w:t>
      </w:r>
      <w:r w:rsidR="00490D93">
        <w:rPr>
          <w:rFonts w:ascii="Arial" w:hAnsi="Arial" w:cs="Arial"/>
          <w:sz w:val="20"/>
          <w:szCs w:val="20"/>
        </w:rPr>
        <w:t xml:space="preserve">a bruttó bérek dinamikáját. Az szja visszatérítés februári időpontja miatt februárban a nettó bérnövekedés elérheti a 60%-ot is. Mindezek hatására a </w:t>
      </w:r>
      <w:r w:rsidR="00490D93" w:rsidRPr="00BC0169">
        <w:rPr>
          <w:rFonts w:ascii="Arial" w:hAnsi="Arial" w:cs="Arial"/>
          <w:b/>
          <w:sz w:val="20"/>
          <w:szCs w:val="20"/>
        </w:rPr>
        <w:t>nettó bérek reálnövekedése meghaladhatja a 10%-ot, 2013-2022 között pedig a 86%-ot.</w:t>
      </w:r>
      <w:r w:rsidR="000A6E32">
        <w:rPr>
          <w:rFonts w:ascii="Arial" w:hAnsi="Arial" w:cs="Arial"/>
          <w:sz w:val="20"/>
          <w:szCs w:val="20"/>
        </w:rPr>
        <w:t xml:space="preserve"> </w:t>
      </w:r>
      <w:r w:rsidR="005C518C" w:rsidRPr="008E6643">
        <w:rPr>
          <w:rFonts w:ascii="Arial" w:hAnsi="Arial" w:cs="Arial"/>
          <w:sz w:val="20"/>
          <w:szCs w:val="20"/>
        </w:rPr>
        <w:t xml:space="preserve"> </w:t>
      </w:r>
    </w:p>
    <w:p w14:paraId="6F375309" w14:textId="77777777" w:rsidR="005C518C" w:rsidRPr="00E23806" w:rsidRDefault="005C518C" w:rsidP="00316464">
      <w:pPr>
        <w:pStyle w:val="Alcmtbank"/>
      </w:pPr>
      <w:r>
        <w:t xml:space="preserve">Átmenetileg romló </w:t>
      </w:r>
      <w:r w:rsidRPr="00E23806">
        <w:t>egyensúlyi folyamatok</w:t>
      </w:r>
    </w:p>
    <w:p w14:paraId="38797695" w14:textId="77777777" w:rsidR="00855EFE" w:rsidRDefault="00D71E5E" w:rsidP="00A4053D">
      <w:pPr>
        <w:spacing w:after="120" w:line="360" w:lineRule="auto"/>
        <w:jc w:val="both"/>
        <w:rPr>
          <w:rFonts w:ascii="Arial" w:hAnsi="Arial" w:cs="Arial"/>
          <w:sz w:val="20"/>
        </w:rPr>
      </w:pPr>
      <w:r w:rsidRPr="00FD658E">
        <w:rPr>
          <w:rFonts w:ascii="Arial" w:hAnsi="Arial" w:cs="Arial"/>
          <w:sz w:val="20"/>
          <w:szCs w:val="20"/>
        </w:rPr>
        <w:t xml:space="preserve">A koronavírus-járvány felülírta az államháztartás számait is, egyfelől </w:t>
      </w:r>
      <w:r w:rsidRPr="00FD658E">
        <w:rPr>
          <w:rFonts w:ascii="Arial" w:hAnsi="Arial" w:cs="Arial"/>
          <w:b/>
          <w:sz w:val="20"/>
          <w:szCs w:val="20"/>
        </w:rPr>
        <w:t>az egészségügyi és gazdasági védekezés</w:t>
      </w:r>
      <w:r>
        <w:rPr>
          <w:rFonts w:ascii="Arial" w:hAnsi="Arial" w:cs="Arial"/>
          <w:b/>
          <w:sz w:val="20"/>
          <w:szCs w:val="20"/>
        </w:rPr>
        <w:t>, majd újraindítás</w:t>
      </w:r>
      <w:r w:rsidRPr="00FD658E">
        <w:rPr>
          <w:rFonts w:ascii="Arial" w:hAnsi="Arial" w:cs="Arial"/>
          <w:b/>
          <w:sz w:val="20"/>
          <w:szCs w:val="20"/>
        </w:rPr>
        <w:t xml:space="preserve"> költségei</w:t>
      </w:r>
      <w:r w:rsidRPr="00FD658E">
        <w:rPr>
          <w:rFonts w:ascii="Arial" w:hAnsi="Arial" w:cs="Arial"/>
          <w:sz w:val="20"/>
          <w:szCs w:val="20"/>
        </w:rPr>
        <w:t xml:space="preserve">, másfelől a gazdaság zsugorodása miatt </w:t>
      </w:r>
      <w:r w:rsidRPr="00FD658E">
        <w:rPr>
          <w:rFonts w:ascii="Arial" w:hAnsi="Arial" w:cs="Arial"/>
          <w:b/>
          <w:sz w:val="20"/>
          <w:szCs w:val="20"/>
        </w:rPr>
        <w:t xml:space="preserve">visszaeső adóbevételek </w:t>
      </w:r>
      <w:r w:rsidRPr="00FD658E">
        <w:rPr>
          <w:rFonts w:ascii="Arial" w:hAnsi="Arial" w:cs="Arial"/>
          <w:sz w:val="20"/>
          <w:szCs w:val="20"/>
        </w:rPr>
        <w:t>miatt. Az MNB által közölt pénzügyi számlák adatai alapján</w:t>
      </w:r>
      <w:r>
        <w:rPr>
          <w:rFonts w:ascii="Arial" w:hAnsi="Arial" w:cs="Arial"/>
          <w:sz w:val="20"/>
          <w:szCs w:val="20"/>
        </w:rPr>
        <w:t xml:space="preserve"> 2020-ban</w:t>
      </w:r>
      <w:r w:rsidRPr="00FD658E">
        <w:rPr>
          <w:rFonts w:ascii="Arial" w:hAnsi="Arial" w:cs="Arial"/>
          <w:sz w:val="20"/>
          <w:szCs w:val="20"/>
        </w:rPr>
        <w:t xml:space="preserve"> </w:t>
      </w:r>
      <w:r w:rsidRPr="00FD658E">
        <w:rPr>
          <w:rFonts w:ascii="Arial" w:hAnsi="Arial" w:cs="Arial"/>
          <w:b/>
          <w:sz w:val="20"/>
          <w:szCs w:val="20"/>
        </w:rPr>
        <w:t>az államháztartás nettó finanszírozási igénye</w:t>
      </w:r>
      <w:r w:rsidRPr="00FD658E">
        <w:rPr>
          <w:rFonts w:ascii="Arial" w:hAnsi="Arial" w:cs="Arial"/>
          <w:sz w:val="20"/>
          <w:szCs w:val="20"/>
        </w:rPr>
        <w:t xml:space="preserve"> (hiánya) </w:t>
      </w:r>
      <w:r>
        <w:rPr>
          <w:rFonts w:ascii="Arial" w:hAnsi="Arial" w:cs="Arial"/>
          <w:b/>
          <w:sz w:val="20"/>
          <w:szCs w:val="20"/>
        </w:rPr>
        <w:t>3878 milliárd forint, a GDP 8,1%-a volt, míg tavaly a harmadik negyedévben 588 milliárd forintot, azaz a GDP 3,8%-át érte el</w:t>
      </w:r>
      <w:r w:rsidRPr="00FD658E">
        <w:rPr>
          <w:rFonts w:ascii="Arial" w:hAnsi="Arial" w:cs="Arial"/>
          <w:sz w:val="20"/>
          <w:szCs w:val="20"/>
        </w:rPr>
        <w:t xml:space="preserve">. </w:t>
      </w:r>
      <w:r>
        <w:rPr>
          <w:rFonts w:ascii="Arial" w:hAnsi="Arial" w:cs="Arial"/>
          <w:sz w:val="20"/>
          <w:szCs w:val="20"/>
        </w:rPr>
        <w:t>Tavalyelőtt</w:t>
      </w:r>
      <w:r w:rsidRPr="00FD658E">
        <w:rPr>
          <w:rFonts w:ascii="Arial" w:hAnsi="Arial" w:cs="Arial"/>
          <w:sz w:val="20"/>
          <w:szCs w:val="20"/>
        </w:rPr>
        <w:t xml:space="preserve"> a KSH által publikált, az európai módszertannak megfelelő </w:t>
      </w:r>
      <w:r w:rsidRPr="00FD658E">
        <w:rPr>
          <w:rFonts w:ascii="Arial" w:hAnsi="Arial" w:cs="Arial"/>
          <w:b/>
          <w:sz w:val="20"/>
          <w:szCs w:val="20"/>
        </w:rPr>
        <w:t xml:space="preserve">eredményszemléletű államháztartási hiánya pedig </w:t>
      </w:r>
      <w:r>
        <w:rPr>
          <w:rFonts w:ascii="Arial" w:hAnsi="Arial" w:cs="Arial"/>
          <w:b/>
          <w:sz w:val="20"/>
          <w:szCs w:val="20"/>
        </w:rPr>
        <w:t>3870</w:t>
      </w:r>
      <w:r w:rsidRPr="00FD658E">
        <w:rPr>
          <w:rFonts w:ascii="Arial" w:hAnsi="Arial" w:cs="Arial"/>
          <w:b/>
          <w:sz w:val="20"/>
          <w:szCs w:val="20"/>
        </w:rPr>
        <w:t xml:space="preserve"> milliárd forint</w:t>
      </w:r>
      <w:r w:rsidRPr="00FD658E">
        <w:rPr>
          <w:rFonts w:ascii="Arial" w:hAnsi="Arial" w:cs="Arial"/>
          <w:sz w:val="20"/>
          <w:szCs w:val="20"/>
        </w:rPr>
        <w:t xml:space="preserve"> volt, ami </w:t>
      </w:r>
      <w:r w:rsidRPr="00FD658E">
        <w:rPr>
          <w:rFonts w:ascii="Arial" w:hAnsi="Arial" w:cs="Arial"/>
          <w:b/>
          <w:sz w:val="20"/>
          <w:szCs w:val="20"/>
        </w:rPr>
        <w:t xml:space="preserve">a GDP </w:t>
      </w:r>
      <w:r>
        <w:rPr>
          <w:rFonts w:ascii="Arial" w:hAnsi="Arial" w:cs="Arial"/>
          <w:b/>
          <w:sz w:val="20"/>
          <w:szCs w:val="20"/>
        </w:rPr>
        <w:t>8,1</w:t>
      </w:r>
      <w:r w:rsidRPr="00FD658E">
        <w:rPr>
          <w:rFonts w:ascii="Arial" w:hAnsi="Arial" w:cs="Arial"/>
          <w:b/>
          <w:sz w:val="20"/>
          <w:szCs w:val="20"/>
        </w:rPr>
        <w:t>%-</w:t>
      </w:r>
      <w:proofErr w:type="spellStart"/>
      <w:r w:rsidRPr="00FD658E">
        <w:rPr>
          <w:rFonts w:ascii="Arial" w:hAnsi="Arial" w:cs="Arial"/>
          <w:b/>
          <w:sz w:val="20"/>
          <w:szCs w:val="20"/>
        </w:rPr>
        <w:t>ának</w:t>
      </w:r>
      <w:proofErr w:type="spellEnd"/>
      <w:r>
        <w:rPr>
          <w:rFonts w:ascii="Arial" w:hAnsi="Arial" w:cs="Arial"/>
          <w:sz w:val="20"/>
          <w:szCs w:val="20"/>
        </w:rPr>
        <w:t xml:space="preserve"> felelt meg, míg 2021 első háromnegyed évében 1570 milliárd forintot, a GDP 3,9%-át érte el. </w:t>
      </w:r>
      <w:r w:rsidR="00310A33">
        <w:rPr>
          <w:rFonts w:ascii="Arial" w:hAnsi="Arial" w:cs="Arial"/>
          <w:sz w:val="20"/>
        </w:rPr>
        <w:t xml:space="preserve"> </w:t>
      </w:r>
      <w:r w:rsidR="008D3B83">
        <w:rPr>
          <w:rFonts w:ascii="Arial" w:hAnsi="Arial" w:cs="Arial"/>
          <w:sz w:val="20"/>
          <w:szCs w:val="20"/>
        </w:rPr>
        <w:t xml:space="preserve">Mivel a járvány 2021-re is áthúzódott, a kormány </w:t>
      </w:r>
      <w:r w:rsidR="008D3B83">
        <w:rPr>
          <w:rFonts w:ascii="Arial" w:hAnsi="Arial" w:cs="Arial"/>
          <w:b/>
          <w:sz w:val="20"/>
          <w:szCs w:val="20"/>
        </w:rPr>
        <w:t>a tavalyi</w:t>
      </w:r>
      <w:r w:rsidR="008D3B83" w:rsidRPr="003A79C4">
        <w:rPr>
          <w:rFonts w:ascii="Arial" w:hAnsi="Arial" w:cs="Arial"/>
          <w:b/>
          <w:sz w:val="20"/>
          <w:szCs w:val="20"/>
        </w:rPr>
        <w:t>, a GDP 6,5%-</w:t>
      </w:r>
      <w:proofErr w:type="spellStart"/>
      <w:r w:rsidR="008D3B83" w:rsidRPr="003A79C4">
        <w:rPr>
          <w:rFonts w:ascii="Arial" w:hAnsi="Arial" w:cs="Arial"/>
          <w:b/>
          <w:sz w:val="20"/>
          <w:szCs w:val="20"/>
        </w:rPr>
        <w:t>ának</w:t>
      </w:r>
      <w:proofErr w:type="spellEnd"/>
      <w:r w:rsidR="008D3B83" w:rsidRPr="003A79C4">
        <w:rPr>
          <w:rFonts w:ascii="Arial" w:hAnsi="Arial" w:cs="Arial"/>
          <w:b/>
          <w:sz w:val="20"/>
          <w:szCs w:val="20"/>
        </w:rPr>
        <w:t xml:space="preserve"> megfelelő hiánytervet 7,5%-</w:t>
      </w:r>
      <w:proofErr w:type="spellStart"/>
      <w:r w:rsidR="008D3B83" w:rsidRPr="003A79C4">
        <w:rPr>
          <w:rFonts w:ascii="Arial" w:hAnsi="Arial" w:cs="Arial"/>
          <w:b/>
          <w:sz w:val="20"/>
          <w:szCs w:val="20"/>
        </w:rPr>
        <w:t>ra</w:t>
      </w:r>
      <w:proofErr w:type="spellEnd"/>
      <w:r w:rsidR="008D3B83" w:rsidRPr="003A79C4">
        <w:rPr>
          <w:rFonts w:ascii="Arial" w:hAnsi="Arial" w:cs="Arial"/>
          <w:b/>
          <w:sz w:val="20"/>
          <w:szCs w:val="20"/>
        </w:rPr>
        <w:t xml:space="preserve"> módosította</w:t>
      </w:r>
      <w:r w:rsidR="008D3B83">
        <w:rPr>
          <w:rFonts w:ascii="Arial" w:hAnsi="Arial" w:cs="Arial"/>
          <w:sz w:val="20"/>
          <w:szCs w:val="20"/>
        </w:rPr>
        <w:t xml:space="preserve">, azonban a gazdaság élénkülésével az adóbevételek is kedvezőbben alakulhatnak, ennek megfelelően némileg alacsonyabb hiányra számítunk. Mivel a gazdaság sikeres </w:t>
      </w:r>
      <w:proofErr w:type="spellStart"/>
      <w:r w:rsidR="008D3B83">
        <w:rPr>
          <w:rFonts w:ascii="Arial" w:hAnsi="Arial" w:cs="Arial"/>
          <w:sz w:val="20"/>
          <w:szCs w:val="20"/>
        </w:rPr>
        <w:t>újraindulása</w:t>
      </w:r>
      <w:proofErr w:type="spellEnd"/>
      <w:r w:rsidR="008D3B83">
        <w:rPr>
          <w:rFonts w:ascii="Arial" w:hAnsi="Arial" w:cs="Arial"/>
          <w:sz w:val="20"/>
          <w:szCs w:val="20"/>
        </w:rPr>
        <w:t xml:space="preserve"> már kisebb mértékű élénkítést tesz szükségessé, a pénzügyi stabilitás javítása érdekében a kormány az idei hiánycélt a GDP 5,9%-</w:t>
      </w:r>
      <w:proofErr w:type="spellStart"/>
      <w:r w:rsidR="008D3B83">
        <w:rPr>
          <w:rFonts w:ascii="Arial" w:hAnsi="Arial" w:cs="Arial"/>
          <w:sz w:val="20"/>
          <w:szCs w:val="20"/>
        </w:rPr>
        <w:t>ról</w:t>
      </w:r>
      <w:proofErr w:type="spellEnd"/>
      <w:r w:rsidR="008D3B83">
        <w:rPr>
          <w:rFonts w:ascii="Arial" w:hAnsi="Arial" w:cs="Arial"/>
          <w:sz w:val="20"/>
          <w:szCs w:val="20"/>
        </w:rPr>
        <w:t xml:space="preserve"> </w:t>
      </w:r>
      <w:r w:rsidR="008D3B83" w:rsidRPr="00BA477E">
        <w:rPr>
          <w:rFonts w:ascii="Arial" w:hAnsi="Arial" w:cs="Arial"/>
          <w:b/>
          <w:sz w:val="20"/>
          <w:szCs w:val="20"/>
        </w:rPr>
        <w:t>4,9%-</w:t>
      </w:r>
      <w:proofErr w:type="spellStart"/>
      <w:r w:rsidR="008D3B83" w:rsidRPr="00BA477E">
        <w:rPr>
          <w:rFonts w:ascii="Arial" w:hAnsi="Arial" w:cs="Arial"/>
          <w:b/>
          <w:sz w:val="20"/>
          <w:szCs w:val="20"/>
        </w:rPr>
        <w:t>ra</w:t>
      </w:r>
      <w:proofErr w:type="spellEnd"/>
      <w:r w:rsidR="008D3B83" w:rsidRPr="00BA477E">
        <w:rPr>
          <w:rFonts w:ascii="Arial" w:hAnsi="Arial" w:cs="Arial"/>
          <w:b/>
          <w:sz w:val="20"/>
          <w:szCs w:val="20"/>
        </w:rPr>
        <w:t xml:space="preserve"> mérsékelte</w:t>
      </w:r>
      <w:r w:rsidR="008D3B83">
        <w:rPr>
          <w:rFonts w:ascii="Arial" w:hAnsi="Arial" w:cs="Arial"/>
          <w:sz w:val="20"/>
          <w:szCs w:val="20"/>
        </w:rPr>
        <w:t>. A gazdaság helyreállásával a következő években fokozatosan újra a 3%-os kritérium alá süllyedhet az államháztartás hiánya.</w:t>
      </w:r>
    </w:p>
    <w:p w14:paraId="26C704C7" w14:textId="77777777" w:rsidR="005C518C" w:rsidRPr="00E23806" w:rsidRDefault="007351BA" w:rsidP="00A4053D">
      <w:pPr>
        <w:spacing w:after="120" w:line="360" w:lineRule="auto"/>
        <w:jc w:val="both"/>
        <w:rPr>
          <w:rFonts w:ascii="Arial" w:hAnsi="Arial" w:cs="Arial"/>
          <w:sz w:val="20"/>
        </w:rPr>
      </w:pPr>
      <w:r>
        <w:rPr>
          <w:rFonts w:ascii="Arial" w:hAnsi="Arial" w:cs="Arial"/>
          <w:sz w:val="20"/>
          <w:szCs w:val="20"/>
        </w:rPr>
        <w:t xml:space="preserve">A járvány és a gazdasági válság elleni védekezés, valamint a beruházás ösztönzési támogatások hatására az </w:t>
      </w:r>
      <w:r w:rsidR="005927A7">
        <w:rPr>
          <w:rFonts w:ascii="Arial" w:hAnsi="Arial" w:cs="Arial"/>
          <w:b/>
          <w:sz w:val="20"/>
          <w:szCs w:val="20"/>
        </w:rPr>
        <w:t>tavaly összességében</w:t>
      </w:r>
      <w:r w:rsidR="00B54F4A" w:rsidRPr="007D77D5">
        <w:rPr>
          <w:rFonts w:ascii="Arial" w:hAnsi="Arial" w:cs="Arial"/>
          <w:b/>
          <w:sz w:val="20"/>
          <w:szCs w:val="20"/>
        </w:rPr>
        <w:t xml:space="preserve"> </w:t>
      </w:r>
      <w:r w:rsidR="005927A7">
        <w:rPr>
          <w:rFonts w:ascii="Arial" w:hAnsi="Arial" w:cs="Arial"/>
          <w:b/>
          <w:sz w:val="20"/>
          <w:szCs w:val="20"/>
        </w:rPr>
        <w:t>5102</w:t>
      </w:r>
      <w:r w:rsidR="00B54F4A" w:rsidRPr="007D77D5">
        <w:rPr>
          <w:rFonts w:ascii="Arial" w:hAnsi="Arial" w:cs="Arial"/>
          <w:b/>
          <w:sz w:val="20"/>
          <w:szCs w:val="20"/>
        </w:rPr>
        <w:t xml:space="preserve"> </w:t>
      </w:r>
      <w:r w:rsidRPr="007D77D5">
        <w:rPr>
          <w:rFonts w:ascii="Arial" w:hAnsi="Arial" w:cs="Arial"/>
          <w:b/>
          <w:sz w:val="20"/>
          <w:szCs w:val="20"/>
        </w:rPr>
        <w:t>milliárd forint deficit</w:t>
      </w:r>
      <w:r>
        <w:rPr>
          <w:rFonts w:ascii="Arial" w:hAnsi="Arial" w:cs="Arial"/>
          <w:sz w:val="20"/>
          <w:szCs w:val="20"/>
        </w:rPr>
        <w:t xml:space="preserve"> keletkezett a központi költségvetésben. Az uniós bevételek és kiadások nélkül számolva azonban </w:t>
      </w:r>
      <w:r w:rsidR="00855EFE">
        <w:rPr>
          <w:rFonts w:ascii="Arial" w:hAnsi="Arial" w:cs="Arial"/>
          <w:sz w:val="20"/>
          <w:szCs w:val="20"/>
        </w:rPr>
        <w:t>a hiány ennél lényegesen kisebb</w:t>
      </w:r>
      <w:r>
        <w:rPr>
          <w:rFonts w:ascii="Arial" w:hAnsi="Arial" w:cs="Arial"/>
          <w:sz w:val="20"/>
          <w:szCs w:val="20"/>
        </w:rPr>
        <w:t xml:space="preserve"> lett volna.</w:t>
      </w:r>
      <w:r w:rsidR="005C518C" w:rsidRPr="008A667E">
        <w:rPr>
          <w:rFonts w:ascii="Arial" w:hAnsi="Arial" w:cs="Arial"/>
          <w:sz w:val="20"/>
          <w:szCs w:val="20"/>
        </w:rPr>
        <w:t xml:space="preserve"> </w:t>
      </w:r>
      <w:r w:rsidR="00FC22DD">
        <w:rPr>
          <w:rFonts w:ascii="Arial" w:hAnsi="Arial" w:cs="Arial"/>
          <w:sz w:val="20"/>
          <w:szCs w:val="20"/>
        </w:rPr>
        <w:t>2020-ban a kifejezetten magas finanszírozási igény, és a tartalékok feltöltése miatt az</w:t>
      </w:r>
      <w:r w:rsidR="00FC22DD" w:rsidRPr="00FD658E">
        <w:rPr>
          <w:rFonts w:ascii="Arial" w:hAnsi="Arial" w:cs="Arial"/>
          <w:b/>
          <w:sz w:val="20"/>
          <w:szCs w:val="20"/>
        </w:rPr>
        <w:t xml:space="preserve"> </w:t>
      </w:r>
      <w:proofErr w:type="spellStart"/>
      <w:r w:rsidR="00FC22DD" w:rsidRPr="00FD658E">
        <w:rPr>
          <w:rFonts w:ascii="Arial" w:hAnsi="Arial" w:cs="Arial"/>
          <w:b/>
          <w:sz w:val="20"/>
          <w:szCs w:val="20"/>
        </w:rPr>
        <w:t>Eximbank</w:t>
      </w:r>
      <w:proofErr w:type="spellEnd"/>
      <w:r w:rsidR="00FC22DD" w:rsidRPr="00FD658E">
        <w:rPr>
          <w:rFonts w:ascii="Arial" w:hAnsi="Arial" w:cs="Arial"/>
          <w:b/>
          <w:sz w:val="20"/>
          <w:szCs w:val="20"/>
        </w:rPr>
        <w:t xml:space="preserve"> beszámí</w:t>
      </w:r>
      <w:r w:rsidR="00FC22DD">
        <w:rPr>
          <w:rFonts w:ascii="Arial" w:hAnsi="Arial" w:cs="Arial"/>
          <w:b/>
          <w:sz w:val="20"/>
          <w:szCs w:val="20"/>
        </w:rPr>
        <w:t>tásával az államadósság a GDP 80</w:t>
      </w:r>
      <w:r w:rsidR="00FC22DD" w:rsidRPr="00FD658E">
        <w:rPr>
          <w:rFonts w:ascii="Arial" w:hAnsi="Arial" w:cs="Arial"/>
          <w:b/>
          <w:sz w:val="20"/>
          <w:szCs w:val="20"/>
        </w:rPr>
        <w:t>%-</w:t>
      </w:r>
      <w:r w:rsidR="00FC22DD">
        <w:rPr>
          <w:rFonts w:ascii="Arial" w:hAnsi="Arial" w:cs="Arial"/>
          <w:b/>
          <w:sz w:val="20"/>
          <w:szCs w:val="20"/>
        </w:rPr>
        <w:t>ár</w:t>
      </w:r>
      <w:r w:rsidR="00FC22DD" w:rsidRPr="00FD658E">
        <w:rPr>
          <w:rFonts w:ascii="Arial" w:hAnsi="Arial" w:cs="Arial"/>
          <w:b/>
          <w:sz w:val="20"/>
          <w:szCs w:val="20"/>
        </w:rPr>
        <w:t xml:space="preserve">a </w:t>
      </w:r>
      <w:r w:rsidR="00FC22DD">
        <w:rPr>
          <w:rFonts w:ascii="Arial" w:hAnsi="Arial" w:cs="Arial"/>
          <w:b/>
          <w:sz w:val="20"/>
          <w:szCs w:val="20"/>
        </w:rPr>
        <w:t>emelkedett az egy évvel korábbi 65,5%-</w:t>
      </w:r>
      <w:proofErr w:type="spellStart"/>
      <w:r w:rsidR="00FC22DD">
        <w:rPr>
          <w:rFonts w:ascii="Arial" w:hAnsi="Arial" w:cs="Arial"/>
          <w:b/>
          <w:sz w:val="20"/>
          <w:szCs w:val="20"/>
        </w:rPr>
        <w:t>ról</w:t>
      </w:r>
      <w:proofErr w:type="spellEnd"/>
      <w:r w:rsidR="00FC22DD" w:rsidRPr="00FD658E">
        <w:rPr>
          <w:rFonts w:ascii="Arial" w:hAnsi="Arial" w:cs="Arial"/>
          <w:sz w:val="20"/>
          <w:szCs w:val="20"/>
        </w:rPr>
        <w:t xml:space="preserve">. </w:t>
      </w:r>
      <w:r w:rsidR="00FC22DD">
        <w:rPr>
          <w:rFonts w:ascii="Arial" w:hAnsi="Arial" w:cs="Arial"/>
          <w:sz w:val="20"/>
          <w:szCs w:val="20"/>
        </w:rPr>
        <w:t>Az államadósság ráta a mérséklődő finanszírozási igény, az előfinanszírozás, valamint az érdemben megugró nominális növekedés hatására az idei évtől</w:t>
      </w:r>
      <w:r w:rsidR="00FC22DD" w:rsidRPr="00FD658E">
        <w:rPr>
          <w:rFonts w:ascii="Arial" w:hAnsi="Arial" w:cs="Arial"/>
          <w:b/>
          <w:sz w:val="20"/>
          <w:szCs w:val="20"/>
        </w:rPr>
        <w:t xml:space="preserve"> ismét csökkenő p</w:t>
      </w:r>
      <w:r w:rsidR="00C67341">
        <w:rPr>
          <w:rFonts w:ascii="Arial" w:hAnsi="Arial" w:cs="Arial"/>
          <w:b/>
          <w:sz w:val="20"/>
          <w:szCs w:val="20"/>
        </w:rPr>
        <w:t>ályára állhat, így 2021-ben 78,2</w:t>
      </w:r>
      <w:r w:rsidR="00FC22DD">
        <w:rPr>
          <w:rFonts w:ascii="Arial" w:hAnsi="Arial" w:cs="Arial"/>
          <w:b/>
          <w:sz w:val="20"/>
          <w:szCs w:val="20"/>
        </w:rPr>
        <w:t>%-</w:t>
      </w:r>
      <w:proofErr w:type="spellStart"/>
      <w:r w:rsidR="00FC22DD">
        <w:rPr>
          <w:rFonts w:ascii="Arial" w:hAnsi="Arial" w:cs="Arial"/>
          <w:b/>
          <w:sz w:val="20"/>
          <w:szCs w:val="20"/>
        </w:rPr>
        <w:t>ra</w:t>
      </w:r>
      <w:proofErr w:type="spellEnd"/>
      <w:r w:rsidR="00FC22DD">
        <w:rPr>
          <w:rFonts w:ascii="Arial" w:hAnsi="Arial" w:cs="Arial"/>
          <w:b/>
          <w:sz w:val="20"/>
          <w:szCs w:val="20"/>
        </w:rPr>
        <w:t>, 20</w:t>
      </w:r>
      <w:r w:rsidR="00F821D4">
        <w:rPr>
          <w:rFonts w:ascii="Arial" w:hAnsi="Arial" w:cs="Arial"/>
          <w:b/>
          <w:sz w:val="20"/>
          <w:szCs w:val="20"/>
        </w:rPr>
        <w:t>22-ben 75</w:t>
      </w:r>
      <w:r w:rsidR="00FC22DD" w:rsidRPr="00FD658E">
        <w:rPr>
          <w:rFonts w:ascii="Arial" w:hAnsi="Arial" w:cs="Arial"/>
          <w:b/>
          <w:sz w:val="20"/>
          <w:szCs w:val="20"/>
        </w:rPr>
        <w:t>%</w:t>
      </w:r>
      <w:r w:rsidR="00FC22DD">
        <w:rPr>
          <w:rFonts w:ascii="Arial" w:hAnsi="Arial" w:cs="Arial"/>
          <w:b/>
          <w:sz w:val="20"/>
          <w:szCs w:val="20"/>
        </w:rPr>
        <w:t xml:space="preserve"> </w:t>
      </w:r>
      <w:r w:rsidR="00C67341">
        <w:rPr>
          <w:rFonts w:ascii="Arial" w:hAnsi="Arial" w:cs="Arial"/>
          <w:b/>
          <w:sz w:val="20"/>
          <w:szCs w:val="20"/>
        </w:rPr>
        <w:t>alá</w:t>
      </w:r>
      <w:r w:rsidR="00FC22DD" w:rsidRPr="00FD658E">
        <w:rPr>
          <w:rFonts w:ascii="Arial" w:hAnsi="Arial" w:cs="Arial"/>
          <w:b/>
          <w:sz w:val="20"/>
          <w:szCs w:val="20"/>
        </w:rPr>
        <w:t xml:space="preserve"> süllyedhet az adósságráta.</w:t>
      </w:r>
      <w:r w:rsidR="005C518C" w:rsidRPr="00E23806">
        <w:rPr>
          <w:rFonts w:ascii="Arial" w:hAnsi="Arial" w:cs="Arial"/>
          <w:sz w:val="20"/>
        </w:rPr>
        <w:t xml:space="preserve"> </w:t>
      </w:r>
      <w:r w:rsidR="00324316" w:rsidRPr="00E4152B">
        <w:rPr>
          <w:rFonts w:ascii="Arial" w:hAnsi="Arial" w:cs="Arial"/>
          <w:sz w:val="20"/>
          <w:szCs w:val="20"/>
        </w:rPr>
        <w:t>Annak érdekében, hogy</w:t>
      </w:r>
      <w:r w:rsidR="00324316">
        <w:rPr>
          <w:rFonts w:ascii="Arial" w:hAnsi="Arial" w:cs="Arial"/>
          <w:sz w:val="20"/>
          <w:szCs w:val="20"/>
        </w:rPr>
        <w:t xml:space="preserve"> az uniós kifizetések késlekedése ne hátráltassa a pályázatok meghirdetését és kifizetését, a kormány megelőlegezi a kifizetéseket, ami átmenetileg megnöveli az adósságot. Emiatt szeptemberben az ÁKK két dollár-, valamint egy eurókötvény kibocsátását hajtotta végre, 4,25 milliárd dollár, valamint 1 milliárd euró értékben.</w:t>
      </w:r>
      <w:r w:rsidR="005C518C" w:rsidRPr="00E23806">
        <w:rPr>
          <w:rFonts w:ascii="Arial" w:hAnsi="Arial" w:cs="Arial"/>
          <w:sz w:val="20"/>
        </w:rPr>
        <w:t xml:space="preserve"> </w:t>
      </w:r>
    </w:p>
    <w:p w14:paraId="3C0F072E" w14:textId="77777777" w:rsidR="00B763B8" w:rsidRDefault="00D759B8" w:rsidP="00A4053D">
      <w:pPr>
        <w:spacing w:after="120" w:line="360" w:lineRule="auto"/>
        <w:jc w:val="both"/>
        <w:rPr>
          <w:rFonts w:ascii="Arial" w:hAnsi="Arial" w:cs="Arial"/>
          <w:sz w:val="20"/>
          <w:szCs w:val="20"/>
        </w:rPr>
      </w:pPr>
      <w:r w:rsidRPr="00D759B8">
        <w:rPr>
          <w:rFonts w:ascii="Arial" w:hAnsi="Arial" w:cs="Arial"/>
          <w:b/>
          <w:sz w:val="20"/>
          <w:szCs w:val="20"/>
        </w:rPr>
        <w:t>81 millió euró többlet</w:t>
      </w:r>
      <w:r w:rsidRPr="00D759B8">
        <w:rPr>
          <w:rFonts w:ascii="Arial" w:hAnsi="Arial" w:cs="Arial"/>
          <w:sz w:val="20"/>
          <w:szCs w:val="20"/>
        </w:rPr>
        <w:t xml:space="preserve"> keletkezett a külkereskedelemben novemberben az októberi 302 millió euró deficitet követően, így négy hónap után újra </w:t>
      </w:r>
      <w:proofErr w:type="spellStart"/>
      <w:r w:rsidRPr="00D759B8">
        <w:rPr>
          <w:rFonts w:ascii="Arial" w:hAnsi="Arial" w:cs="Arial"/>
          <w:sz w:val="20"/>
          <w:szCs w:val="20"/>
        </w:rPr>
        <w:t>szufficites</w:t>
      </w:r>
      <w:proofErr w:type="spellEnd"/>
      <w:r w:rsidRPr="00D759B8">
        <w:rPr>
          <w:rFonts w:ascii="Arial" w:hAnsi="Arial" w:cs="Arial"/>
          <w:sz w:val="20"/>
          <w:szCs w:val="20"/>
        </w:rPr>
        <w:t xml:space="preserve"> lett a külkereskedelem. Az ipari termelés, ezen belül a járműgyártás javulásának köszönhetően </w:t>
      </w:r>
      <w:r w:rsidRPr="00D759B8">
        <w:rPr>
          <w:rFonts w:ascii="Arial" w:hAnsi="Arial" w:cs="Arial"/>
          <w:b/>
          <w:sz w:val="20"/>
          <w:szCs w:val="20"/>
        </w:rPr>
        <w:t>7,7%-kal nőtt az export euróértéke</w:t>
      </w:r>
      <w:r w:rsidRPr="00D759B8">
        <w:rPr>
          <w:rFonts w:ascii="Arial" w:hAnsi="Arial" w:cs="Arial"/>
          <w:sz w:val="20"/>
          <w:szCs w:val="20"/>
        </w:rPr>
        <w:t xml:space="preserve">, noha a chiphiány miatt járműgyártás továbbra is akadozik, ugyanakkor az erőteljes belső – döntően beruházási – kereslet és a </w:t>
      </w:r>
      <w:r w:rsidRPr="00D759B8">
        <w:rPr>
          <w:rFonts w:ascii="Arial" w:hAnsi="Arial" w:cs="Arial"/>
          <w:sz w:val="20"/>
          <w:szCs w:val="20"/>
        </w:rPr>
        <w:lastRenderedPageBreak/>
        <w:t xml:space="preserve">drámaian dráguló nyersanyagok és energiaárak miatt </w:t>
      </w:r>
      <w:r w:rsidRPr="00D759B8">
        <w:rPr>
          <w:rFonts w:ascii="Arial" w:hAnsi="Arial" w:cs="Arial"/>
          <w:b/>
          <w:sz w:val="20"/>
          <w:szCs w:val="20"/>
        </w:rPr>
        <w:t>13,7%-kal nőtt az import euróértéke</w:t>
      </w:r>
      <w:r w:rsidRPr="00D759B8">
        <w:rPr>
          <w:rFonts w:ascii="Arial" w:hAnsi="Arial" w:cs="Arial"/>
          <w:sz w:val="20"/>
          <w:szCs w:val="20"/>
        </w:rPr>
        <w:t>. Ennek megfelelően a külkereskedelmi egyenleg 526 millió euróval romlott az egy évvel ezelőtti 607 millió euró többlethez képest. Az első tizenegy hónapban az export euróértéke 13,2%-kal, az importé 17,2%-kal nőtt, így az egyenleg 2978 millió euróval 2360 millió euróra romlott. Az áruforgalmi egyenleg romlása továbbra is érdemben rontja a GDP növekedését, bár ennek mértéke a harmadik negyedévinél kisebb lehet, miközben a forint árfolyamára is negatív hatással lehet.</w:t>
      </w:r>
      <w:r>
        <w:rPr>
          <w:rFonts w:ascii="Arial" w:hAnsi="Arial" w:cs="Arial"/>
          <w:sz w:val="20"/>
          <w:szCs w:val="20"/>
        </w:rPr>
        <w:t xml:space="preserve"> </w:t>
      </w:r>
      <w:r w:rsidR="00B61B10" w:rsidRPr="00B61B10">
        <w:rPr>
          <w:rFonts w:ascii="Arial" w:hAnsi="Arial" w:cs="Arial"/>
          <w:sz w:val="20"/>
          <w:szCs w:val="20"/>
        </w:rPr>
        <w:t xml:space="preserve">A beruházások és a fogyasztás élénkülésével a külkereskedelem többletének csökkenésére számítunk </w:t>
      </w:r>
      <w:r w:rsidR="00B61B10" w:rsidRPr="00D759B8">
        <w:rPr>
          <w:rFonts w:ascii="Arial" w:hAnsi="Arial" w:cs="Arial"/>
          <w:b/>
          <w:sz w:val="20"/>
          <w:szCs w:val="20"/>
        </w:rPr>
        <w:t>az idei év első felében</w:t>
      </w:r>
      <w:r w:rsidR="00B61B10" w:rsidRPr="00B61B10">
        <w:rPr>
          <w:rFonts w:ascii="Arial" w:hAnsi="Arial" w:cs="Arial"/>
          <w:sz w:val="20"/>
          <w:szCs w:val="20"/>
        </w:rPr>
        <w:t xml:space="preserve"> is, míg tavaly összességében </w:t>
      </w:r>
      <w:r w:rsidR="00B61B10" w:rsidRPr="00D759B8">
        <w:rPr>
          <w:rFonts w:ascii="Arial" w:hAnsi="Arial" w:cs="Arial"/>
          <w:b/>
          <w:sz w:val="20"/>
          <w:szCs w:val="20"/>
        </w:rPr>
        <w:t>2 milliárd euró közelébe mérséklődhetett</w:t>
      </w:r>
      <w:r w:rsidR="00B61B10" w:rsidRPr="00B61B10">
        <w:rPr>
          <w:rFonts w:ascii="Arial" w:hAnsi="Arial" w:cs="Arial"/>
          <w:sz w:val="20"/>
          <w:szCs w:val="20"/>
        </w:rPr>
        <w:t xml:space="preserve"> az egy évvel </w:t>
      </w:r>
      <w:r>
        <w:rPr>
          <w:rFonts w:ascii="Arial" w:hAnsi="Arial" w:cs="Arial"/>
          <w:sz w:val="20"/>
          <w:szCs w:val="20"/>
        </w:rPr>
        <w:t>korábbi 5,62 milliárd euró után</w:t>
      </w:r>
      <w:r w:rsidR="00553220" w:rsidRPr="006C4674">
        <w:rPr>
          <w:rFonts w:ascii="Arial" w:hAnsi="Arial" w:cs="Arial"/>
          <w:sz w:val="20"/>
          <w:szCs w:val="20"/>
        </w:rPr>
        <w:t xml:space="preserve">. </w:t>
      </w:r>
      <w:r w:rsidR="00B763B8" w:rsidRPr="000C7E87">
        <w:rPr>
          <w:rFonts w:ascii="Arial" w:hAnsi="Arial" w:cs="Arial"/>
          <w:sz w:val="20"/>
          <w:szCs w:val="20"/>
        </w:rPr>
        <w:t xml:space="preserve"> </w:t>
      </w:r>
      <w:r w:rsidRPr="006242F5">
        <w:rPr>
          <w:rFonts w:ascii="Arial" w:hAnsi="Arial" w:cs="Arial"/>
          <w:sz w:val="20"/>
          <w:szCs w:val="20"/>
        </w:rPr>
        <w:t xml:space="preserve">A külkereskedelmi mérleg többletének csökkenését ugyanakkor nagyrészt a cserearányok energia- és nyersanyagárak miatti markáns romlása okozza. Mindezek hatására </w:t>
      </w:r>
      <w:r w:rsidRPr="006242F5">
        <w:rPr>
          <w:rFonts w:ascii="Arial" w:hAnsi="Arial" w:cs="Arial"/>
          <w:b/>
          <w:sz w:val="20"/>
          <w:szCs w:val="20"/>
        </w:rPr>
        <w:t>jelentős bizonytalanságok</w:t>
      </w:r>
      <w:r w:rsidRPr="006242F5">
        <w:rPr>
          <w:rFonts w:ascii="Arial" w:hAnsi="Arial" w:cs="Arial"/>
          <w:sz w:val="20"/>
          <w:szCs w:val="20"/>
        </w:rPr>
        <w:t xml:space="preserve"> övezik az idei külkereskedelmi teljesítményt, azonban új kapacitások kiépülésével a </w:t>
      </w:r>
      <w:r w:rsidRPr="006242F5">
        <w:rPr>
          <w:rFonts w:ascii="Arial" w:hAnsi="Arial" w:cs="Arial"/>
          <w:b/>
          <w:sz w:val="20"/>
          <w:szCs w:val="20"/>
        </w:rPr>
        <w:t>következő években jelentősen emelkedhet</w:t>
      </w:r>
      <w:r w:rsidRPr="006242F5">
        <w:rPr>
          <w:rFonts w:ascii="Arial" w:hAnsi="Arial" w:cs="Arial"/>
          <w:sz w:val="20"/>
          <w:szCs w:val="20"/>
        </w:rPr>
        <w:t xml:space="preserve"> a külkereskedelem többlete.</w:t>
      </w:r>
    </w:p>
    <w:p w14:paraId="27935517" w14:textId="77777777" w:rsidR="002206CB" w:rsidRDefault="00B763B8" w:rsidP="00A4053D">
      <w:pPr>
        <w:spacing w:after="120" w:line="360" w:lineRule="auto"/>
        <w:jc w:val="both"/>
        <w:rPr>
          <w:rFonts w:ascii="Arial" w:hAnsi="Arial" w:cs="Arial"/>
          <w:sz w:val="20"/>
          <w:szCs w:val="20"/>
        </w:rPr>
      </w:pPr>
      <w:r w:rsidRPr="00FD658E">
        <w:rPr>
          <w:rFonts w:ascii="Arial" w:hAnsi="Arial" w:cs="Arial"/>
          <w:sz w:val="20"/>
          <w:szCs w:val="20"/>
        </w:rPr>
        <w:t>A globális járvány a külkereskedelmi folyamatokat is negatívan érintette. A járvány kitörésének következtében átmenetileg megszakadtak a beszállítói láncok, valamint több iparág, köztük a járműgyártás is átmenetileg szünetelt, illetve csökken</w:t>
      </w:r>
      <w:r>
        <w:rPr>
          <w:rFonts w:ascii="Arial" w:hAnsi="Arial" w:cs="Arial"/>
          <w:sz w:val="20"/>
          <w:szCs w:val="20"/>
        </w:rPr>
        <w:t xml:space="preserve">tett üzemmódban termelt. Emiatt átmenetileg </w:t>
      </w:r>
      <w:r w:rsidRPr="007438EA">
        <w:rPr>
          <w:rFonts w:ascii="Arial" w:hAnsi="Arial" w:cs="Arial"/>
          <w:sz w:val="20"/>
          <w:szCs w:val="20"/>
        </w:rPr>
        <w:t>drámai mértékben csökkent az áruexport</w:t>
      </w:r>
      <w:r w:rsidRPr="00FD658E">
        <w:rPr>
          <w:rFonts w:ascii="Arial" w:hAnsi="Arial" w:cs="Arial"/>
          <w:sz w:val="20"/>
          <w:szCs w:val="20"/>
        </w:rPr>
        <w:t xml:space="preserve">, ezzel szemben az egészségügyi felszerelések beszerzése miatt jóval kisebb mértékben esett vissza az import, így </w:t>
      </w:r>
      <w:r w:rsidRPr="007438EA">
        <w:rPr>
          <w:rFonts w:ascii="Arial" w:hAnsi="Arial" w:cs="Arial"/>
          <w:sz w:val="20"/>
          <w:szCs w:val="20"/>
        </w:rPr>
        <w:t>érdemben romlott az áruforgalmi egyenleg.</w:t>
      </w:r>
      <w:r>
        <w:rPr>
          <w:rFonts w:ascii="Arial" w:hAnsi="Arial" w:cs="Arial"/>
          <w:b/>
          <w:sz w:val="20"/>
          <w:szCs w:val="20"/>
        </w:rPr>
        <w:t xml:space="preserve"> </w:t>
      </w:r>
      <w:r w:rsidRPr="007438EA">
        <w:rPr>
          <w:rFonts w:ascii="Arial" w:hAnsi="Arial" w:cs="Arial"/>
          <w:sz w:val="20"/>
          <w:szCs w:val="20"/>
        </w:rPr>
        <w:t>A</w:t>
      </w:r>
      <w:r w:rsidR="00553220">
        <w:rPr>
          <w:rFonts w:ascii="Arial" w:hAnsi="Arial" w:cs="Arial"/>
          <w:sz w:val="20"/>
          <w:szCs w:val="20"/>
        </w:rPr>
        <w:t xml:space="preserve"> tavaly</w:t>
      </w:r>
      <w:r w:rsidRPr="007438EA">
        <w:rPr>
          <w:rFonts w:ascii="Arial" w:hAnsi="Arial" w:cs="Arial"/>
          <w:sz w:val="20"/>
          <w:szCs w:val="20"/>
        </w:rPr>
        <w:t xml:space="preserve"> nyári hónapoktól azonban az áruexport gyorsan helyreállt, míg a gyenge belső kereslet miatt az import ettől elmaradt, így</w:t>
      </w:r>
      <w:r>
        <w:rPr>
          <w:rFonts w:ascii="Arial" w:hAnsi="Arial" w:cs="Arial"/>
          <w:b/>
          <w:sz w:val="20"/>
          <w:szCs w:val="20"/>
        </w:rPr>
        <w:t xml:space="preserve"> </w:t>
      </w:r>
      <w:r w:rsidRPr="00344847">
        <w:rPr>
          <w:rFonts w:ascii="Arial" w:hAnsi="Arial" w:cs="Arial"/>
          <w:sz w:val="20"/>
          <w:szCs w:val="20"/>
        </w:rPr>
        <w:t>szignifikánsan javult az áruforgalmi egyenleg. A szolgáltatások egyenlegét döntően a nemzetközi idegenforgalom leállása vetette vissza,</w:t>
      </w:r>
      <w:r w:rsidRPr="00FD658E">
        <w:rPr>
          <w:rFonts w:ascii="Arial" w:hAnsi="Arial" w:cs="Arial"/>
          <w:sz w:val="20"/>
          <w:szCs w:val="20"/>
        </w:rPr>
        <w:t xml:space="preserve"> de más</w:t>
      </w:r>
      <w:r>
        <w:rPr>
          <w:rFonts w:ascii="Arial" w:hAnsi="Arial" w:cs="Arial"/>
          <w:sz w:val="20"/>
          <w:szCs w:val="20"/>
        </w:rPr>
        <w:t xml:space="preserve"> –szállítási –</w:t>
      </w:r>
      <w:r w:rsidRPr="00FD658E">
        <w:rPr>
          <w:rFonts w:ascii="Arial" w:hAnsi="Arial" w:cs="Arial"/>
          <w:sz w:val="20"/>
          <w:szCs w:val="20"/>
        </w:rPr>
        <w:t xml:space="preserve"> szolgáltatások visszaesése is negatív hatással volt. </w:t>
      </w:r>
      <w:r>
        <w:rPr>
          <w:rFonts w:ascii="Arial" w:hAnsi="Arial" w:cs="Arial"/>
          <w:sz w:val="20"/>
          <w:szCs w:val="20"/>
        </w:rPr>
        <w:t xml:space="preserve">A külföldi tulajdonosok visszaeső profitja miatt ugyanakkor javult a jövedelmek egyenlege. </w:t>
      </w:r>
    </w:p>
    <w:p w14:paraId="5A3423FA" w14:textId="77777777" w:rsidR="005C518C" w:rsidRDefault="00C67341" w:rsidP="00A4053D">
      <w:pPr>
        <w:spacing w:after="120" w:line="360" w:lineRule="auto"/>
        <w:jc w:val="both"/>
        <w:rPr>
          <w:rFonts w:ascii="Arial" w:hAnsi="Arial" w:cs="Arial"/>
          <w:sz w:val="20"/>
        </w:rPr>
      </w:pPr>
      <w:r>
        <w:rPr>
          <w:rFonts w:ascii="Arial" w:hAnsi="Arial" w:cs="Arial"/>
          <w:b/>
          <w:sz w:val="20"/>
          <w:szCs w:val="20"/>
        </w:rPr>
        <w:t>Jelentős, 2263</w:t>
      </w:r>
      <w:r w:rsidRPr="00520CC7">
        <w:rPr>
          <w:rFonts w:ascii="Arial" w:hAnsi="Arial" w:cs="Arial"/>
          <w:b/>
          <w:sz w:val="20"/>
          <w:szCs w:val="20"/>
        </w:rPr>
        <w:t xml:space="preserve"> millió euró </w:t>
      </w:r>
      <w:r>
        <w:rPr>
          <w:rFonts w:ascii="Arial" w:hAnsi="Arial" w:cs="Arial"/>
          <w:b/>
          <w:sz w:val="20"/>
          <w:szCs w:val="20"/>
        </w:rPr>
        <w:t>hiány</w:t>
      </w:r>
      <w:r w:rsidRPr="00520CC7">
        <w:rPr>
          <w:rFonts w:ascii="Arial" w:hAnsi="Arial" w:cs="Arial"/>
          <w:b/>
          <w:sz w:val="20"/>
          <w:szCs w:val="20"/>
        </w:rPr>
        <w:t xml:space="preserve"> keletkezett a folyó fizetési mérlegben</w:t>
      </w:r>
      <w:r w:rsidRPr="00520CC7">
        <w:rPr>
          <w:rFonts w:ascii="Arial" w:hAnsi="Arial" w:cs="Arial"/>
          <w:sz w:val="20"/>
          <w:szCs w:val="20"/>
        </w:rPr>
        <w:t xml:space="preserve"> </w:t>
      </w:r>
      <w:r>
        <w:rPr>
          <w:rFonts w:ascii="Arial" w:hAnsi="Arial" w:cs="Arial"/>
          <w:sz w:val="20"/>
          <w:szCs w:val="20"/>
        </w:rPr>
        <w:t>a harmadik</w:t>
      </w:r>
      <w:r w:rsidRPr="00520CC7">
        <w:rPr>
          <w:rFonts w:ascii="Arial" w:hAnsi="Arial" w:cs="Arial"/>
          <w:sz w:val="20"/>
          <w:szCs w:val="20"/>
        </w:rPr>
        <w:t xml:space="preserve"> negyedévben, ami </w:t>
      </w:r>
      <w:r>
        <w:rPr>
          <w:rFonts w:ascii="Arial" w:hAnsi="Arial" w:cs="Arial"/>
          <w:sz w:val="20"/>
          <w:szCs w:val="20"/>
        </w:rPr>
        <w:t>közel 2,5 milliárd</w:t>
      </w:r>
      <w:r w:rsidRPr="00520CC7">
        <w:rPr>
          <w:rFonts w:ascii="Arial" w:hAnsi="Arial" w:cs="Arial"/>
          <w:sz w:val="20"/>
          <w:szCs w:val="20"/>
        </w:rPr>
        <w:t xml:space="preserve"> euró</w:t>
      </w:r>
      <w:r>
        <w:rPr>
          <w:rFonts w:ascii="Arial" w:hAnsi="Arial" w:cs="Arial"/>
          <w:sz w:val="20"/>
          <w:szCs w:val="20"/>
        </w:rPr>
        <w:t>val alacsonyabb</w:t>
      </w:r>
      <w:r w:rsidRPr="00520CC7">
        <w:rPr>
          <w:rFonts w:ascii="Arial" w:hAnsi="Arial" w:cs="Arial"/>
          <w:sz w:val="20"/>
          <w:szCs w:val="20"/>
        </w:rPr>
        <w:t xml:space="preserve"> </w:t>
      </w:r>
      <w:r>
        <w:rPr>
          <w:rFonts w:ascii="Arial" w:hAnsi="Arial" w:cs="Arial"/>
          <w:sz w:val="20"/>
          <w:szCs w:val="20"/>
        </w:rPr>
        <w:t>az egy évvel ezelőtti 226 millió euró többlethez</w:t>
      </w:r>
      <w:r w:rsidRPr="00520CC7">
        <w:rPr>
          <w:rFonts w:ascii="Arial" w:hAnsi="Arial" w:cs="Arial"/>
          <w:sz w:val="20"/>
          <w:szCs w:val="20"/>
        </w:rPr>
        <w:t xml:space="preserve"> képest. A tőkemérleggel együtt </w:t>
      </w:r>
      <w:r w:rsidRPr="005D5301">
        <w:rPr>
          <w:rFonts w:ascii="Arial" w:hAnsi="Arial" w:cs="Arial"/>
          <w:b/>
          <w:sz w:val="20"/>
          <w:szCs w:val="20"/>
        </w:rPr>
        <w:t xml:space="preserve">a külfölddel szembeni nettó finanszírozási </w:t>
      </w:r>
      <w:r>
        <w:rPr>
          <w:rFonts w:ascii="Arial" w:hAnsi="Arial" w:cs="Arial"/>
          <w:b/>
          <w:sz w:val="20"/>
          <w:szCs w:val="20"/>
        </w:rPr>
        <w:t>igény (hiány)</w:t>
      </w:r>
      <w:r w:rsidRPr="005D5301">
        <w:rPr>
          <w:rFonts w:ascii="Arial" w:hAnsi="Arial" w:cs="Arial"/>
          <w:b/>
          <w:sz w:val="20"/>
          <w:szCs w:val="20"/>
        </w:rPr>
        <w:t xml:space="preserve"> </w:t>
      </w:r>
      <w:r>
        <w:rPr>
          <w:rFonts w:ascii="Arial" w:hAnsi="Arial" w:cs="Arial"/>
          <w:b/>
          <w:sz w:val="20"/>
          <w:szCs w:val="20"/>
        </w:rPr>
        <w:t>1668 millió euró volt szemben az egy évvel korábbi</w:t>
      </w:r>
      <w:r w:rsidRPr="005D5301">
        <w:rPr>
          <w:rFonts w:ascii="Arial" w:hAnsi="Arial" w:cs="Arial"/>
          <w:b/>
          <w:sz w:val="20"/>
          <w:szCs w:val="20"/>
        </w:rPr>
        <w:t xml:space="preserve"> </w:t>
      </w:r>
      <w:r>
        <w:rPr>
          <w:rFonts w:ascii="Arial" w:hAnsi="Arial" w:cs="Arial"/>
          <w:b/>
          <w:sz w:val="20"/>
          <w:szCs w:val="20"/>
        </w:rPr>
        <w:t>964 millió euró finanszírozási képességgel (többlet)</w:t>
      </w:r>
      <w:r w:rsidRPr="00520CC7">
        <w:rPr>
          <w:rFonts w:ascii="Arial" w:hAnsi="Arial" w:cs="Arial"/>
          <w:sz w:val="20"/>
          <w:szCs w:val="20"/>
        </w:rPr>
        <w:t xml:space="preserve">, míg a szezonális hatások kiszűrésével </w:t>
      </w:r>
      <w:r>
        <w:rPr>
          <w:rFonts w:ascii="Arial" w:hAnsi="Arial" w:cs="Arial"/>
          <w:sz w:val="20"/>
          <w:szCs w:val="20"/>
        </w:rPr>
        <w:t>1228</w:t>
      </w:r>
      <w:r w:rsidRPr="00520CC7">
        <w:rPr>
          <w:rFonts w:ascii="Arial" w:hAnsi="Arial" w:cs="Arial"/>
          <w:sz w:val="20"/>
          <w:szCs w:val="20"/>
        </w:rPr>
        <w:t xml:space="preserve"> millió euró volt, a negyedéves GDP </w:t>
      </w:r>
      <w:r>
        <w:rPr>
          <w:rFonts w:ascii="Arial" w:hAnsi="Arial" w:cs="Arial"/>
          <w:sz w:val="20"/>
          <w:szCs w:val="20"/>
        </w:rPr>
        <w:t>3,2%-a</w:t>
      </w:r>
      <w:r w:rsidR="004E09A0" w:rsidRPr="00520CC7">
        <w:rPr>
          <w:rFonts w:ascii="Arial" w:hAnsi="Arial" w:cs="Arial"/>
          <w:sz w:val="20"/>
          <w:szCs w:val="20"/>
        </w:rPr>
        <w:t xml:space="preserve">. </w:t>
      </w:r>
      <w:r w:rsidR="00364FE6" w:rsidRPr="00FD658E">
        <w:rPr>
          <w:rFonts w:ascii="Arial" w:hAnsi="Arial" w:cs="Arial"/>
          <w:sz w:val="20"/>
          <w:szCs w:val="20"/>
        </w:rPr>
        <w:t xml:space="preserve">A következő években </w:t>
      </w:r>
      <w:r w:rsidR="00364FE6" w:rsidRPr="00FD658E">
        <w:rPr>
          <w:rFonts w:ascii="Arial" w:hAnsi="Arial" w:cs="Arial"/>
          <w:b/>
          <w:sz w:val="20"/>
          <w:szCs w:val="20"/>
        </w:rPr>
        <w:t xml:space="preserve">ismét </w:t>
      </w:r>
      <w:r w:rsidR="008367A6">
        <w:rPr>
          <w:rFonts w:ascii="Arial" w:hAnsi="Arial" w:cs="Arial"/>
          <w:b/>
          <w:sz w:val="20"/>
          <w:szCs w:val="20"/>
        </w:rPr>
        <w:t>javulhat</w:t>
      </w:r>
      <w:r w:rsidR="008367A6" w:rsidRPr="00FD658E">
        <w:rPr>
          <w:rFonts w:ascii="Arial" w:hAnsi="Arial" w:cs="Arial"/>
          <w:b/>
          <w:sz w:val="20"/>
          <w:szCs w:val="20"/>
        </w:rPr>
        <w:t xml:space="preserve"> </w:t>
      </w:r>
      <w:r w:rsidR="00364FE6" w:rsidRPr="00FD658E">
        <w:rPr>
          <w:rFonts w:ascii="Arial" w:hAnsi="Arial" w:cs="Arial"/>
          <w:b/>
          <w:sz w:val="20"/>
          <w:szCs w:val="20"/>
        </w:rPr>
        <w:t>a folyó fizetési mérleg többlete</w:t>
      </w:r>
      <w:r w:rsidR="00364FE6" w:rsidRPr="00FD658E">
        <w:rPr>
          <w:rFonts w:ascii="Arial" w:hAnsi="Arial" w:cs="Arial"/>
          <w:sz w:val="20"/>
          <w:szCs w:val="20"/>
        </w:rPr>
        <w:t xml:space="preserve">, részben az áruforgalom, részben pedig az idegenforgalom </w:t>
      </w:r>
      <w:r w:rsidR="00364FE6">
        <w:rPr>
          <w:rFonts w:ascii="Arial" w:hAnsi="Arial" w:cs="Arial"/>
          <w:sz w:val="20"/>
          <w:szCs w:val="20"/>
        </w:rPr>
        <w:t>fokozatos</w:t>
      </w:r>
      <w:r w:rsidR="00364FE6" w:rsidRPr="00FD658E">
        <w:rPr>
          <w:rFonts w:ascii="Arial" w:hAnsi="Arial" w:cs="Arial"/>
          <w:sz w:val="20"/>
          <w:szCs w:val="20"/>
        </w:rPr>
        <w:t xml:space="preserve"> helyreállásának köszönhetően, miközben új exportkapacitások üzembe hely</w:t>
      </w:r>
      <w:r w:rsidR="004E09A0">
        <w:rPr>
          <w:rFonts w:ascii="Arial" w:hAnsi="Arial" w:cs="Arial"/>
          <w:sz w:val="20"/>
          <w:szCs w:val="20"/>
        </w:rPr>
        <w:t>ezése adhat lökést az exportnak</w:t>
      </w:r>
      <w:r w:rsidR="00364FE6" w:rsidRPr="00FD658E">
        <w:rPr>
          <w:rFonts w:ascii="Arial" w:hAnsi="Arial" w:cs="Arial"/>
          <w:sz w:val="20"/>
          <w:szCs w:val="20"/>
        </w:rPr>
        <w:t xml:space="preserve">. </w:t>
      </w:r>
      <w:r w:rsidR="008367A6">
        <w:rPr>
          <w:rFonts w:ascii="Arial" w:hAnsi="Arial" w:cs="Arial"/>
          <w:b/>
          <w:sz w:val="20"/>
          <w:szCs w:val="20"/>
        </w:rPr>
        <w:t>2021-ben 4,5 milliárd euróra emelkedhetett a deficit a tavalyelőtti 2,1 milliárd euró hiányt követően, megközelítve a GDP 3%-át. A következő években azonban fokozatosan csökkenhet a folyó fizetési mérleg hiánya.</w:t>
      </w:r>
      <w:r w:rsidR="008367A6" w:rsidRPr="00740403">
        <w:rPr>
          <w:rFonts w:ascii="Arial" w:hAnsi="Arial" w:cs="Arial"/>
          <w:sz w:val="20"/>
          <w:szCs w:val="20"/>
        </w:rPr>
        <w:t xml:space="preserve"> </w:t>
      </w:r>
      <w:r w:rsidR="008367A6">
        <w:rPr>
          <w:rFonts w:ascii="Arial" w:hAnsi="Arial" w:cs="Arial"/>
          <w:sz w:val="20"/>
          <w:szCs w:val="20"/>
        </w:rPr>
        <w:t>A tavaly enyhén csökkenő</w:t>
      </w:r>
      <w:r w:rsidR="008367A6" w:rsidRPr="00740403">
        <w:rPr>
          <w:rFonts w:ascii="Arial" w:hAnsi="Arial" w:cs="Arial"/>
          <w:sz w:val="20"/>
          <w:szCs w:val="20"/>
        </w:rPr>
        <w:t xml:space="preserve"> tőkemérleggel együtt </w:t>
      </w:r>
      <w:r w:rsidR="008367A6" w:rsidRPr="00740403">
        <w:rPr>
          <w:rFonts w:ascii="Arial" w:hAnsi="Arial" w:cs="Arial"/>
          <w:b/>
          <w:sz w:val="20"/>
          <w:szCs w:val="20"/>
        </w:rPr>
        <w:t xml:space="preserve">a </w:t>
      </w:r>
      <w:r w:rsidR="008367A6">
        <w:rPr>
          <w:rFonts w:ascii="Arial" w:hAnsi="Arial" w:cs="Arial"/>
          <w:b/>
          <w:sz w:val="20"/>
          <w:szCs w:val="20"/>
        </w:rPr>
        <w:t>külső finanszírozási igény 2 milliárd euró, a GDP 1,4%-a lehetett</w:t>
      </w:r>
      <w:r w:rsidR="008367A6" w:rsidRPr="00740403">
        <w:rPr>
          <w:rFonts w:ascii="Arial" w:hAnsi="Arial" w:cs="Arial"/>
          <w:b/>
          <w:sz w:val="20"/>
          <w:szCs w:val="20"/>
        </w:rPr>
        <w:t xml:space="preserve">, </w:t>
      </w:r>
      <w:r w:rsidR="008367A6">
        <w:rPr>
          <w:rFonts w:ascii="Arial" w:hAnsi="Arial" w:cs="Arial"/>
          <w:b/>
          <w:sz w:val="20"/>
          <w:szCs w:val="20"/>
        </w:rPr>
        <w:t>így tizenhárom év óta először mutatott hiányt külfölddel szemben</w:t>
      </w:r>
      <w:r w:rsidR="008367A6" w:rsidRPr="00740403">
        <w:rPr>
          <w:rFonts w:ascii="Arial" w:hAnsi="Arial" w:cs="Arial"/>
          <w:sz w:val="20"/>
          <w:szCs w:val="20"/>
        </w:rPr>
        <w:t xml:space="preserve">. </w:t>
      </w:r>
      <w:r w:rsidR="008367A6">
        <w:rPr>
          <w:rFonts w:ascii="Arial" w:hAnsi="Arial" w:cs="Arial"/>
          <w:sz w:val="20"/>
          <w:szCs w:val="20"/>
        </w:rPr>
        <w:t xml:space="preserve">A hazai gazdaság finanszírozása ismét többletet mutathat külfölddel szemben, azaz újra pozitívvá válhat a finanszírozási képessége. Az uniós források visszatartása ugyanakkor kockázatot jelenthet a tőkemérleg és a külső finanszírozási képesség, valamint a külső adósságmutatók alakulására. </w:t>
      </w:r>
      <w:r w:rsidR="008367A6" w:rsidRPr="00FD658E">
        <w:rPr>
          <w:rFonts w:ascii="Arial" w:hAnsi="Arial" w:cs="Arial"/>
          <w:sz w:val="20"/>
          <w:szCs w:val="20"/>
        </w:rPr>
        <w:t xml:space="preserve">A legtágabb értelmű (a működőtőke-befektetések közé sorolt egyéb tőke tételeket is tartalmazó) </w:t>
      </w:r>
      <w:r w:rsidR="008367A6" w:rsidRPr="00FD658E">
        <w:rPr>
          <w:rFonts w:ascii="Arial" w:hAnsi="Arial" w:cs="Arial"/>
          <w:b/>
          <w:sz w:val="20"/>
          <w:szCs w:val="20"/>
        </w:rPr>
        <w:t>bruttó külföldi adósság</w:t>
      </w:r>
      <w:r w:rsidR="008367A6">
        <w:rPr>
          <w:rFonts w:ascii="Arial" w:hAnsi="Arial" w:cs="Arial"/>
          <w:sz w:val="20"/>
          <w:szCs w:val="20"/>
        </w:rPr>
        <w:t xml:space="preserve"> a GDP 73</w:t>
      </w:r>
      <w:r w:rsidR="008367A6" w:rsidRPr="00FD658E">
        <w:rPr>
          <w:rFonts w:ascii="Arial" w:hAnsi="Arial" w:cs="Arial"/>
          <w:sz w:val="20"/>
          <w:szCs w:val="20"/>
        </w:rPr>
        <w:t xml:space="preserve">%-a alá került 2019 végére, ami </w:t>
      </w:r>
      <w:r w:rsidR="008367A6">
        <w:rPr>
          <w:rFonts w:ascii="Arial" w:hAnsi="Arial" w:cs="Arial"/>
          <w:sz w:val="20"/>
          <w:szCs w:val="20"/>
        </w:rPr>
        <w:t>tavaly</w:t>
      </w:r>
      <w:r w:rsidR="008367A6" w:rsidRPr="00FD658E">
        <w:rPr>
          <w:rFonts w:ascii="Arial" w:hAnsi="Arial" w:cs="Arial"/>
          <w:sz w:val="20"/>
          <w:szCs w:val="20"/>
        </w:rPr>
        <w:t xml:space="preserve"> átmenetileg </w:t>
      </w:r>
      <w:r w:rsidR="008367A6">
        <w:rPr>
          <w:rFonts w:ascii="Arial" w:hAnsi="Arial" w:cs="Arial"/>
          <w:b/>
          <w:sz w:val="20"/>
          <w:szCs w:val="20"/>
        </w:rPr>
        <w:lastRenderedPageBreak/>
        <w:t>85</w:t>
      </w:r>
      <w:r w:rsidR="008367A6" w:rsidRPr="00FD658E">
        <w:rPr>
          <w:rFonts w:ascii="Arial" w:hAnsi="Arial" w:cs="Arial"/>
          <w:b/>
          <w:sz w:val="20"/>
          <w:szCs w:val="20"/>
        </w:rPr>
        <w:t xml:space="preserve">% </w:t>
      </w:r>
      <w:r w:rsidR="008367A6">
        <w:rPr>
          <w:rFonts w:ascii="Arial" w:hAnsi="Arial" w:cs="Arial"/>
          <w:b/>
          <w:sz w:val="20"/>
          <w:szCs w:val="20"/>
        </w:rPr>
        <w:t>közelébe</w:t>
      </w:r>
      <w:r w:rsidR="008367A6">
        <w:rPr>
          <w:rFonts w:ascii="Arial" w:hAnsi="Arial" w:cs="Arial"/>
          <w:sz w:val="20"/>
          <w:szCs w:val="20"/>
        </w:rPr>
        <w:t xml:space="preserve"> ugrott</w:t>
      </w:r>
      <w:r w:rsidR="008367A6" w:rsidRPr="00FD658E">
        <w:rPr>
          <w:rFonts w:ascii="Arial" w:hAnsi="Arial" w:cs="Arial"/>
          <w:sz w:val="20"/>
          <w:szCs w:val="20"/>
        </w:rPr>
        <w:t xml:space="preserve">, míg </w:t>
      </w:r>
      <w:r w:rsidR="008367A6" w:rsidRPr="00FD658E">
        <w:rPr>
          <w:rFonts w:ascii="Arial" w:hAnsi="Arial" w:cs="Arial"/>
          <w:b/>
          <w:sz w:val="20"/>
          <w:szCs w:val="20"/>
        </w:rPr>
        <w:t xml:space="preserve">a </w:t>
      </w:r>
      <w:r w:rsidR="008367A6">
        <w:rPr>
          <w:rFonts w:ascii="Arial" w:hAnsi="Arial" w:cs="Arial"/>
          <w:b/>
          <w:sz w:val="20"/>
          <w:szCs w:val="20"/>
        </w:rPr>
        <w:t>nettó külső adósság 10%-</w:t>
      </w:r>
      <w:proofErr w:type="spellStart"/>
      <w:r w:rsidR="008367A6">
        <w:rPr>
          <w:rFonts w:ascii="Arial" w:hAnsi="Arial" w:cs="Arial"/>
          <w:b/>
          <w:sz w:val="20"/>
          <w:szCs w:val="20"/>
        </w:rPr>
        <w:t>ra</w:t>
      </w:r>
      <w:proofErr w:type="spellEnd"/>
      <w:r w:rsidR="008367A6">
        <w:rPr>
          <w:rFonts w:ascii="Arial" w:hAnsi="Arial" w:cs="Arial"/>
          <w:b/>
          <w:sz w:val="20"/>
          <w:szCs w:val="20"/>
        </w:rPr>
        <w:t xml:space="preserve"> emelkedett</w:t>
      </w:r>
      <w:r w:rsidR="008367A6" w:rsidRPr="00FD658E">
        <w:rPr>
          <w:rFonts w:ascii="Arial" w:hAnsi="Arial" w:cs="Arial"/>
          <w:b/>
          <w:sz w:val="20"/>
          <w:szCs w:val="20"/>
        </w:rPr>
        <w:t xml:space="preserve"> </w:t>
      </w:r>
      <w:r w:rsidR="008367A6" w:rsidRPr="00FD658E">
        <w:rPr>
          <w:rFonts w:ascii="Arial" w:hAnsi="Arial" w:cs="Arial"/>
          <w:sz w:val="20"/>
          <w:szCs w:val="20"/>
        </w:rPr>
        <w:t>a</w:t>
      </w:r>
      <w:r w:rsidR="008367A6">
        <w:rPr>
          <w:rFonts w:ascii="Arial" w:hAnsi="Arial" w:cs="Arial"/>
          <w:sz w:val="20"/>
          <w:szCs w:val="20"/>
        </w:rPr>
        <w:t>z előző évi 7,1</w:t>
      </w:r>
      <w:r w:rsidR="008367A6" w:rsidRPr="00FD658E">
        <w:rPr>
          <w:rFonts w:ascii="Arial" w:hAnsi="Arial" w:cs="Arial"/>
          <w:sz w:val="20"/>
          <w:szCs w:val="20"/>
        </w:rPr>
        <w:t>% után,</w:t>
      </w:r>
      <w:r w:rsidR="008367A6">
        <w:rPr>
          <w:rFonts w:ascii="Arial" w:hAnsi="Arial" w:cs="Arial"/>
          <w:sz w:val="20"/>
          <w:szCs w:val="20"/>
        </w:rPr>
        <w:t xml:space="preserve"> tavaly pedig 17% fölé emelkedhetett.</w:t>
      </w:r>
      <w:r w:rsidR="008367A6" w:rsidRPr="00FD658E">
        <w:rPr>
          <w:rFonts w:ascii="Arial" w:hAnsi="Arial" w:cs="Arial"/>
          <w:sz w:val="20"/>
          <w:szCs w:val="20"/>
        </w:rPr>
        <w:t xml:space="preserve"> </w:t>
      </w:r>
      <w:r w:rsidR="008367A6">
        <w:rPr>
          <w:rFonts w:ascii="Arial" w:hAnsi="Arial" w:cs="Arial"/>
          <w:sz w:val="20"/>
          <w:szCs w:val="20"/>
        </w:rPr>
        <w:t>A</w:t>
      </w:r>
      <w:r w:rsidR="008367A6" w:rsidRPr="00FD658E">
        <w:rPr>
          <w:rFonts w:ascii="Arial" w:hAnsi="Arial" w:cs="Arial"/>
          <w:sz w:val="20"/>
          <w:szCs w:val="20"/>
        </w:rPr>
        <w:t xml:space="preserve"> következő években </w:t>
      </w:r>
      <w:r w:rsidR="008367A6">
        <w:rPr>
          <w:rFonts w:ascii="Arial" w:hAnsi="Arial" w:cs="Arial"/>
          <w:sz w:val="20"/>
          <w:szCs w:val="20"/>
        </w:rPr>
        <w:t xml:space="preserve">azonban </w:t>
      </w:r>
      <w:r w:rsidR="008367A6" w:rsidRPr="0049108B">
        <w:rPr>
          <w:rFonts w:ascii="Arial" w:hAnsi="Arial" w:cs="Arial"/>
          <w:b/>
          <w:sz w:val="20"/>
          <w:szCs w:val="20"/>
        </w:rPr>
        <w:t>újra csökkenő pályára állhat</w:t>
      </w:r>
      <w:r w:rsidR="008367A6" w:rsidRPr="00FD658E">
        <w:rPr>
          <w:rFonts w:ascii="Arial" w:hAnsi="Arial" w:cs="Arial"/>
          <w:sz w:val="20"/>
          <w:szCs w:val="20"/>
        </w:rPr>
        <w:t xml:space="preserve">, középtávon pedig </w:t>
      </w:r>
      <w:r w:rsidR="008367A6" w:rsidRPr="00FD658E">
        <w:rPr>
          <w:rFonts w:ascii="Arial" w:hAnsi="Arial" w:cs="Arial"/>
          <w:b/>
          <w:sz w:val="20"/>
          <w:szCs w:val="20"/>
        </w:rPr>
        <w:t>nettó külső hitelezői</w:t>
      </w:r>
      <w:r w:rsidR="008367A6" w:rsidRPr="00FD658E">
        <w:rPr>
          <w:rFonts w:ascii="Arial" w:hAnsi="Arial" w:cs="Arial"/>
          <w:sz w:val="20"/>
          <w:szCs w:val="20"/>
        </w:rPr>
        <w:t xml:space="preserve"> pozícióba kerülhet a hazai gazdaság.</w:t>
      </w:r>
    </w:p>
    <w:p w14:paraId="1D5518BF" w14:textId="77777777" w:rsidR="005C518C" w:rsidRPr="00E23806" w:rsidRDefault="00D345B9" w:rsidP="00316464">
      <w:pPr>
        <w:pStyle w:val="Alcmtbank"/>
      </w:pPr>
      <w:bookmarkStart w:id="1" w:name="_Hlk5875196"/>
      <w:r>
        <w:t>Fundamentális, jegybanki és fiskális támaszok segíthetik a forintot idén</w:t>
      </w:r>
    </w:p>
    <w:bookmarkEnd w:id="1"/>
    <w:p w14:paraId="64A31294" w14:textId="77777777" w:rsidR="00D345B9" w:rsidRPr="00562F26" w:rsidRDefault="00D345B9" w:rsidP="00D345B9">
      <w:pPr>
        <w:spacing w:after="0" w:line="360" w:lineRule="auto"/>
        <w:jc w:val="both"/>
        <w:rPr>
          <w:rFonts w:ascii="Arial" w:hAnsi="Arial" w:cs="Arial"/>
          <w:sz w:val="20"/>
          <w:szCs w:val="20"/>
        </w:rPr>
      </w:pPr>
      <w:r>
        <w:rPr>
          <w:rFonts w:ascii="Arial" w:hAnsi="Arial" w:cs="Arial"/>
          <w:sz w:val="20"/>
          <w:szCs w:val="20"/>
        </w:rPr>
        <w:t xml:space="preserve">A tavalyi év végén a hazai fizetőeszköz ismét a 370-es szintig gyengült, majd januárban visszaerősödött 355 alá, ahonnan aztán a decemberi vártnál erőteljesebb hazai (mag)infláció hatására ismét gyengült némileg. Az év végi gyengülés oka alapvetően a kedvezőtlen feltörekvő piaci hangulat volt, amit a globális jegybankok egyre szigorúbb üzenetei, a dollárhozamok emelkedése, illetve az infláció várható tartósságával kapcsolatos megszólalások indukáltak, továbbá a hazai jegybank restrikciós fellépéseit is kevesellték a befektetők, miután beindult az </w:t>
      </w:r>
      <w:proofErr w:type="spellStart"/>
      <w:r>
        <w:rPr>
          <w:rFonts w:ascii="Arial" w:hAnsi="Arial" w:cs="Arial"/>
          <w:sz w:val="20"/>
          <w:szCs w:val="20"/>
        </w:rPr>
        <w:t>összrégiós</w:t>
      </w:r>
      <w:proofErr w:type="spellEnd"/>
      <w:r>
        <w:rPr>
          <w:rFonts w:ascii="Arial" w:hAnsi="Arial" w:cs="Arial"/>
          <w:sz w:val="20"/>
          <w:szCs w:val="20"/>
        </w:rPr>
        <w:t xml:space="preserve"> szigorítási verseny.</w:t>
      </w:r>
      <w:r w:rsidRPr="00711476">
        <w:rPr>
          <w:rFonts w:ascii="Arial" w:hAnsi="Arial" w:cs="Arial"/>
          <w:b/>
          <w:sz w:val="20"/>
          <w:szCs w:val="20"/>
        </w:rPr>
        <w:t xml:space="preserve"> </w:t>
      </w:r>
      <w:r>
        <w:rPr>
          <w:rFonts w:ascii="Arial" w:hAnsi="Arial" w:cs="Arial"/>
          <w:sz w:val="20"/>
          <w:szCs w:val="20"/>
        </w:rPr>
        <w:t>A 4%-ot elérő egyhetes MNB betéti kamat – az effektív alapkamat – szintj</w:t>
      </w:r>
      <w:r w:rsidR="00793DD3">
        <w:rPr>
          <w:rFonts w:ascii="Arial" w:hAnsi="Arial" w:cs="Arial"/>
          <w:sz w:val="20"/>
          <w:szCs w:val="20"/>
        </w:rPr>
        <w:t>e immár erőteljesebb védelmet</w:t>
      </w:r>
      <w:r>
        <w:rPr>
          <w:rFonts w:ascii="Arial" w:hAnsi="Arial" w:cs="Arial"/>
          <w:sz w:val="20"/>
          <w:szCs w:val="20"/>
        </w:rPr>
        <w:t xml:space="preserve"> nyújt a forintnak a nemzetközi hangulatingadozások közepette, így a korábbi régiós </w:t>
      </w:r>
      <w:proofErr w:type="spellStart"/>
      <w:r>
        <w:rPr>
          <w:rFonts w:ascii="Arial" w:hAnsi="Arial" w:cs="Arial"/>
          <w:sz w:val="20"/>
          <w:szCs w:val="20"/>
        </w:rPr>
        <w:t>alulteljesítést</w:t>
      </w:r>
      <w:proofErr w:type="spellEnd"/>
      <w:r>
        <w:rPr>
          <w:rFonts w:ascii="Arial" w:hAnsi="Arial" w:cs="Arial"/>
          <w:sz w:val="20"/>
          <w:szCs w:val="20"/>
        </w:rPr>
        <w:t xml:space="preserve"> a felülteljesítés váltotta fel az utóbbi időszakban, amire szükség is van a hazai infláció elleni harcban, hogy ne csak a belső </w:t>
      </w:r>
      <w:proofErr w:type="spellStart"/>
      <w:r>
        <w:rPr>
          <w:rFonts w:ascii="Arial" w:hAnsi="Arial" w:cs="Arial"/>
          <w:sz w:val="20"/>
          <w:szCs w:val="20"/>
        </w:rPr>
        <w:t>árnyomás</w:t>
      </w:r>
      <w:proofErr w:type="spellEnd"/>
      <w:r>
        <w:rPr>
          <w:rFonts w:ascii="Arial" w:hAnsi="Arial" w:cs="Arial"/>
          <w:sz w:val="20"/>
          <w:szCs w:val="20"/>
        </w:rPr>
        <w:t xml:space="preserve">, hanem a forintgyengülés inflációs hatása is tompuljon. </w:t>
      </w:r>
      <w:r w:rsidRPr="00562F26">
        <w:rPr>
          <w:rFonts w:ascii="Arial" w:hAnsi="Arial" w:cs="Arial"/>
          <w:sz w:val="20"/>
          <w:szCs w:val="20"/>
        </w:rPr>
        <w:t xml:space="preserve">Az export </w:t>
      </w:r>
      <w:r>
        <w:rPr>
          <w:rFonts w:ascii="Arial" w:hAnsi="Arial" w:cs="Arial"/>
          <w:sz w:val="20"/>
          <w:szCs w:val="20"/>
        </w:rPr>
        <w:t>dinamikája ugyan továbbra is erőteljes marad – bár az ipari chiphiány ezt egyelőre mérsékeli -</w:t>
      </w:r>
      <w:r w:rsidRPr="00562F26">
        <w:rPr>
          <w:rFonts w:ascii="Arial" w:hAnsi="Arial" w:cs="Arial"/>
          <w:sz w:val="20"/>
          <w:szCs w:val="20"/>
        </w:rPr>
        <w:t xml:space="preserve"> és az aktív magyarország</w:t>
      </w:r>
      <w:r>
        <w:rPr>
          <w:rFonts w:ascii="Arial" w:hAnsi="Arial" w:cs="Arial"/>
          <w:sz w:val="20"/>
          <w:szCs w:val="20"/>
        </w:rPr>
        <w:t xml:space="preserve">i működőtőke befektetési szint is láthatóan fennmarad, ugyanakkor az import, mind fogyasztási, mind beruházási oldalról tovább erősödhet, </w:t>
      </w:r>
      <w:r w:rsidRPr="00711476">
        <w:rPr>
          <w:rFonts w:ascii="Arial" w:hAnsi="Arial" w:cs="Arial"/>
          <w:b/>
          <w:sz w:val="20"/>
          <w:szCs w:val="20"/>
        </w:rPr>
        <w:t xml:space="preserve">a folyó fizetési mérleg </w:t>
      </w:r>
      <w:r>
        <w:rPr>
          <w:rFonts w:ascii="Arial" w:hAnsi="Arial" w:cs="Arial"/>
          <w:b/>
          <w:sz w:val="20"/>
          <w:szCs w:val="20"/>
        </w:rPr>
        <w:t>pedig minimális negatív egyenleget mutathat idén és jövőre</w:t>
      </w:r>
      <w:r>
        <w:rPr>
          <w:rFonts w:ascii="Arial" w:hAnsi="Arial" w:cs="Arial"/>
          <w:sz w:val="20"/>
          <w:szCs w:val="20"/>
        </w:rPr>
        <w:t>.</w:t>
      </w:r>
      <w:r>
        <w:rPr>
          <w:rFonts w:ascii="Arial" w:hAnsi="Arial" w:cs="Arial"/>
          <w:b/>
          <w:sz w:val="20"/>
          <w:szCs w:val="20"/>
        </w:rPr>
        <w:t xml:space="preserve"> Ez alapvetően semleges a forint szempontjából, mivel ennek mértéke igen korlátozott maradhat, </w:t>
      </w:r>
      <w:r>
        <w:rPr>
          <w:rFonts w:ascii="Arial" w:hAnsi="Arial" w:cs="Arial"/>
          <w:sz w:val="20"/>
          <w:szCs w:val="20"/>
        </w:rPr>
        <w:t>viszont</w:t>
      </w:r>
      <w:r w:rsidRPr="00562F26">
        <w:rPr>
          <w:rFonts w:ascii="Arial" w:hAnsi="Arial" w:cs="Arial"/>
          <w:sz w:val="20"/>
          <w:szCs w:val="20"/>
        </w:rPr>
        <w:t xml:space="preserve"> a folyamatos negatív nemzetközi sajtó erősíti a forint elleni </w:t>
      </w:r>
      <w:proofErr w:type="spellStart"/>
      <w:r w:rsidRPr="00562F26">
        <w:rPr>
          <w:rFonts w:ascii="Arial" w:hAnsi="Arial" w:cs="Arial"/>
          <w:sz w:val="20"/>
          <w:szCs w:val="20"/>
        </w:rPr>
        <w:t>short</w:t>
      </w:r>
      <w:proofErr w:type="spellEnd"/>
      <w:r w:rsidRPr="00562F26">
        <w:rPr>
          <w:rFonts w:ascii="Arial" w:hAnsi="Arial" w:cs="Arial"/>
          <w:sz w:val="20"/>
          <w:szCs w:val="20"/>
        </w:rPr>
        <w:t xml:space="preserve"> állomány felépülését, </w:t>
      </w:r>
      <w:r>
        <w:rPr>
          <w:rFonts w:ascii="Arial" w:hAnsi="Arial" w:cs="Arial"/>
          <w:sz w:val="20"/>
          <w:szCs w:val="20"/>
        </w:rPr>
        <w:t xml:space="preserve">aminek a hatását a jelenlegi „védő </w:t>
      </w:r>
      <w:proofErr w:type="gramStart"/>
      <w:r>
        <w:rPr>
          <w:rFonts w:ascii="Arial" w:hAnsi="Arial" w:cs="Arial"/>
          <w:sz w:val="20"/>
          <w:szCs w:val="20"/>
        </w:rPr>
        <w:t>kamatszint”</w:t>
      </w:r>
      <w:proofErr w:type="gramEnd"/>
      <w:r>
        <w:rPr>
          <w:rFonts w:ascii="Arial" w:hAnsi="Arial" w:cs="Arial"/>
          <w:sz w:val="20"/>
          <w:szCs w:val="20"/>
        </w:rPr>
        <w:t xml:space="preserve"> illetve a konszolidálódó költségvetési hiányok mérsékelhetik az idei évben, kiváltképp amennyiben az infláció is lassulna</w:t>
      </w:r>
      <w:r w:rsidR="00170900">
        <w:rPr>
          <w:rFonts w:ascii="Arial" w:hAnsi="Arial" w:cs="Arial"/>
          <w:sz w:val="20"/>
          <w:szCs w:val="20"/>
        </w:rPr>
        <w:t>,</w:t>
      </w:r>
      <w:r>
        <w:rPr>
          <w:rFonts w:ascii="Arial" w:hAnsi="Arial" w:cs="Arial"/>
          <w:sz w:val="20"/>
          <w:szCs w:val="20"/>
        </w:rPr>
        <w:t xml:space="preserve"> és érezhetően emelkedne a hazai reálkamatszint</w:t>
      </w:r>
      <w:r w:rsidRPr="00562F26">
        <w:rPr>
          <w:rFonts w:ascii="Arial" w:hAnsi="Arial" w:cs="Arial"/>
          <w:sz w:val="20"/>
          <w:szCs w:val="20"/>
        </w:rPr>
        <w:t>.</w:t>
      </w:r>
    </w:p>
    <w:p w14:paraId="5F0CA4A3" w14:textId="77777777" w:rsidR="007341D8" w:rsidRPr="00D345B9" w:rsidRDefault="00D345B9" w:rsidP="00D345B9">
      <w:pPr>
        <w:spacing w:after="0" w:line="360" w:lineRule="auto"/>
        <w:jc w:val="both"/>
        <w:rPr>
          <w:rFonts w:ascii="Arial" w:hAnsi="Arial" w:cs="Arial"/>
          <w:sz w:val="20"/>
          <w:szCs w:val="20"/>
        </w:rPr>
      </w:pPr>
      <w:r>
        <w:rPr>
          <w:rFonts w:ascii="Arial" w:hAnsi="Arial" w:cs="Arial"/>
          <w:sz w:val="20"/>
          <w:szCs w:val="20"/>
        </w:rPr>
        <w:t xml:space="preserve">Ezen felül a tőkemérleg többlete </w:t>
      </w:r>
      <w:r w:rsidRPr="00025F96">
        <w:rPr>
          <w:rFonts w:ascii="Arial" w:hAnsi="Arial" w:cs="Arial"/>
          <w:sz w:val="20"/>
          <w:szCs w:val="20"/>
        </w:rPr>
        <w:t>megmarad, amit a 2021-2027-es új EU-s finanszírozási ciklus is támogat majd a jelenleg fennálló viták várható rendezése után, illetve a</w:t>
      </w:r>
      <w:r w:rsidRPr="00711476">
        <w:rPr>
          <w:rFonts w:ascii="Arial" w:hAnsi="Arial" w:cs="Arial"/>
          <w:b/>
          <w:sz w:val="20"/>
          <w:szCs w:val="20"/>
        </w:rPr>
        <w:t xml:space="preserve"> teljes külső finanszírozási képesség </w:t>
      </w:r>
      <w:r>
        <w:rPr>
          <w:rFonts w:ascii="Arial" w:hAnsi="Arial" w:cs="Arial"/>
          <w:b/>
          <w:sz w:val="20"/>
          <w:szCs w:val="20"/>
        </w:rPr>
        <w:t>pozitív lesz idén és jövőre, miközben mérséklődik az államadósság, ami szintén kedvező a hazai deviza szempontjából</w:t>
      </w:r>
      <w:r w:rsidRPr="00711476">
        <w:rPr>
          <w:rFonts w:ascii="Arial" w:hAnsi="Arial" w:cs="Arial"/>
          <w:b/>
          <w:sz w:val="20"/>
          <w:szCs w:val="20"/>
        </w:rPr>
        <w:t>.</w:t>
      </w:r>
      <w:r w:rsidRPr="00711476">
        <w:rPr>
          <w:rFonts w:ascii="Arial" w:hAnsi="Arial" w:cs="Arial"/>
          <w:sz w:val="20"/>
          <w:szCs w:val="20"/>
        </w:rPr>
        <w:t xml:space="preserve"> </w:t>
      </w:r>
      <w:r>
        <w:rPr>
          <w:rFonts w:ascii="Arial" w:hAnsi="Arial" w:cs="Arial"/>
          <w:sz w:val="20"/>
          <w:szCs w:val="20"/>
        </w:rPr>
        <w:t xml:space="preserve">Ez </w:t>
      </w:r>
      <w:r w:rsidRPr="00711476">
        <w:rPr>
          <w:rFonts w:ascii="Arial" w:hAnsi="Arial" w:cs="Arial"/>
          <w:sz w:val="20"/>
          <w:szCs w:val="20"/>
        </w:rPr>
        <w:t>segít</w:t>
      </w:r>
      <w:r>
        <w:rPr>
          <w:rFonts w:ascii="Arial" w:hAnsi="Arial" w:cs="Arial"/>
          <w:sz w:val="20"/>
          <w:szCs w:val="20"/>
        </w:rPr>
        <w:t>het</w:t>
      </w:r>
      <w:r w:rsidRPr="00711476">
        <w:rPr>
          <w:rFonts w:ascii="Arial" w:hAnsi="Arial" w:cs="Arial"/>
          <w:sz w:val="20"/>
          <w:szCs w:val="20"/>
        </w:rPr>
        <w:t xml:space="preserve"> kordában </w:t>
      </w:r>
      <w:r>
        <w:rPr>
          <w:rFonts w:ascii="Arial" w:hAnsi="Arial" w:cs="Arial"/>
          <w:sz w:val="20"/>
          <w:szCs w:val="20"/>
        </w:rPr>
        <w:t>tartani és ismét csökkenő pályára terelni</w:t>
      </w:r>
      <w:r w:rsidRPr="00711476">
        <w:rPr>
          <w:rFonts w:ascii="Arial" w:hAnsi="Arial" w:cs="Arial"/>
          <w:sz w:val="20"/>
          <w:szCs w:val="20"/>
        </w:rPr>
        <w:t xml:space="preserve"> a külső adósságo</w:t>
      </w:r>
      <w:r>
        <w:rPr>
          <w:rFonts w:ascii="Arial" w:hAnsi="Arial" w:cs="Arial"/>
          <w:sz w:val="20"/>
          <w:szCs w:val="20"/>
        </w:rPr>
        <w:t>t, továbbá a hazai CDS felárakat, ami</w:t>
      </w:r>
      <w:r w:rsidRPr="00711476">
        <w:rPr>
          <w:rFonts w:ascii="Arial" w:hAnsi="Arial" w:cs="Arial"/>
          <w:sz w:val="20"/>
          <w:szCs w:val="20"/>
        </w:rPr>
        <w:t xml:space="preserve"> a piaci </w:t>
      </w:r>
      <w:r>
        <w:rPr>
          <w:rFonts w:ascii="Arial" w:hAnsi="Arial" w:cs="Arial"/>
          <w:sz w:val="20"/>
          <w:szCs w:val="20"/>
        </w:rPr>
        <w:t>árazásban is meglátszik</w:t>
      </w:r>
      <w:r w:rsidRPr="00711476">
        <w:rPr>
          <w:rFonts w:ascii="Arial" w:hAnsi="Arial" w:cs="Arial"/>
          <w:sz w:val="20"/>
          <w:szCs w:val="20"/>
        </w:rPr>
        <w:t xml:space="preserve">. A magyar csődkockázati felár </w:t>
      </w:r>
      <w:r>
        <w:rPr>
          <w:rFonts w:ascii="Arial" w:hAnsi="Arial" w:cs="Arial"/>
          <w:sz w:val="20"/>
          <w:szCs w:val="20"/>
        </w:rPr>
        <w:t>már 50 pont alatti – némi emelkedés után - 49 bázispont, ami további csökkenést jelent a korábbi negyedévhez képest és csupán 8 bázispont felárt jelez a lengyel és 14bp-</w:t>
      </w:r>
      <w:r w:rsidR="00170900">
        <w:rPr>
          <w:rFonts w:ascii="Arial" w:hAnsi="Arial" w:cs="Arial"/>
          <w:sz w:val="20"/>
          <w:szCs w:val="20"/>
        </w:rPr>
        <w:t>o</w:t>
      </w:r>
      <w:r>
        <w:rPr>
          <w:rFonts w:ascii="Arial" w:hAnsi="Arial" w:cs="Arial"/>
          <w:sz w:val="20"/>
          <w:szCs w:val="20"/>
        </w:rPr>
        <w:t>t a cseh szinthez viszonyítva</w:t>
      </w:r>
      <w:r w:rsidRPr="00711476">
        <w:rPr>
          <w:rFonts w:ascii="Arial" w:hAnsi="Arial" w:cs="Arial"/>
          <w:sz w:val="20"/>
          <w:szCs w:val="20"/>
        </w:rPr>
        <w:t xml:space="preserve">. </w:t>
      </w:r>
      <w:r>
        <w:rPr>
          <w:rFonts w:ascii="Arial" w:hAnsi="Arial" w:cs="Arial"/>
          <w:sz w:val="20"/>
          <w:szCs w:val="20"/>
        </w:rPr>
        <w:t xml:space="preserve">A magyar gazdaság fundamentumainak stabilitását és várható javulását jelzi az is, hogy némileg váratlanul szeptember végén Baa3-ról Baa2-re minősítette fel a magyar adósosztályzatot a </w:t>
      </w:r>
      <w:proofErr w:type="spellStart"/>
      <w:r>
        <w:rPr>
          <w:rFonts w:ascii="Arial" w:hAnsi="Arial" w:cs="Arial"/>
          <w:sz w:val="20"/>
          <w:szCs w:val="20"/>
        </w:rPr>
        <w:t>Moody’s</w:t>
      </w:r>
      <w:proofErr w:type="spellEnd"/>
      <w:r>
        <w:rPr>
          <w:rFonts w:ascii="Arial" w:hAnsi="Arial" w:cs="Arial"/>
          <w:sz w:val="20"/>
          <w:szCs w:val="20"/>
        </w:rPr>
        <w:t xml:space="preserve"> stabil kilátással. Tette arra hivatkozva, hogy 2021 első felében kiemelkedően erős volt a magyar gazdaság visszapattanása köszönhetően a hatékony fiskális és monetáris politikának és az erőteljes hazai, valamint FDI beruházásoknak köszönhetően </w:t>
      </w:r>
      <w:proofErr w:type="spellStart"/>
      <w:r>
        <w:rPr>
          <w:rFonts w:ascii="Arial" w:hAnsi="Arial" w:cs="Arial"/>
          <w:sz w:val="20"/>
          <w:szCs w:val="20"/>
        </w:rPr>
        <w:t>pozitívak</w:t>
      </w:r>
      <w:proofErr w:type="spellEnd"/>
      <w:r>
        <w:rPr>
          <w:rFonts w:ascii="Arial" w:hAnsi="Arial" w:cs="Arial"/>
          <w:sz w:val="20"/>
          <w:szCs w:val="20"/>
        </w:rPr>
        <w:t xml:space="preserve"> a középtávú növekedési kilátások, ami szintén pozitív fundamentum a nemzetközi piacon a hazai deviza számára. Azt azonban meg kell jegyezni, hogy a bizonytalan inflációs és monetáris szigorítások közepette egy negatív feltörekvő piaci turbulencia a jelenlegi </w:t>
      </w:r>
      <w:proofErr w:type="spellStart"/>
      <w:r>
        <w:rPr>
          <w:rFonts w:ascii="Arial" w:hAnsi="Arial" w:cs="Arial"/>
          <w:sz w:val="20"/>
          <w:szCs w:val="20"/>
        </w:rPr>
        <w:t>volatilis</w:t>
      </w:r>
      <w:proofErr w:type="spellEnd"/>
      <w:r>
        <w:rPr>
          <w:rFonts w:ascii="Arial" w:hAnsi="Arial" w:cs="Arial"/>
          <w:sz w:val="20"/>
          <w:szCs w:val="20"/>
        </w:rPr>
        <w:t xml:space="preserve"> kereskedés közepette érdemi irányváltásokat is eredményezhet, </w:t>
      </w:r>
      <w:r>
        <w:rPr>
          <w:rFonts w:ascii="Arial" w:hAnsi="Arial" w:cs="Arial"/>
          <w:sz w:val="20"/>
          <w:szCs w:val="20"/>
        </w:rPr>
        <w:lastRenderedPageBreak/>
        <w:t>ezzel együtt is a szigorodó hazai monetáris és fiskális környezetnek köszönhetően az év végére a 350-355 közötti sávba várjuk a forint euró elleni értékét.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9"/>
        <w:gridCol w:w="850"/>
        <w:gridCol w:w="850"/>
        <w:gridCol w:w="850"/>
        <w:gridCol w:w="850"/>
        <w:gridCol w:w="958"/>
        <w:gridCol w:w="958"/>
        <w:gridCol w:w="952"/>
      </w:tblGrid>
      <w:tr w:rsidR="000564FB" w:rsidRPr="00BB5B47" w14:paraId="51B45ECD" w14:textId="77777777" w:rsidTr="00313BC1">
        <w:trPr>
          <w:cantSplit/>
          <w:trHeight w:val="278"/>
        </w:trPr>
        <w:tc>
          <w:tcPr>
            <w:tcW w:w="5000" w:type="pct"/>
            <w:gridSpan w:val="8"/>
            <w:tcBorders>
              <w:top w:val="single" w:sz="12" w:space="0" w:color="auto"/>
              <w:left w:val="single" w:sz="12" w:space="0" w:color="auto"/>
              <w:bottom w:val="single" w:sz="12" w:space="0" w:color="auto"/>
              <w:right w:val="single" w:sz="12" w:space="0" w:color="auto"/>
            </w:tcBorders>
            <w:shd w:val="clear" w:color="auto" w:fill="auto"/>
            <w:vAlign w:val="center"/>
          </w:tcPr>
          <w:p w14:paraId="0314D823" w14:textId="77777777" w:rsidR="000564FB" w:rsidRPr="00FF53DB" w:rsidRDefault="000564FB" w:rsidP="00313BC1">
            <w:pPr>
              <w:spacing w:after="0"/>
              <w:jc w:val="center"/>
              <w:rPr>
                <w:rFonts w:ascii="Arial" w:hAnsi="Arial" w:cs="Arial"/>
                <w:b/>
                <w:bCs/>
                <w:iCs/>
                <w:sz w:val="20"/>
                <w:szCs w:val="20"/>
              </w:rPr>
            </w:pPr>
            <w:r w:rsidRPr="00FF53DB">
              <w:rPr>
                <w:rFonts w:ascii="Arial" w:hAnsi="Arial" w:cs="Arial"/>
                <w:b/>
                <w:bCs/>
                <w:iCs/>
                <w:color w:val="1D428A"/>
                <w:sz w:val="20"/>
                <w:szCs w:val="20"/>
              </w:rPr>
              <w:t>MAGYAR MAKROGAZDASÁGI ALAPPÁLYABELI ELŐREJELZÉSEINK ÖSSZEFOGLALÁSA</w:t>
            </w:r>
          </w:p>
        </w:tc>
      </w:tr>
      <w:tr w:rsidR="002D00E1" w:rsidRPr="00E33D9C" w14:paraId="09693DE3" w14:textId="77777777" w:rsidTr="00313BC1">
        <w:trPr>
          <w:cantSplit/>
          <w:trHeight w:val="278"/>
        </w:trPr>
        <w:tc>
          <w:tcPr>
            <w:tcW w:w="1814" w:type="pct"/>
            <w:vMerge w:val="restart"/>
            <w:tcBorders>
              <w:top w:val="single" w:sz="12" w:space="0" w:color="auto"/>
              <w:left w:val="single" w:sz="12" w:space="0" w:color="auto"/>
            </w:tcBorders>
            <w:shd w:val="clear" w:color="auto" w:fill="auto"/>
            <w:vAlign w:val="center"/>
          </w:tcPr>
          <w:p w14:paraId="0FA5BF23" w14:textId="77777777" w:rsidR="002D00E1" w:rsidRPr="00FF53DB" w:rsidRDefault="002D00E1" w:rsidP="00313BC1">
            <w:pPr>
              <w:spacing w:after="0"/>
              <w:jc w:val="center"/>
              <w:rPr>
                <w:rFonts w:ascii="Arial" w:hAnsi="Arial" w:cs="Arial"/>
                <w:b/>
                <w:sz w:val="20"/>
                <w:szCs w:val="20"/>
              </w:rPr>
            </w:pPr>
          </w:p>
        </w:tc>
        <w:tc>
          <w:tcPr>
            <w:tcW w:w="432" w:type="pct"/>
            <w:tcBorders>
              <w:top w:val="single" w:sz="12" w:space="0" w:color="auto"/>
            </w:tcBorders>
            <w:shd w:val="clear" w:color="auto" w:fill="auto"/>
            <w:vAlign w:val="center"/>
          </w:tcPr>
          <w:p w14:paraId="64A251F7" w14:textId="77777777" w:rsidR="002D00E1" w:rsidRPr="00FF53DB" w:rsidRDefault="002D00E1" w:rsidP="00313BC1">
            <w:pPr>
              <w:spacing w:after="0"/>
              <w:ind w:left="-288" w:firstLine="288"/>
              <w:jc w:val="center"/>
              <w:rPr>
                <w:rFonts w:ascii="Arial" w:hAnsi="Arial" w:cs="Arial"/>
                <w:b/>
                <w:iCs/>
                <w:color w:val="1D428A"/>
                <w:sz w:val="20"/>
                <w:szCs w:val="20"/>
              </w:rPr>
            </w:pPr>
            <w:r w:rsidRPr="00FF53DB">
              <w:rPr>
                <w:rFonts w:ascii="Arial" w:hAnsi="Arial" w:cs="Arial"/>
                <w:b/>
                <w:iCs/>
                <w:color w:val="1D428A"/>
                <w:sz w:val="20"/>
                <w:szCs w:val="20"/>
              </w:rPr>
              <w:t>2017</w:t>
            </w:r>
          </w:p>
        </w:tc>
        <w:tc>
          <w:tcPr>
            <w:tcW w:w="432" w:type="pct"/>
            <w:tcBorders>
              <w:top w:val="single" w:sz="12" w:space="0" w:color="auto"/>
            </w:tcBorders>
            <w:shd w:val="clear" w:color="auto" w:fill="auto"/>
            <w:vAlign w:val="center"/>
          </w:tcPr>
          <w:p w14:paraId="422F7009" w14:textId="77777777" w:rsidR="002D00E1" w:rsidRPr="00FF53DB" w:rsidRDefault="002D00E1" w:rsidP="00313BC1">
            <w:pPr>
              <w:spacing w:after="0"/>
              <w:ind w:left="-288" w:firstLine="288"/>
              <w:jc w:val="center"/>
              <w:rPr>
                <w:rFonts w:ascii="Arial" w:hAnsi="Arial" w:cs="Arial"/>
                <w:b/>
                <w:iCs/>
                <w:color w:val="1D428A"/>
                <w:sz w:val="20"/>
                <w:szCs w:val="20"/>
              </w:rPr>
            </w:pPr>
            <w:r w:rsidRPr="00FF53DB">
              <w:rPr>
                <w:rFonts w:ascii="Arial" w:hAnsi="Arial" w:cs="Arial"/>
                <w:b/>
                <w:iCs/>
                <w:color w:val="1D428A"/>
                <w:sz w:val="20"/>
                <w:szCs w:val="20"/>
              </w:rPr>
              <w:t>2018</w:t>
            </w:r>
          </w:p>
        </w:tc>
        <w:tc>
          <w:tcPr>
            <w:tcW w:w="432" w:type="pct"/>
            <w:tcBorders>
              <w:top w:val="single" w:sz="12" w:space="0" w:color="auto"/>
            </w:tcBorders>
            <w:shd w:val="clear" w:color="auto" w:fill="auto"/>
            <w:vAlign w:val="center"/>
          </w:tcPr>
          <w:p w14:paraId="30E9D40D" w14:textId="77777777" w:rsidR="002D00E1" w:rsidRPr="00FF53DB" w:rsidRDefault="002D00E1" w:rsidP="00313BC1">
            <w:pPr>
              <w:spacing w:after="0"/>
              <w:ind w:left="-288" w:firstLine="288"/>
              <w:jc w:val="center"/>
              <w:rPr>
                <w:rFonts w:ascii="Arial" w:hAnsi="Arial" w:cs="Arial"/>
                <w:b/>
                <w:iCs/>
                <w:color w:val="1D428A"/>
                <w:sz w:val="20"/>
                <w:szCs w:val="20"/>
              </w:rPr>
            </w:pPr>
            <w:r w:rsidRPr="00FF53DB">
              <w:rPr>
                <w:rFonts w:ascii="Arial" w:hAnsi="Arial" w:cs="Arial"/>
                <w:b/>
                <w:iCs/>
                <w:color w:val="1D428A"/>
                <w:sz w:val="20"/>
                <w:szCs w:val="20"/>
              </w:rPr>
              <w:t>2019</w:t>
            </w:r>
          </w:p>
        </w:tc>
        <w:tc>
          <w:tcPr>
            <w:tcW w:w="432" w:type="pct"/>
            <w:tcBorders>
              <w:top w:val="single" w:sz="12" w:space="0" w:color="auto"/>
            </w:tcBorders>
            <w:shd w:val="clear" w:color="auto" w:fill="FFFFFF" w:themeFill="background1"/>
            <w:vAlign w:val="center"/>
          </w:tcPr>
          <w:p w14:paraId="1578B4D7" w14:textId="77777777" w:rsidR="002D00E1" w:rsidRPr="00FF53DB" w:rsidRDefault="002D00E1" w:rsidP="00313BC1">
            <w:pPr>
              <w:spacing w:after="0"/>
              <w:jc w:val="center"/>
              <w:rPr>
                <w:rFonts w:ascii="Arial" w:hAnsi="Arial" w:cs="Arial"/>
                <w:b/>
                <w:iCs/>
                <w:color w:val="1D428A"/>
                <w:sz w:val="20"/>
                <w:szCs w:val="20"/>
              </w:rPr>
            </w:pPr>
            <w:r w:rsidRPr="00FF53DB">
              <w:rPr>
                <w:rFonts w:ascii="Arial" w:hAnsi="Arial" w:cs="Arial"/>
                <w:b/>
                <w:iCs/>
                <w:color w:val="1D428A"/>
                <w:sz w:val="20"/>
                <w:szCs w:val="20"/>
              </w:rPr>
              <w:t>2020</w:t>
            </w:r>
          </w:p>
        </w:tc>
        <w:tc>
          <w:tcPr>
            <w:tcW w:w="487" w:type="pct"/>
            <w:tcBorders>
              <w:top w:val="single" w:sz="12" w:space="0" w:color="auto"/>
            </w:tcBorders>
            <w:shd w:val="clear" w:color="auto" w:fill="D9D9D9" w:themeFill="background1" w:themeFillShade="D9"/>
            <w:vAlign w:val="center"/>
          </w:tcPr>
          <w:p w14:paraId="52BE65D6" w14:textId="77777777" w:rsidR="002D00E1" w:rsidRPr="00FF53DB" w:rsidRDefault="002D00E1" w:rsidP="00313BC1">
            <w:pPr>
              <w:spacing w:after="0"/>
              <w:jc w:val="center"/>
              <w:rPr>
                <w:rFonts w:ascii="Arial" w:hAnsi="Arial" w:cs="Arial"/>
                <w:b/>
                <w:iCs/>
                <w:color w:val="1D428A"/>
                <w:sz w:val="20"/>
                <w:szCs w:val="20"/>
              </w:rPr>
            </w:pPr>
            <w:r w:rsidRPr="00FF53DB">
              <w:rPr>
                <w:rFonts w:ascii="Arial" w:hAnsi="Arial" w:cs="Arial"/>
                <w:b/>
                <w:iCs/>
                <w:color w:val="1D428A"/>
                <w:sz w:val="20"/>
                <w:szCs w:val="20"/>
              </w:rPr>
              <w:t>2021</w:t>
            </w:r>
          </w:p>
        </w:tc>
        <w:tc>
          <w:tcPr>
            <w:tcW w:w="487" w:type="pct"/>
            <w:tcBorders>
              <w:top w:val="single" w:sz="12" w:space="0" w:color="auto"/>
            </w:tcBorders>
            <w:shd w:val="clear" w:color="auto" w:fill="D9D9D9" w:themeFill="background1" w:themeFillShade="D9"/>
            <w:vAlign w:val="center"/>
          </w:tcPr>
          <w:p w14:paraId="6D559263" w14:textId="77777777" w:rsidR="002D00E1" w:rsidRPr="00FF53DB" w:rsidRDefault="002D00E1" w:rsidP="00313BC1">
            <w:pPr>
              <w:spacing w:after="0"/>
              <w:jc w:val="center"/>
              <w:rPr>
                <w:rFonts w:ascii="Arial" w:hAnsi="Arial" w:cs="Arial"/>
                <w:b/>
                <w:iCs/>
                <w:color w:val="1D428A"/>
                <w:sz w:val="20"/>
                <w:szCs w:val="20"/>
              </w:rPr>
            </w:pPr>
            <w:r w:rsidRPr="00FF53DB">
              <w:rPr>
                <w:rFonts w:ascii="Arial" w:hAnsi="Arial" w:cs="Arial"/>
                <w:b/>
                <w:iCs/>
                <w:color w:val="1D428A"/>
                <w:sz w:val="20"/>
                <w:szCs w:val="20"/>
              </w:rPr>
              <w:t>2022</w:t>
            </w:r>
          </w:p>
        </w:tc>
        <w:tc>
          <w:tcPr>
            <w:tcW w:w="484" w:type="pct"/>
            <w:tcBorders>
              <w:top w:val="single" w:sz="12" w:space="0" w:color="auto"/>
              <w:right w:val="single" w:sz="12" w:space="0" w:color="auto"/>
            </w:tcBorders>
            <w:shd w:val="clear" w:color="auto" w:fill="D9D9D9" w:themeFill="background1" w:themeFillShade="D9"/>
            <w:vAlign w:val="center"/>
          </w:tcPr>
          <w:p w14:paraId="06DDE365" w14:textId="77777777" w:rsidR="002D00E1" w:rsidRPr="00FF53DB" w:rsidRDefault="002D00E1" w:rsidP="00313BC1">
            <w:pPr>
              <w:spacing w:after="0"/>
              <w:jc w:val="center"/>
              <w:rPr>
                <w:rFonts w:ascii="Arial" w:hAnsi="Arial" w:cs="Arial"/>
                <w:b/>
                <w:iCs/>
                <w:color w:val="1D428A"/>
                <w:sz w:val="20"/>
                <w:szCs w:val="20"/>
              </w:rPr>
            </w:pPr>
            <w:r>
              <w:rPr>
                <w:rFonts w:ascii="Arial" w:hAnsi="Arial" w:cs="Arial"/>
                <w:b/>
                <w:iCs/>
                <w:color w:val="1D428A"/>
                <w:sz w:val="20"/>
                <w:szCs w:val="20"/>
              </w:rPr>
              <w:t>2023</w:t>
            </w:r>
          </w:p>
        </w:tc>
      </w:tr>
      <w:tr w:rsidR="002D00E1" w:rsidRPr="00E33D9C" w14:paraId="280CFC88" w14:textId="77777777" w:rsidTr="00313BC1">
        <w:trPr>
          <w:cantSplit/>
          <w:trHeight w:val="278"/>
        </w:trPr>
        <w:tc>
          <w:tcPr>
            <w:tcW w:w="1814" w:type="pct"/>
            <w:vMerge/>
            <w:tcBorders>
              <w:left w:val="single" w:sz="12" w:space="0" w:color="auto"/>
              <w:bottom w:val="single" w:sz="12" w:space="0" w:color="auto"/>
            </w:tcBorders>
            <w:shd w:val="clear" w:color="auto" w:fill="auto"/>
            <w:vAlign w:val="center"/>
          </w:tcPr>
          <w:p w14:paraId="2577D6AD" w14:textId="77777777" w:rsidR="002D00E1" w:rsidRPr="00FF53DB" w:rsidRDefault="002D00E1" w:rsidP="00313BC1">
            <w:pPr>
              <w:spacing w:after="0"/>
              <w:jc w:val="center"/>
              <w:rPr>
                <w:rFonts w:ascii="Arial" w:hAnsi="Arial" w:cs="Arial"/>
                <w:b/>
                <w:sz w:val="20"/>
                <w:szCs w:val="20"/>
              </w:rPr>
            </w:pPr>
          </w:p>
        </w:tc>
        <w:tc>
          <w:tcPr>
            <w:tcW w:w="1728" w:type="pct"/>
            <w:gridSpan w:val="4"/>
            <w:tcBorders>
              <w:bottom w:val="single" w:sz="12" w:space="0" w:color="auto"/>
            </w:tcBorders>
            <w:shd w:val="clear" w:color="auto" w:fill="auto"/>
            <w:vAlign w:val="center"/>
          </w:tcPr>
          <w:p w14:paraId="017380F2" w14:textId="77777777" w:rsidR="002D00E1" w:rsidRPr="00FF53DB" w:rsidRDefault="002D00E1" w:rsidP="00313BC1">
            <w:pPr>
              <w:spacing w:after="0"/>
              <w:jc w:val="center"/>
              <w:rPr>
                <w:rFonts w:ascii="Arial" w:hAnsi="Arial" w:cs="Arial"/>
                <w:b/>
                <w:iCs/>
                <w:color w:val="1D428A"/>
                <w:sz w:val="20"/>
                <w:szCs w:val="20"/>
              </w:rPr>
            </w:pPr>
            <w:r w:rsidRPr="00FF53DB">
              <w:rPr>
                <w:rFonts w:ascii="Arial" w:hAnsi="Arial" w:cs="Arial"/>
                <w:b/>
                <w:iCs/>
                <w:color w:val="1D428A"/>
                <w:sz w:val="20"/>
                <w:szCs w:val="20"/>
              </w:rPr>
              <w:t>TÉNY**</w:t>
            </w:r>
          </w:p>
        </w:tc>
        <w:tc>
          <w:tcPr>
            <w:tcW w:w="1458" w:type="pct"/>
            <w:gridSpan w:val="3"/>
            <w:tcBorders>
              <w:bottom w:val="single" w:sz="12" w:space="0" w:color="auto"/>
              <w:right w:val="single" w:sz="12" w:space="0" w:color="auto"/>
            </w:tcBorders>
            <w:shd w:val="clear" w:color="auto" w:fill="D9D9D9" w:themeFill="background1" w:themeFillShade="D9"/>
            <w:vAlign w:val="center"/>
          </w:tcPr>
          <w:p w14:paraId="47266C13" w14:textId="77777777" w:rsidR="002D00E1" w:rsidRPr="00FF53DB" w:rsidRDefault="002D00E1" w:rsidP="00313BC1">
            <w:pPr>
              <w:spacing w:after="0"/>
              <w:jc w:val="center"/>
              <w:rPr>
                <w:rFonts w:ascii="Arial" w:hAnsi="Arial" w:cs="Arial"/>
                <w:b/>
                <w:iCs/>
                <w:color w:val="1D428A"/>
                <w:sz w:val="20"/>
                <w:szCs w:val="20"/>
              </w:rPr>
            </w:pPr>
            <w:r w:rsidRPr="00FF53DB">
              <w:rPr>
                <w:rFonts w:ascii="Arial" w:hAnsi="Arial" w:cs="Arial"/>
                <w:b/>
                <w:iCs/>
                <w:color w:val="1D428A"/>
                <w:sz w:val="20"/>
                <w:szCs w:val="20"/>
              </w:rPr>
              <w:t>ELŐREJELZÉS</w:t>
            </w:r>
          </w:p>
        </w:tc>
      </w:tr>
      <w:tr w:rsidR="002D00E1" w:rsidRPr="00DF3958" w14:paraId="1506B2F1" w14:textId="77777777" w:rsidTr="00313BC1">
        <w:trPr>
          <w:cantSplit/>
          <w:trHeight w:val="278"/>
        </w:trPr>
        <w:tc>
          <w:tcPr>
            <w:tcW w:w="1814" w:type="pct"/>
            <w:tcBorders>
              <w:top w:val="single" w:sz="12" w:space="0" w:color="auto"/>
              <w:left w:val="single" w:sz="12" w:space="0" w:color="auto"/>
            </w:tcBorders>
            <w:shd w:val="clear" w:color="auto" w:fill="auto"/>
            <w:vAlign w:val="center"/>
          </w:tcPr>
          <w:p w14:paraId="1540B45E" w14:textId="77777777" w:rsidR="002D00E1" w:rsidRPr="00FF53DB" w:rsidRDefault="002D00E1" w:rsidP="00313BC1">
            <w:pPr>
              <w:spacing w:after="0"/>
              <w:rPr>
                <w:rFonts w:ascii="Arial" w:hAnsi="Arial" w:cs="Arial"/>
                <w:b/>
                <w:sz w:val="20"/>
                <w:szCs w:val="20"/>
              </w:rPr>
            </w:pPr>
            <w:r w:rsidRPr="00FF53DB">
              <w:rPr>
                <w:rFonts w:ascii="Arial" w:hAnsi="Arial" w:cs="Arial"/>
                <w:b/>
                <w:sz w:val="20"/>
                <w:szCs w:val="20"/>
              </w:rPr>
              <w:t>Reál GDP éves változás, %</w:t>
            </w:r>
          </w:p>
        </w:tc>
        <w:tc>
          <w:tcPr>
            <w:tcW w:w="432" w:type="pct"/>
            <w:tcBorders>
              <w:top w:val="single" w:sz="12" w:space="0" w:color="auto"/>
            </w:tcBorders>
            <w:shd w:val="clear" w:color="auto" w:fill="auto"/>
            <w:vAlign w:val="center"/>
          </w:tcPr>
          <w:p w14:paraId="6E542E25"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4,6</w:t>
            </w:r>
          </w:p>
        </w:tc>
        <w:tc>
          <w:tcPr>
            <w:tcW w:w="432" w:type="pct"/>
            <w:tcBorders>
              <w:top w:val="single" w:sz="12" w:space="0" w:color="auto"/>
            </w:tcBorders>
            <w:shd w:val="clear" w:color="auto" w:fill="auto"/>
            <w:vAlign w:val="center"/>
          </w:tcPr>
          <w:p w14:paraId="2E7B43E5"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5,4</w:t>
            </w:r>
          </w:p>
        </w:tc>
        <w:tc>
          <w:tcPr>
            <w:tcW w:w="432" w:type="pct"/>
            <w:tcBorders>
              <w:top w:val="single" w:sz="12" w:space="0" w:color="auto"/>
            </w:tcBorders>
            <w:shd w:val="clear" w:color="auto" w:fill="auto"/>
            <w:vAlign w:val="center"/>
          </w:tcPr>
          <w:p w14:paraId="49E864CF"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4,6</w:t>
            </w:r>
          </w:p>
        </w:tc>
        <w:tc>
          <w:tcPr>
            <w:tcW w:w="432" w:type="pct"/>
            <w:tcBorders>
              <w:top w:val="single" w:sz="12" w:space="0" w:color="auto"/>
            </w:tcBorders>
            <w:shd w:val="clear" w:color="auto" w:fill="FFFFFF" w:themeFill="background1"/>
            <w:vAlign w:val="center"/>
          </w:tcPr>
          <w:p w14:paraId="73703103" w14:textId="77777777" w:rsidR="002D00E1" w:rsidRPr="00A90F66" w:rsidRDefault="00A90F66" w:rsidP="001614B0">
            <w:pPr>
              <w:spacing w:after="0"/>
              <w:jc w:val="center"/>
              <w:rPr>
                <w:rFonts w:ascii="Arial" w:hAnsi="Arial" w:cs="Arial"/>
                <w:sz w:val="20"/>
                <w:szCs w:val="20"/>
              </w:rPr>
            </w:pPr>
            <w:r w:rsidRPr="00A90F66">
              <w:rPr>
                <w:rFonts w:ascii="Arial" w:hAnsi="Arial" w:cs="Arial"/>
                <w:sz w:val="20"/>
                <w:szCs w:val="20"/>
              </w:rPr>
              <w:t>-</w:t>
            </w:r>
            <w:r w:rsidR="001614B0">
              <w:rPr>
                <w:rFonts w:ascii="Arial" w:hAnsi="Arial" w:cs="Arial"/>
                <w:sz w:val="20"/>
                <w:szCs w:val="20"/>
              </w:rPr>
              <w:t>4,7</w:t>
            </w:r>
          </w:p>
        </w:tc>
        <w:tc>
          <w:tcPr>
            <w:tcW w:w="487" w:type="pct"/>
            <w:tcBorders>
              <w:top w:val="single" w:sz="12" w:space="0" w:color="auto"/>
            </w:tcBorders>
            <w:shd w:val="clear" w:color="auto" w:fill="D9D9D9" w:themeFill="background1" w:themeFillShade="D9"/>
            <w:vAlign w:val="center"/>
          </w:tcPr>
          <w:p w14:paraId="32153BCC" w14:textId="77777777" w:rsidR="002D00E1" w:rsidRPr="00FF53DB" w:rsidRDefault="00D827CC" w:rsidP="00313BC1">
            <w:pPr>
              <w:spacing w:after="0"/>
              <w:jc w:val="center"/>
              <w:rPr>
                <w:rFonts w:ascii="Arial" w:hAnsi="Arial" w:cs="Arial"/>
                <w:color w:val="1D428A"/>
                <w:sz w:val="20"/>
                <w:szCs w:val="20"/>
              </w:rPr>
            </w:pPr>
            <w:r>
              <w:rPr>
                <w:rFonts w:ascii="Arial" w:hAnsi="Arial" w:cs="Arial"/>
                <w:color w:val="1D428A"/>
                <w:sz w:val="20"/>
                <w:szCs w:val="20"/>
              </w:rPr>
              <w:t>6,9</w:t>
            </w:r>
          </w:p>
        </w:tc>
        <w:tc>
          <w:tcPr>
            <w:tcW w:w="487" w:type="pct"/>
            <w:tcBorders>
              <w:top w:val="single" w:sz="12" w:space="0" w:color="auto"/>
            </w:tcBorders>
            <w:shd w:val="clear" w:color="auto" w:fill="D9D9D9" w:themeFill="background1" w:themeFillShade="D9"/>
            <w:vAlign w:val="center"/>
          </w:tcPr>
          <w:p w14:paraId="73A3D6C0" w14:textId="77777777" w:rsidR="002D00E1" w:rsidRPr="00FF53DB" w:rsidRDefault="00D827CC" w:rsidP="00313BC1">
            <w:pPr>
              <w:spacing w:after="0"/>
              <w:jc w:val="center"/>
              <w:rPr>
                <w:rFonts w:ascii="Arial" w:hAnsi="Arial" w:cs="Arial"/>
                <w:color w:val="1D428A"/>
                <w:sz w:val="20"/>
                <w:szCs w:val="20"/>
              </w:rPr>
            </w:pPr>
            <w:r>
              <w:rPr>
                <w:rFonts w:ascii="Arial" w:hAnsi="Arial" w:cs="Arial"/>
                <w:color w:val="1D428A"/>
                <w:sz w:val="20"/>
                <w:szCs w:val="20"/>
              </w:rPr>
              <w:t>6</w:t>
            </w:r>
            <w:r w:rsidR="00E65013">
              <w:rPr>
                <w:rFonts w:ascii="Arial" w:hAnsi="Arial" w:cs="Arial"/>
                <w:color w:val="1D428A"/>
                <w:sz w:val="20"/>
                <w:szCs w:val="20"/>
              </w:rPr>
              <w:t>,0</w:t>
            </w:r>
          </w:p>
        </w:tc>
        <w:tc>
          <w:tcPr>
            <w:tcW w:w="484" w:type="pct"/>
            <w:tcBorders>
              <w:top w:val="single" w:sz="12" w:space="0" w:color="auto"/>
              <w:right w:val="single" w:sz="12" w:space="0" w:color="auto"/>
            </w:tcBorders>
            <w:shd w:val="clear" w:color="auto" w:fill="D9D9D9" w:themeFill="background1" w:themeFillShade="D9"/>
            <w:vAlign w:val="center"/>
          </w:tcPr>
          <w:p w14:paraId="6F727530" w14:textId="77777777" w:rsidR="002D00E1" w:rsidRPr="00FF53DB" w:rsidRDefault="00D827CC" w:rsidP="00313BC1">
            <w:pPr>
              <w:spacing w:after="0"/>
              <w:jc w:val="center"/>
              <w:rPr>
                <w:rFonts w:ascii="Arial" w:hAnsi="Arial" w:cs="Arial"/>
                <w:color w:val="1D428A"/>
                <w:sz w:val="20"/>
                <w:szCs w:val="20"/>
              </w:rPr>
            </w:pPr>
            <w:r>
              <w:rPr>
                <w:rFonts w:ascii="Arial" w:hAnsi="Arial" w:cs="Arial"/>
                <w:color w:val="1D428A"/>
                <w:sz w:val="20"/>
                <w:szCs w:val="20"/>
              </w:rPr>
              <w:t>4,7</w:t>
            </w:r>
          </w:p>
        </w:tc>
      </w:tr>
      <w:tr w:rsidR="002D00E1" w:rsidRPr="00DF3958" w14:paraId="76F9B33F" w14:textId="77777777" w:rsidTr="00313BC1">
        <w:trPr>
          <w:cantSplit/>
          <w:trHeight w:val="278"/>
        </w:trPr>
        <w:tc>
          <w:tcPr>
            <w:tcW w:w="1814" w:type="pct"/>
            <w:tcBorders>
              <w:left w:val="single" w:sz="12" w:space="0" w:color="auto"/>
            </w:tcBorders>
            <w:shd w:val="clear" w:color="auto" w:fill="auto"/>
            <w:vAlign w:val="center"/>
          </w:tcPr>
          <w:p w14:paraId="3D0B8ECF" w14:textId="77777777" w:rsidR="002D00E1" w:rsidRPr="00FF53DB" w:rsidRDefault="00930E6D" w:rsidP="00313BC1">
            <w:pPr>
              <w:spacing w:after="0"/>
              <w:rPr>
                <w:rFonts w:ascii="Arial" w:hAnsi="Arial" w:cs="Arial"/>
                <w:b/>
                <w:sz w:val="20"/>
                <w:szCs w:val="20"/>
              </w:rPr>
            </w:pPr>
            <w:r>
              <w:rPr>
                <w:rFonts w:ascii="Arial" w:hAnsi="Arial" w:cs="Arial"/>
                <w:b/>
                <w:sz w:val="20"/>
                <w:szCs w:val="20"/>
              </w:rPr>
              <w:t xml:space="preserve">  </w:t>
            </w:r>
            <w:r w:rsidR="002D00E1" w:rsidRPr="00FF53DB">
              <w:rPr>
                <w:rFonts w:ascii="Arial" w:hAnsi="Arial" w:cs="Arial"/>
                <w:b/>
                <w:sz w:val="20"/>
                <w:szCs w:val="20"/>
              </w:rPr>
              <w:t>Háztartási fogyasztás, %</w:t>
            </w:r>
          </w:p>
        </w:tc>
        <w:tc>
          <w:tcPr>
            <w:tcW w:w="432" w:type="pct"/>
            <w:shd w:val="clear" w:color="auto" w:fill="auto"/>
            <w:vAlign w:val="center"/>
          </w:tcPr>
          <w:p w14:paraId="7F726B12" w14:textId="77777777" w:rsidR="002D00E1" w:rsidRPr="00FF53DB" w:rsidRDefault="00480BC6" w:rsidP="00313BC1">
            <w:pPr>
              <w:spacing w:after="0"/>
              <w:jc w:val="center"/>
              <w:rPr>
                <w:rFonts w:ascii="Arial" w:hAnsi="Arial" w:cs="Arial"/>
                <w:sz w:val="20"/>
                <w:szCs w:val="20"/>
              </w:rPr>
            </w:pPr>
            <w:r>
              <w:rPr>
                <w:rFonts w:ascii="Arial" w:hAnsi="Arial" w:cs="Arial"/>
                <w:sz w:val="20"/>
                <w:szCs w:val="20"/>
              </w:rPr>
              <w:t>4,5</w:t>
            </w:r>
          </w:p>
        </w:tc>
        <w:tc>
          <w:tcPr>
            <w:tcW w:w="432" w:type="pct"/>
            <w:shd w:val="clear" w:color="auto" w:fill="auto"/>
            <w:vAlign w:val="center"/>
          </w:tcPr>
          <w:p w14:paraId="63828381" w14:textId="77777777" w:rsidR="002D00E1" w:rsidRPr="00FF53DB" w:rsidRDefault="00480BC6" w:rsidP="00313BC1">
            <w:pPr>
              <w:spacing w:after="0"/>
              <w:jc w:val="center"/>
              <w:rPr>
                <w:rFonts w:ascii="Arial" w:hAnsi="Arial" w:cs="Arial"/>
                <w:sz w:val="20"/>
                <w:szCs w:val="20"/>
              </w:rPr>
            </w:pPr>
            <w:r>
              <w:rPr>
                <w:rFonts w:ascii="Arial" w:hAnsi="Arial" w:cs="Arial"/>
                <w:sz w:val="20"/>
                <w:szCs w:val="20"/>
              </w:rPr>
              <w:t>4,2</w:t>
            </w:r>
          </w:p>
        </w:tc>
        <w:tc>
          <w:tcPr>
            <w:tcW w:w="432" w:type="pct"/>
            <w:shd w:val="clear" w:color="auto" w:fill="auto"/>
            <w:vAlign w:val="center"/>
          </w:tcPr>
          <w:p w14:paraId="20FBD058" w14:textId="77777777" w:rsidR="002D00E1" w:rsidRPr="00FF53DB" w:rsidRDefault="00480BC6" w:rsidP="00313BC1">
            <w:pPr>
              <w:spacing w:after="0"/>
              <w:jc w:val="center"/>
              <w:rPr>
                <w:rFonts w:ascii="Arial" w:hAnsi="Arial" w:cs="Arial"/>
                <w:sz w:val="20"/>
                <w:szCs w:val="20"/>
              </w:rPr>
            </w:pPr>
            <w:r>
              <w:rPr>
                <w:rFonts w:ascii="Arial" w:hAnsi="Arial" w:cs="Arial"/>
                <w:sz w:val="20"/>
                <w:szCs w:val="20"/>
              </w:rPr>
              <w:t>4,5</w:t>
            </w:r>
          </w:p>
        </w:tc>
        <w:tc>
          <w:tcPr>
            <w:tcW w:w="432" w:type="pct"/>
            <w:shd w:val="clear" w:color="auto" w:fill="FFFFFF" w:themeFill="background1"/>
            <w:vAlign w:val="center"/>
          </w:tcPr>
          <w:p w14:paraId="777489B2" w14:textId="77777777" w:rsidR="002D00E1" w:rsidRPr="00A90F66" w:rsidRDefault="00480BC6" w:rsidP="00313BC1">
            <w:pPr>
              <w:spacing w:after="0"/>
              <w:jc w:val="center"/>
              <w:rPr>
                <w:rFonts w:ascii="Arial" w:hAnsi="Arial" w:cs="Arial"/>
                <w:sz w:val="20"/>
                <w:szCs w:val="20"/>
              </w:rPr>
            </w:pPr>
            <w:r>
              <w:rPr>
                <w:rFonts w:ascii="Arial" w:hAnsi="Arial" w:cs="Arial"/>
                <w:sz w:val="20"/>
                <w:szCs w:val="20"/>
              </w:rPr>
              <w:t>-2,0</w:t>
            </w:r>
          </w:p>
        </w:tc>
        <w:tc>
          <w:tcPr>
            <w:tcW w:w="487" w:type="pct"/>
            <w:shd w:val="clear" w:color="auto" w:fill="D9D9D9" w:themeFill="background1" w:themeFillShade="D9"/>
            <w:vAlign w:val="center"/>
          </w:tcPr>
          <w:p w14:paraId="4CD367AD" w14:textId="77777777" w:rsidR="002D00E1" w:rsidRPr="00FF53DB" w:rsidRDefault="005E07AD" w:rsidP="00313BC1">
            <w:pPr>
              <w:spacing w:after="0"/>
              <w:jc w:val="center"/>
              <w:rPr>
                <w:rFonts w:ascii="Arial" w:hAnsi="Arial" w:cs="Arial"/>
                <w:color w:val="1D428A"/>
                <w:sz w:val="20"/>
                <w:szCs w:val="20"/>
              </w:rPr>
            </w:pPr>
            <w:r>
              <w:rPr>
                <w:rFonts w:ascii="Arial" w:hAnsi="Arial" w:cs="Arial"/>
                <w:color w:val="1D428A"/>
                <w:sz w:val="20"/>
                <w:szCs w:val="20"/>
              </w:rPr>
              <w:t>3,4</w:t>
            </w:r>
          </w:p>
        </w:tc>
        <w:tc>
          <w:tcPr>
            <w:tcW w:w="487" w:type="pct"/>
            <w:shd w:val="clear" w:color="auto" w:fill="D9D9D9" w:themeFill="background1" w:themeFillShade="D9"/>
            <w:vAlign w:val="center"/>
          </w:tcPr>
          <w:p w14:paraId="653D34FB" w14:textId="77777777" w:rsidR="002D00E1" w:rsidRPr="00FF53DB" w:rsidRDefault="00421CC6" w:rsidP="00313BC1">
            <w:pPr>
              <w:spacing w:after="0"/>
              <w:jc w:val="center"/>
              <w:rPr>
                <w:rFonts w:ascii="Arial" w:hAnsi="Arial" w:cs="Arial"/>
                <w:color w:val="1D428A"/>
                <w:sz w:val="20"/>
                <w:szCs w:val="20"/>
              </w:rPr>
            </w:pPr>
            <w:r>
              <w:rPr>
                <w:rFonts w:ascii="Arial" w:hAnsi="Arial" w:cs="Arial"/>
                <w:color w:val="1D428A"/>
                <w:sz w:val="20"/>
                <w:szCs w:val="20"/>
              </w:rPr>
              <w:t>6,0</w:t>
            </w:r>
          </w:p>
        </w:tc>
        <w:tc>
          <w:tcPr>
            <w:tcW w:w="484" w:type="pct"/>
            <w:tcBorders>
              <w:right w:val="single" w:sz="12" w:space="0" w:color="auto"/>
            </w:tcBorders>
            <w:shd w:val="clear" w:color="auto" w:fill="D9D9D9" w:themeFill="background1" w:themeFillShade="D9"/>
            <w:vAlign w:val="center"/>
          </w:tcPr>
          <w:p w14:paraId="782678EA" w14:textId="77777777" w:rsidR="002D00E1" w:rsidRPr="00FF53DB" w:rsidRDefault="005E07AD" w:rsidP="00313BC1">
            <w:pPr>
              <w:spacing w:after="0"/>
              <w:jc w:val="center"/>
              <w:rPr>
                <w:rFonts w:ascii="Arial" w:hAnsi="Arial" w:cs="Arial"/>
                <w:color w:val="1D428A"/>
                <w:sz w:val="20"/>
                <w:szCs w:val="20"/>
              </w:rPr>
            </w:pPr>
            <w:r>
              <w:rPr>
                <w:rFonts w:ascii="Arial" w:hAnsi="Arial" w:cs="Arial"/>
                <w:color w:val="1D428A"/>
                <w:sz w:val="20"/>
                <w:szCs w:val="20"/>
              </w:rPr>
              <w:t>4,5</w:t>
            </w:r>
          </w:p>
        </w:tc>
      </w:tr>
      <w:tr w:rsidR="002D00E1" w:rsidRPr="00DF3958" w14:paraId="68D4B72B" w14:textId="77777777" w:rsidTr="00313BC1">
        <w:trPr>
          <w:cantSplit/>
          <w:trHeight w:val="278"/>
        </w:trPr>
        <w:tc>
          <w:tcPr>
            <w:tcW w:w="1814" w:type="pct"/>
            <w:tcBorders>
              <w:left w:val="single" w:sz="12" w:space="0" w:color="auto"/>
            </w:tcBorders>
            <w:shd w:val="clear" w:color="auto" w:fill="auto"/>
            <w:vAlign w:val="center"/>
          </w:tcPr>
          <w:p w14:paraId="645E7D08" w14:textId="77777777" w:rsidR="002D00E1" w:rsidRPr="00FF53DB" w:rsidRDefault="00930E6D" w:rsidP="00313BC1">
            <w:pPr>
              <w:spacing w:after="0"/>
              <w:rPr>
                <w:rFonts w:ascii="Arial" w:hAnsi="Arial" w:cs="Arial"/>
                <w:b/>
                <w:sz w:val="20"/>
                <w:szCs w:val="20"/>
              </w:rPr>
            </w:pPr>
            <w:r>
              <w:rPr>
                <w:rFonts w:ascii="Arial" w:hAnsi="Arial" w:cs="Arial"/>
                <w:b/>
                <w:sz w:val="20"/>
                <w:szCs w:val="20"/>
              </w:rPr>
              <w:t xml:space="preserve">  </w:t>
            </w:r>
            <w:r w:rsidR="002D00E1" w:rsidRPr="00FF53DB">
              <w:rPr>
                <w:rFonts w:ascii="Arial" w:hAnsi="Arial" w:cs="Arial"/>
                <w:b/>
                <w:sz w:val="20"/>
                <w:szCs w:val="20"/>
              </w:rPr>
              <w:t>Kormányzati fogyasztás, %</w:t>
            </w:r>
          </w:p>
        </w:tc>
        <w:tc>
          <w:tcPr>
            <w:tcW w:w="432" w:type="pct"/>
            <w:shd w:val="clear" w:color="auto" w:fill="auto"/>
            <w:vAlign w:val="center"/>
          </w:tcPr>
          <w:p w14:paraId="17EF9392" w14:textId="77777777" w:rsidR="002D00E1" w:rsidRPr="00FF53DB" w:rsidRDefault="00480BC6" w:rsidP="00313BC1">
            <w:pPr>
              <w:spacing w:after="0"/>
              <w:jc w:val="center"/>
              <w:rPr>
                <w:rFonts w:ascii="Arial" w:hAnsi="Arial" w:cs="Arial"/>
                <w:sz w:val="20"/>
                <w:szCs w:val="20"/>
              </w:rPr>
            </w:pPr>
            <w:r>
              <w:rPr>
                <w:rFonts w:ascii="Arial" w:hAnsi="Arial" w:cs="Arial"/>
                <w:sz w:val="20"/>
                <w:szCs w:val="20"/>
              </w:rPr>
              <w:t>3,8</w:t>
            </w:r>
          </w:p>
        </w:tc>
        <w:tc>
          <w:tcPr>
            <w:tcW w:w="432" w:type="pct"/>
            <w:shd w:val="clear" w:color="auto" w:fill="auto"/>
            <w:vAlign w:val="center"/>
          </w:tcPr>
          <w:p w14:paraId="5CFCFE96" w14:textId="77777777" w:rsidR="002D00E1" w:rsidRPr="00FF53DB" w:rsidRDefault="00480BC6" w:rsidP="00313BC1">
            <w:pPr>
              <w:spacing w:after="0"/>
              <w:jc w:val="center"/>
              <w:rPr>
                <w:rFonts w:ascii="Arial" w:hAnsi="Arial" w:cs="Arial"/>
                <w:sz w:val="20"/>
                <w:szCs w:val="20"/>
              </w:rPr>
            </w:pPr>
            <w:r>
              <w:rPr>
                <w:rFonts w:ascii="Arial" w:hAnsi="Arial" w:cs="Arial"/>
                <w:sz w:val="20"/>
                <w:szCs w:val="20"/>
              </w:rPr>
              <w:t>4,2</w:t>
            </w:r>
          </w:p>
        </w:tc>
        <w:tc>
          <w:tcPr>
            <w:tcW w:w="432" w:type="pct"/>
            <w:shd w:val="clear" w:color="auto" w:fill="auto"/>
            <w:vAlign w:val="center"/>
          </w:tcPr>
          <w:p w14:paraId="70BFA352" w14:textId="77777777" w:rsidR="002D00E1" w:rsidRPr="00FF53DB" w:rsidRDefault="00480BC6" w:rsidP="00313BC1">
            <w:pPr>
              <w:spacing w:after="0"/>
              <w:jc w:val="center"/>
              <w:rPr>
                <w:rFonts w:ascii="Arial" w:hAnsi="Arial" w:cs="Arial"/>
                <w:sz w:val="20"/>
                <w:szCs w:val="20"/>
              </w:rPr>
            </w:pPr>
            <w:r>
              <w:rPr>
                <w:rFonts w:ascii="Arial" w:hAnsi="Arial" w:cs="Arial"/>
                <w:sz w:val="20"/>
                <w:szCs w:val="20"/>
              </w:rPr>
              <w:t>6,4</w:t>
            </w:r>
          </w:p>
        </w:tc>
        <w:tc>
          <w:tcPr>
            <w:tcW w:w="432" w:type="pct"/>
            <w:shd w:val="clear" w:color="auto" w:fill="FFFFFF" w:themeFill="background1"/>
            <w:vAlign w:val="center"/>
          </w:tcPr>
          <w:p w14:paraId="02E97109" w14:textId="77777777" w:rsidR="002D00E1" w:rsidRPr="00A90F66" w:rsidRDefault="00D1567F" w:rsidP="00313BC1">
            <w:pPr>
              <w:spacing w:after="0"/>
              <w:jc w:val="center"/>
              <w:rPr>
                <w:rFonts w:ascii="Arial" w:hAnsi="Arial" w:cs="Arial"/>
                <w:sz w:val="20"/>
                <w:szCs w:val="20"/>
              </w:rPr>
            </w:pPr>
            <w:r>
              <w:rPr>
                <w:rFonts w:ascii="Arial" w:hAnsi="Arial" w:cs="Arial"/>
                <w:sz w:val="20"/>
                <w:szCs w:val="20"/>
              </w:rPr>
              <w:t>2,8</w:t>
            </w:r>
          </w:p>
        </w:tc>
        <w:tc>
          <w:tcPr>
            <w:tcW w:w="487" w:type="pct"/>
            <w:shd w:val="clear" w:color="auto" w:fill="D9D9D9" w:themeFill="background1" w:themeFillShade="D9"/>
            <w:vAlign w:val="center"/>
          </w:tcPr>
          <w:p w14:paraId="50A21DA4" w14:textId="77777777" w:rsidR="002D00E1" w:rsidRPr="00FF53DB" w:rsidRDefault="005E07AD" w:rsidP="00313BC1">
            <w:pPr>
              <w:spacing w:after="0"/>
              <w:jc w:val="center"/>
              <w:rPr>
                <w:rFonts w:ascii="Arial" w:hAnsi="Arial" w:cs="Arial"/>
                <w:color w:val="1D428A"/>
                <w:sz w:val="20"/>
                <w:szCs w:val="20"/>
              </w:rPr>
            </w:pPr>
            <w:r>
              <w:rPr>
                <w:rFonts w:ascii="Arial" w:hAnsi="Arial" w:cs="Arial"/>
                <w:color w:val="1D428A"/>
                <w:sz w:val="20"/>
                <w:szCs w:val="20"/>
              </w:rPr>
              <w:t>4,6</w:t>
            </w:r>
          </w:p>
        </w:tc>
        <w:tc>
          <w:tcPr>
            <w:tcW w:w="487" w:type="pct"/>
            <w:shd w:val="clear" w:color="auto" w:fill="D9D9D9" w:themeFill="background1" w:themeFillShade="D9"/>
            <w:vAlign w:val="center"/>
          </w:tcPr>
          <w:p w14:paraId="7657FF55" w14:textId="77777777" w:rsidR="002D00E1" w:rsidRPr="00FF53DB" w:rsidRDefault="005E07AD" w:rsidP="00313BC1">
            <w:pPr>
              <w:spacing w:after="0"/>
              <w:jc w:val="center"/>
              <w:rPr>
                <w:rFonts w:ascii="Arial" w:hAnsi="Arial" w:cs="Arial"/>
                <w:color w:val="1D428A"/>
                <w:sz w:val="20"/>
                <w:szCs w:val="20"/>
              </w:rPr>
            </w:pPr>
            <w:r>
              <w:rPr>
                <w:rFonts w:ascii="Arial" w:hAnsi="Arial" w:cs="Arial"/>
                <w:color w:val="1D428A"/>
                <w:sz w:val="20"/>
                <w:szCs w:val="20"/>
              </w:rPr>
              <w:t>3,7</w:t>
            </w:r>
          </w:p>
        </w:tc>
        <w:tc>
          <w:tcPr>
            <w:tcW w:w="484" w:type="pct"/>
            <w:tcBorders>
              <w:right w:val="single" w:sz="12" w:space="0" w:color="auto"/>
            </w:tcBorders>
            <w:shd w:val="clear" w:color="auto" w:fill="D9D9D9" w:themeFill="background1" w:themeFillShade="D9"/>
            <w:vAlign w:val="center"/>
          </w:tcPr>
          <w:p w14:paraId="28EB6028" w14:textId="77777777" w:rsidR="002D00E1" w:rsidRPr="00FF53DB" w:rsidRDefault="00183003" w:rsidP="00313BC1">
            <w:pPr>
              <w:spacing w:after="0"/>
              <w:jc w:val="center"/>
              <w:rPr>
                <w:rFonts w:ascii="Arial" w:hAnsi="Arial" w:cs="Arial"/>
                <w:color w:val="1D428A"/>
                <w:sz w:val="20"/>
                <w:szCs w:val="20"/>
              </w:rPr>
            </w:pPr>
            <w:r>
              <w:rPr>
                <w:rFonts w:ascii="Arial" w:hAnsi="Arial" w:cs="Arial"/>
                <w:color w:val="1D428A"/>
                <w:sz w:val="20"/>
                <w:szCs w:val="20"/>
              </w:rPr>
              <w:t>1,7</w:t>
            </w:r>
          </w:p>
        </w:tc>
      </w:tr>
      <w:tr w:rsidR="002D00E1" w:rsidRPr="00DF3958" w14:paraId="480CFB75" w14:textId="77777777" w:rsidTr="00313BC1">
        <w:trPr>
          <w:cantSplit/>
          <w:trHeight w:val="278"/>
        </w:trPr>
        <w:tc>
          <w:tcPr>
            <w:tcW w:w="1814" w:type="pct"/>
            <w:tcBorders>
              <w:left w:val="single" w:sz="12" w:space="0" w:color="auto"/>
            </w:tcBorders>
            <w:shd w:val="clear" w:color="auto" w:fill="auto"/>
            <w:vAlign w:val="center"/>
          </w:tcPr>
          <w:p w14:paraId="4383E841" w14:textId="77777777" w:rsidR="002D00E1" w:rsidRPr="00FF53DB" w:rsidRDefault="00930E6D" w:rsidP="00313BC1">
            <w:pPr>
              <w:spacing w:after="0"/>
              <w:rPr>
                <w:rFonts w:ascii="Arial" w:hAnsi="Arial" w:cs="Arial"/>
                <w:b/>
                <w:sz w:val="20"/>
                <w:szCs w:val="20"/>
              </w:rPr>
            </w:pPr>
            <w:r>
              <w:rPr>
                <w:rFonts w:ascii="Arial" w:hAnsi="Arial" w:cs="Arial"/>
                <w:b/>
                <w:sz w:val="20"/>
                <w:szCs w:val="20"/>
              </w:rPr>
              <w:t xml:space="preserve">  </w:t>
            </w:r>
            <w:r w:rsidR="002D00E1" w:rsidRPr="00FF53DB">
              <w:rPr>
                <w:rFonts w:ascii="Arial" w:hAnsi="Arial" w:cs="Arial"/>
                <w:b/>
                <w:sz w:val="20"/>
                <w:szCs w:val="20"/>
              </w:rPr>
              <w:t>Állóeszköz-felhalmozás, %</w:t>
            </w:r>
          </w:p>
        </w:tc>
        <w:tc>
          <w:tcPr>
            <w:tcW w:w="432" w:type="pct"/>
            <w:shd w:val="clear" w:color="auto" w:fill="auto"/>
            <w:vAlign w:val="center"/>
          </w:tcPr>
          <w:p w14:paraId="3671D437"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19,7</w:t>
            </w:r>
          </w:p>
        </w:tc>
        <w:tc>
          <w:tcPr>
            <w:tcW w:w="432" w:type="pct"/>
            <w:shd w:val="clear" w:color="auto" w:fill="auto"/>
            <w:vAlign w:val="center"/>
          </w:tcPr>
          <w:p w14:paraId="47E70A36" w14:textId="77777777" w:rsidR="002D00E1" w:rsidRPr="00FF53DB" w:rsidRDefault="00480BC6" w:rsidP="00313BC1">
            <w:pPr>
              <w:spacing w:after="0"/>
              <w:jc w:val="center"/>
              <w:rPr>
                <w:rFonts w:ascii="Arial" w:hAnsi="Arial" w:cs="Arial"/>
                <w:sz w:val="20"/>
                <w:szCs w:val="20"/>
              </w:rPr>
            </w:pPr>
            <w:r>
              <w:rPr>
                <w:rFonts w:ascii="Arial" w:hAnsi="Arial" w:cs="Arial"/>
                <w:sz w:val="20"/>
                <w:szCs w:val="20"/>
              </w:rPr>
              <w:t>16,3</w:t>
            </w:r>
          </w:p>
        </w:tc>
        <w:tc>
          <w:tcPr>
            <w:tcW w:w="432" w:type="pct"/>
            <w:shd w:val="clear" w:color="auto" w:fill="auto"/>
            <w:vAlign w:val="center"/>
          </w:tcPr>
          <w:p w14:paraId="057F975B" w14:textId="77777777" w:rsidR="002D00E1" w:rsidRPr="00FF53DB" w:rsidRDefault="009B4DB5" w:rsidP="00313BC1">
            <w:pPr>
              <w:spacing w:after="0"/>
              <w:jc w:val="center"/>
              <w:rPr>
                <w:rFonts w:ascii="Arial" w:hAnsi="Arial" w:cs="Arial"/>
                <w:sz w:val="20"/>
                <w:szCs w:val="20"/>
              </w:rPr>
            </w:pPr>
            <w:r>
              <w:rPr>
                <w:rFonts w:ascii="Arial" w:hAnsi="Arial" w:cs="Arial"/>
                <w:sz w:val="20"/>
                <w:szCs w:val="20"/>
              </w:rPr>
              <w:t>12,8</w:t>
            </w:r>
          </w:p>
        </w:tc>
        <w:tc>
          <w:tcPr>
            <w:tcW w:w="432" w:type="pct"/>
            <w:shd w:val="clear" w:color="auto" w:fill="FFFFFF" w:themeFill="background1"/>
            <w:vAlign w:val="center"/>
          </w:tcPr>
          <w:p w14:paraId="0ADE3A74" w14:textId="77777777" w:rsidR="002D00E1" w:rsidRPr="00A90F66" w:rsidRDefault="00480BC6" w:rsidP="00313BC1">
            <w:pPr>
              <w:spacing w:after="0"/>
              <w:jc w:val="center"/>
              <w:rPr>
                <w:rFonts w:ascii="Arial" w:hAnsi="Arial" w:cs="Arial"/>
                <w:sz w:val="20"/>
                <w:szCs w:val="20"/>
              </w:rPr>
            </w:pPr>
            <w:r>
              <w:rPr>
                <w:rFonts w:ascii="Arial" w:hAnsi="Arial" w:cs="Arial"/>
                <w:sz w:val="20"/>
                <w:szCs w:val="20"/>
              </w:rPr>
              <w:t>-6,9</w:t>
            </w:r>
          </w:p>
        </w:tc>
        <w:tc>
          <w:tcPr>
            <w:tcW w:w="487" w:type="pct"/>
            <w:shd w:val="clear" w:color="auto" w:fill="D9D9D9" w:themeFill="background1" w:themeFillShade="D9"/>
            <w:vAlign w:val="center"/>
          </w:tcPr>
          <w:p w14:paraId="0A75370E" w14:textId="77777777" w:rsidR="002D00E1" w:rsidRPr="00FF53DB" w:rsidRDefault="005E07AD" w:rsidP="00313BC1">
            <w:pPr>
              <w:spacing w:after="0"/>
              <w:jc w:val="center"/>
              <w:rPr>
                <w:rFonts w:ascii="Arial" w:hAnsi="Arial" w:cs="Arial"/>
                <w:color w:val="1D428A"/>
                <w:sz w:val="20"/>
                <w:szCs w:val="20"/>
              </w:rPr>
            </w:pPr>
            <w:r>
              <w:rPr>
                <w:rFonts w:ascii="Arial" w:hAnsi="Arial" w:cs="Arial"/>
                <w:color w:val="1D428A"/>
                <w:sz w:val="20"/>
                <w:szCs w:val="20"/>
              </w:rPr>
              <w:t>8,0</w:t>
            </w:r>
          </w:p>
        </w:tc>
        <w:tc>
          <w:tcPr>
            <w:tcW w:w="487" w:type="pct"/>
            <w:shd w:val="clear" w:color="auto" w:fill="D9D9D9" w:themeFill="background1" w:themeFillShade="D9"/>
            <w:vAlign w:val="center"/>
          </w:tcPr>
          <w:p w14:paraId="4DCDCF6E" w14:textId="77777777" w:rsidR="002D00E1" w:rsidRPr="00FF53DB" w:rsidRDefault="00421CC6" w:rsidP="00313BC1">
            <w:pPr>
              <w:spacing w:after="0"/>
              <w:jc w:val="center"/>
              <w:rPr>
                <w:rFonts w:ascii="Arial" w:hAnsi="Arial" w:cs="Arial"/>
                <w:color w:val="1D428A"/>
                <w:sz w:val="20"/>
                <w:szCs w:val="20"/>
              </w:rPr>
            </w:pPr>
            <w:r>
              <w:rPr>
                <w:rFonts w:ascii="Arial" w:hAnsi="Arial" w:cs="Arial"/>
                <w:color w:val="1D428A"/>
                <w:sz w:val="20"/>
                <w:szCs w:val="20"/>
              </w:rPr>
              <w:t>6,8</w:t>
            </w:r>
          </w:p>
        </w:tc>
        <w:tc>
          <w:tcPr>
            <w:tcW w:w="484" w:type="pct"/>
            <w:tcBorders>
              <w:right w:val="single" w:sz="12" w:space="0" w:color="auto"/>
            </w:tcBorders>
            <w:shd w:val="clear" w:color="auto" w:fill="D9D9D9" w:themeFill="background1" w:themeFillShade="D9"/>
            <w:vAlign w:val="center"/>
          </w:tcPr>
          <w:p w14:paraId="6B9B8367" w14:textId="77777777" w:rsidR="002D00E1" w:rsidRPr="00FF53DB" w:rsidRDefault="008A14ED" w:rsidP="00313BC1">
            <w:pPr>
              <w:spacing w:after="0"/>
              <w:jc w:val="center"/>
              <w:rPr>
                <w:rFonts w:ascii="Arial" w:hAnsi="Arial" w:cs="Arial"/>
                <w:color w:val="1D428A"/>
                <w:sz w:val="20"/>
                <w:szCs w:val="20"/>
              </w:rPr>
            </w:pPr>
            <w:r>
              <w:rPr>
                <w:rFonts w:ascii="Arial" w:hAnsi="Arial" w:cs="Arial"/>
                <w:color w:val="1D428A"/>
                <w:sz w:val="20"/>
                <w:szCs w:val="20"/>
              </w:rPr>
              <w:t>5,0</w:t>
            </w:r>
          </w:p>
        </w:tc>
      </w:tr>
      <w:tr w:rsidR="002D00E1" w:rsidRPr="00DF3958" w14:paraId="6DD694DA" w14:textId="77777777" w:rsidTr="00313BC1">
        <w:trPr>
          <w:cantSplit/>
          <w:trHeight w:val="278"/>
        </w:trPr>
        <w:tc>
          <w:tcPr>
            <w:tcW w:w="1814" w:type="pct"/>
            <w:tcBorders>
              <w:left w:val="single" w:sz="12" w:space="0" w:color="auto"/>
              <w:bottom w:val="single" w:sz="4" w:space="0" w:color="auto"/>
            </w:tcBorders>
            <w:shd w:val="clear" w:color="auto" w:fill="auto"/>
            <w:vAlign w:val="center"/>
          </w:tcPr>
          <w:p w14:paraId="351786DB" w14:textId="77777777" w:rsidR="002D00E1" w:rsidRPr="00FF53DB" w:rsidRDefault="00930E6D" w:rsidP="00313BC1">
            <w:pPr>
              <w:spacing w:after="0"/>
              <w:rPr>
                <w:rFonts w:ascii="Arial" w:hAnsi="Arial" w:cs="Arial"/>
                <w:b/>
                <w:sz w:val="20"/>
                <w:szCs w:val="20"/>
              </w:rPr>
            </w:pPr>
            <w:r>
              <w:rPr>
                <w:rFonts w:ascii="Arial" w:hAnsi="Arial" w:cs="Arial"/>
                <w:b/>
                <w:sz w:val="20"/>
                <w:szCs w:val="20"/>
              </w:rPr>
              <w:t xml:space="preserve">  </w:t>
            </w:r>
            <w:r w:rsidR="002D00E1" w:rsidRPr="00FF53DB">
              <w:rPr>
                <w:rFonts w:ascii="Arial" w:hAnsi="Arial" w:cs="Arial"/>
                <w:b/>
                <w:sz w:val="20"/>
                <w:szCs w:val="20"/>
              </w:rPr>
              <w:t>Export, %</w:t>
            </w:r>
          </w:p>
        </w:tc>
        <w:tc>
          <w:tcPr>
            <w:tcW w:w="432" w:type="pct"/>
            <w:tcBorders>
              <w:bottom w:val="single" w:sz="4" w:space="0" w:color="auto"/>
            </w:tcBorders>
            <w:shd w:val="clear" w:color="auto" w:fill="auto"/>
            <w:vAlign w:val="center"/>
          </w:tcPr>
          <w:p w14:paraId="629D40BF"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6,5</w:t>
            </w:r>
          </w:p>
        </w:tc>
        <w:tc>
          <w:tcPr>
            <w:tcW w:w="432" w:type="pct"/>
            <w:tcBorders>
              <w:bottom w:val="single" w:sz="4" w:space="0" w:color="auto"/>
            </w:tcBorders>
            <w:shd w:val="clear" w:color="auto" w:fill="auto"/>
            <w:vAlign w:val="center"/>
          </w:tcPr>
          <w:p w14:paraId="45C9BA46"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5,0</w:t>
            </w:r>
          </w:p>
        </w:tc>
        <w:tc>
          <w:tcPr>
            <w:tcW w:w="432" w:type="pct"/>
            <w:tcBorders>
              <w:bottom w:val="single" w:sz="4" w:space="0" w:color="auto"/>
            </w:tcBorders>
            <w:shd w:val="clear" w:color="auto" w:fill="auto"/>
            <w:vAlign w:val="center"/>
          </w:tcPr>
          <w:p w14:paraId="66FBF5EE" w14:textId="77777777" w:rsidR="002D00E1" w:rsidRPr="00FF53DB" w:rsidRDefault="00B779BD" w:rsidP="00313BC1">
            <w:pPr>
              <w:spacing w:after="0"/>
              <w:jc w:val="center"/>
              <w:rPr>
                <w:rFonts w:ascii="Arial" w:hAnsi="Arial" w:cs="Arial"/>
                <w:sz w:val="20"/>
                <w:szCs w:val="20"/>
              </w:rPr>
            </w:pPr>
            <w:r>
              <w:rPr>
                <w:rFonts w:ascii="Arial" w:hAnsi="Arial" w:cs="Arial"/>
                <w:sz w:val="20"/>
                <w:szCs w:val="20"/>
              </w:rPr>
              <w:t>5,4</w:t>
            </w:r>
          </w:p>
        </w:tc>
        <w:tc>
          <w:tcPr>
            <w:tcW w:w="432" w:type="pct"/>
            <w:tcBorders>
              <w:bottom w:val="single" w:sz="4" w:space="0" w:color="auto"/>
            </w:tcBorders>
            <w:shd w:val="clear" w:color="auto" w:fill="FFFFFF" w:themeFill="background1"/>
            <w:vAlign w:val="center"/>
          </w:tcPr>
          <w:p w14:paraId="6B1697E1" w14:textId="77777777" w:rsidR="002D00E1" w:rsidRPr="00A90F66" w:rsidRDefault="00B779BD" w:rsidP="00313BC1">
            <w:pPr>
              <w:spacing w:after="0"/>
              <w:jc w:val="center"/>
              <w:rPr>
                <w:rFonts w:ascii="Arial" w:hAnsi="Arial" w:cs="Arial"/>
                <w:sz w:val="20"/>
                <w:szCs w:val="20"/>
              </w:rPr>
            </w:pPr>
            <w:r>
              <w:rPr>
                <w:rFonts w:ascii="Arial" w:hAnsi="Arial" w:cs="Arial"/>
                <w:sz w:val="20"/>
                <w:szCs w:val="20"/>
              </w:rPr>
              <w:t>-5,9</w:t>
            </w:r>
          </w:p>
        </w:tc>
        <w:tc>
          <w:tcPr>
            <w:tcW w:w="487" w:type="pct"/>
            <w:tcBorders>
              <w:bottom w:val="single" w:sz="4" w:space="0" w:color="auto"/>
            </w:tcBorders>
            <w:shd w:val="clear" w:color="auto" w:fill="D9D9D9" w:themeFill="background1" w:themeFillShade="D9"/>
            <w:vAlign w:val="center"/>
          </w:tcPr>
          <w:p w14:paraId="5CCD8C92" w14:textId="77777777" w:rsidR="002D00E1" w:rsidRPr="00FF53DB" w:rsidRDefault="005E07AD" w:rsidP="00313BC1">
            <w:pPr>
              <w:spacing w:after="0"/>
              <w:jc w:val="center"/>
              <w:rPr>
                <w:rFonts w:ascii="Arial" w:hAnsi="Arial" w:cs="Arial"/>
                <w:color w:val="1D428A"/>
                <w:sz w:val="20"/>
                <w:szCs w:val="20"/>
              </w:rPr>
            </w:pPr>
            <w:r>
              <w:rPr>
                <w:rFonts w:ascii="Arial" w:hAnsi="Arial" w:cs="Arial"/>
                <w:color w:val="1D428A"/>
                <w:sz w:val="20"/>
                <w:szCs w:val="20"/>
              </w:rPr>
              <w:t>10,0</w:t>
            </w:r>
          </w:p>
        </w:tc>
        <w:tc>
          <w:tcPr>
            <w:tcW w:w="487" w:type="pct"/>
            <w:tcBorders>
              <w:bottom w:val="single" w:sz="4" w:space="0" w:color="auto"/>
            </w:tcBorders>
            <w:shd w:val="clear" w:color="auto" w:fill="D9D9D9" w:themeFill="background1" w:themeFillShade="D9"/>
            <w:vAlign w:val="center"/>
          </w:tcPr>
          <w:p w14:paraId="5496A45D" w14:textId="77777777" w:rsidR="002D00E1" w:rsidRPr="00FF53DB" w:rsidRDefault="00421CC6" w:rsidP="00313BC1">
            <w:pPr>
              <w:spacing w:after="0"/>
              <w:jc w:val="center"/>
              <w:rPr>
                <w:rFonts w:ascii="Arial" w:hAnsi="Arial" w:cs="Arial"/>
                <w:color w:val="1D428A"/>
                <w:sz w:val="20"/>
                <w:szCs w:val="20"/>
              </w:rPr>
            </w:pPr>
            <w:r>
              <w:rPr>
                <w:rFonts w:ascii="Arial" w:hAnsi="Arial" w:cs="Arial"/>
                <w:color w:val="1D428A"/>
                <w:sz w:val="20"/>
                <w:szCs w:val="20"/>
              </w:rPr>
              <w:t>6,1</w:t>
            </w:r>
          </w:p>
        </w:tc>
        <w:tc>
          <w:tcPr>
            <w:tcW w:w="484" w:type="pct"/>
            <w:tcBorders>
              <w:bottom w:val="single" w:sz="4" w:space="0" w:color="auto"/>
              <w:right w:val="single" w:sz="12" w:space="0" w:color="auto"/>
            </w:tcBorders>
            <w:shd w:val="clear" w:color="auto" w:fill="D9D9D9" w:themeFill="background1" w:themeFillShade="D9"/>
            <w:vAlign w:val="center"/>
          </w:tcPr>
          <w:p w14:paraId="322C7022" w14:textId="77777777" w:rsidR="002D00E1" w:rsidRPr="00FF53DB" w:rsidRDefault="005E07AD" w:rsidP="00313BC1">
            <w:pPr>
              <w:spacing w:after="0"/>
              <w:jc w:val="center"/>
              <w:rPr>
                <w:rFonts w:ascii="Arial" w:hAnsi="Arial" w:cs="Arial"/>
                <w:color w:val="1D428A"/>
                <w:sz w:val="20"/>
                <w:szCs w:val="20"/>
              </w:rPr>
            </w:pPr>
            <w:r>
              <w:rPr>
                <w:rFonts w:ascii="Arial" w:hAnsi="Arial" w:cs="Arial"/>
                <w:color w:val="1D428A"/>
                <w:sz w:val="20"/>
                <w:szCs w:val="20"/>
              </w:rPr>
              <w:t>5,8</w:t>
            </w:r>
          </w:p>
        </w:tc>
      </w:tr>
      <w:tr w:rsidR="002D00E1" w:rsidRPr="00DF3958" w14:paraId="07E7A130" w14:textId="77777777" w:rsidTr="00313BC1">
        <w:trPr>
          <w:cantSplit/>
          <w:trHeight w:val="278"/>
        </w:trPr>
        <w:tc>
          <w:tcPr>
            <w:tcW w:w="1814" w:type="pct"/>
            <w:tcBorders>
              <w:left w:val="single" w:sz="12" w:space="0" w:color="auto"/>
              <w:bottom w:val="single" w:sz="4" w:space="0" w:color="auto"/>
            </w:tcBorders>
            <w:shd w:val="clear" w:color="auto" w:fill="auto"/>
            <w:vAlign w:val="center"/>
          </w:tcPr>
          <w:p w14:paraId="5C195A7E" w14:textId="77777777" w:rsidR="002D00E1" w:rsidRPr="00FF53DB" w:rsidRDefault="00930E6D" w:rsidP="00313BC1">
            <w:pPr>
              <w:spacing w:after="0"/>
              <w:rPr>
                <w:rFonts w:ascii="Arial" w:hAnsi="Arial" w:cs="Arial"/>
                <w:b/>
                <w:sz w:val="20"/>
                <w:szCs w:val="20"/>
              </w:rPr>
            </w:pPr>
            <w:r>
              <w:rPr>
                <w:rFonts w:ascii="Arial" w:hAnsi="Arial" w:cs="Arial"/>
                <w:b/>
                <w:sz w:val="20"/>
                <w:szCs w:val="20"/>
              </w:rPr>
              <w:t xml:space="preserve">  </w:t>
            </w:r>
            <w:r w:rsidR="002D00E1" w:rsidRPr="00FF53DB">
              <w:rPr>
                <w:rFonts w:ascii="Arial" w:hAnsi="Arial" w:cs="Arial"/>
                <w:b/>
                <w:sz w:val="20"/>
                <w:szCs w:val="20"/>
              </w:rPr>
              <w:t>Import, %</w:t>
            </w:r>
          </w:p>
        </w:tc>
        <w:tc>
          <w:tcPr>
            <w:tcW w:w="432" w:type="pct"/>
            <w:tcBorders>
              <w:bottom w:val="single" w:sz="4" w:space="0" w:color="auto"/>
            </w:tcBorders>
            <w:shd w:val="clear" w:color="auto" w:fill="auto"/>
            <w:vAlign w:val="center"/>
          </w:tcPr>
          <w:p w14:paraId="53B171CF" w14:textId="77777777" w:rsidR="002D00E1" w:rsidRPr="00FF53DB" w:rsidRDefault="00B779BD" w:rsidP="00313BC1">
            <w:pPr>
              <w:spacing w:after="0"/>
              <w:jc w:val="center"/>
              <w:rPr>
                <w:rFonts w:ascii="Arial" w:hAnsi="Arial" w:cs="Arial"/>
                <w:sz w:val="20"/>
                <w:szCs w:val="20"/>
              </w:rPr>
            </w:pPr>
            <w:r>
              <w:rPr>
                <w:rFonts w:ascii="Arial" w:hAnsi="Arial" w:cs="Arial"/>
                <w:sz w:val="20"/>
                <w:szCs w:val="20"/>
              </w:rPr>
              <w:t>8,4</w:t>
            </w:r>
          </w:p>
        </w:tc>
        <w:tc>
          <w:tcPr>
            <w:tcW w:w="432" w:type="pct"/>
            <w:tcBorders>
              <w:bottom w:val="single" w:sz="4" w:space="0" w:color="auto"/>
            </w:tcBorders>
            <w:shd w:val="clear" w:color="auto" w:fill="auto"/>
            <w:vAlign w:val="center"/>
          </w:tcPr>
          <w:p w14:paraId="5967EA77"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7,0</w:t>
            </w:r>
          </w:p>
        </w:tc>
        <w:tc>
          <w:tcPr>
            <w:tcW w:w="432" w:type="pct"/>
            <w:tcBorders>
              <w:bottom w:val="single" w:sz="4" w:space="0" w:color="auto"/>
            </w:tcBorders>
            <w:shd w:val="clear" w:color="auto" w:fill="auto"/>
            <w:vAlign w:val="center"/>
          </w:tcPr>
          <w:p w14:paraId="029AB006" w14:textId="77777777" w:rsidR="002D00E1" w:rsidRPr="00FF53DB" w:rsidRDefault="009B4DB5" w:rsidP="00313BC1">
            <w:pPr>
              <w:spacing w:after="0"/>
              <w:jc w:val="center"/>
              <w:rPr>
                <w:rFonts w:ascii="Arial" w:hAnsi="Arial" w:cs="Arial"/>
                <w:sz w:val="20"/>
                <w:szCs w:val="20"/>
              </w:rPr>
            </w:pPr>
            <w:r>
              <w:rPr>
                <w:rFonts w:ascii="Arial" w:hAnsi="Arial" w:cs="Arial"/>
                <w:sz w:val="20"/>
                <w:szCs w:val="20"/>
              </w:rPr>
              <w:t>8,2</w:t>
            </w:r>
          </w:p>
        </w:tc>
        <w:tc>
          <w:tcPr>
            <w:tcW w:w="432" w:type="pct"/>
            <w:tcBorders>
              <w:bottom w:val="single" w:sz="4" w:space="0" w:color="auto"/>
            </w:tcBorders>
            <w:shd w:val="clear" w:color="auto" w:fill="FFFFFF" w:themeFill="background1"/>
            <w:vAlign w:val="center"/>
          </w:tcPr>
          <w:p w14:paraId="035F9307" w14:textId="77777777" w:rsidR="002D00E1" w:rsidRPr="00A90F66" w:rsidRDefault="00B779BD" w:rsidP="00313BC1">
            <w:pPr>
              <w:spacing w:after="0"/>
              <w:jc w:val="center"/>
              <w:rPr>
                <w:rFonts w:ascii="Arial" w:hAnsi="Arial" w:cs="Arial"/>
                <w:sz w:val="20"/>
                <w:szCs w:val="20"/>
              </w:rPr>
            </w:pPr>
            <w:r>
              <w:rPr>
                <w:rFonts w:ascii="Arial" w:hAnsi="Arial" w:cs="Arial"/>
                <w:sz w:val="20"/>
                <w:szCs w:val="20"/>
              </w:rPr>
              <w:t>-3,5</w:t>
            </w:r>
          </w:p>
        </w:tc>
        <w:tc>
          <w:tcPr>
            <w:tcW w:w="487" w:type="pct"/>
            <w:tcBorders>
              <w:bottom w:val="single" w:sz="4" w:space="0" w:color="auto"/>
            </w:tcBorders>
            <w:shd w:val="clear" w:color="auto" w:fill="D9D9D9" w:themeFill="background1" w:themeFillShade="D9"/>
            <w:vAlign w:val="center"/>
          </w:tcPr>
          <w:p w14:paraId="0498138B" w14:textId="77777777" w:rsidR="002D00E1" w:rsidRPr="00FF53DB" w:rsidRDefault="005E07AD" w:rsidP="00313BC1">
            <w:pPr>
              <w:spacing w:after="0"/>
              <w:jc w:val="center"/>
              <w:rPr>
                <w:rFonts w:ascii="Arial" w:hAnsi="Arial" w:cs="Arial"/>
                <w:color w:val="1D428A"/>
                <w:sz w:val="20"/>
                <w:szCs w:val="20"/>
              </w:rPr>
            </w:pPr>
            <w:r>
              <w:rPr>
                <w:rFonts w:ascii="Arial" w:hAnsi="Arial" w:cs="Arial"/>
                <w:color w:val="1D428A"/>
                <w:sz w:val="20"/>
                <w:szCs w:val="20"/>
              </w:rPr>
              <w:t>8,7</w:t>
            </w:r>
          </w:p>
        </w:tc>
        <w:tc>
          <w:tcPr>
            <w:tcW w:w="487" w:type="pct"/>
            <w:tcBorders>
              <w:bottom w:val="single" w:sz="4" w:space="0" w:color="auto"/>
            </w:tcBorders>
            <w:shd w:val="clear" w:color="auto" w:fill="D9D9D9" w:themeFill="background1" w:themeFillShade="D9"/>
            <w:vAlign w:val="center"/>
          </w:tcPr>
          <w:p w14:paraId="5932751B" w14:textId="77777777" w:rsidR="002D00E1" w:rsidRPr="00FF53DB" w:rsidRDefault="00421CC6" w:rsidP="00313BC1">
            <w:pPr>
              <w:spacing w:after="0"/>
              <w:jc w:val="center"/>
              <w:rPr>
                <w:rFonts w:ascii="Arial" w:hAnsi="Arial" w:cs="Arial"/>
                <w:color w:val="1D428A"/>
                <w:sz w:val="20"/>
                <w:szCs w:val="20"/>
              </w:rPr>
            </w:pPr>
            <w:r>
              <w:rPr>
                <w:rFonts w:ascii="Arial" w:hAnsi="Arial" w:cs="Arial"/>
                <w:color w:val="1D428A"/>
                <w:sz w:val="20"/>
                <w:szCs w:val="20"/>
              </w:rPr>
              <w:t>6,3</w:t>
            </w:r>
          </w:p>
        </w:tc>
        <w:tc>
          <w:tcPr>
            <w:tcW w:w="484" w:type="pct"/>
            <w:tcBorders>
              <w:bottom w:val="single" w:sz="4" w:space="0" w:color="auto"/>
              <w:right w:val="single" w:sz="12" w:space="0" w:color="auto"/>
            </w:tcBorders>
            <w:shd w:val="clear" w:color="auto" w:fill="D9D9D9" w:themeFill="background1" w:themeFillShade="D9"/>
            <w:vAlign w:val="center"/>
          </w:tcPr>
          <w:p w14:paraId="7FC37189" w14:textId="77777777" w:rsidR="002D00E1" w:rsidRPr="00FF53DB" w:rsidRDefault="00421CC6" w:rsidP="00313BC1">
            <w:pPr>
              <w:spacing w:after="0"/>
              <w:jc w:val="center"/>
              <w:rPr>
                <w:rFonts w:ascii="Arial" w:hAnsi="Arial" w:cs="Arial"/>
                <w:color w:val="1D428A"/>
                <w:sz w:val="20"/>
                <w:szCs w:val="20"/>
              </w:rPr>
            </w:pPr>
            <w:r>
              <w:rPr>
                <w:rFonts w:ascii="Arial" w:hAnsi="Arial" w:cs="Arial"/>
                <w:color w:val="1D428A"/>
                <w:sz w:val="20"/>
                <w:szCs w:val="20"/>
              </w:rPr>
              <w:t>5,4</w:t>
            </w:r>
          </w:p>
        </w:tc>
      </w:tr>
      <w:tr w:rsidR="002D00E1" w:rsidRPr="00DF3958" w14:paraId="2612378D" w14:textId="77777777" w:rsidTr="00313BC1">
        <w:trPr>
          <w:cantSplit/>
          <w:trHeight w:val="278"/>
        </w:trPr>
        <w:tc>
          <w:tcPr>
            <w:tcW w:w="1814" w:type="pct"/>
            <w:tcBorders>
              <w:top w:val="single" w:sz="12" w:space="0" w:color="auto"/>
              <w:left w:val="single" w:sz="12" w:space="0" w:color="auto"/>
            </w:tcBorders>
            <w:shd w:val="clear" w:color="auto" w:fill="auto"/>
            <w:vAlign w:val="center"/>
          </w:tcPr>
          <w:p w14:paraId="5C1F7132" w14:textId="77777777" w:rsidR="002D00E1" w:rsidRPr="00FF53DB" w:rsidRDefault="002D00E1" w:rsidP="00313BC1">
            <w:pPr>
              <w:spacing w:after="0"/>
              <w:rPr>
                <w:rFonts w:ascii="Arial" w:hAnsi="Arial" w:cs="Arial"/>
                <w:b/>
                <w:sz w:val="20"/>
                <w:szCs w:val="20"/>
              </w:rPr>
            </w:pPr>
            <w:r w:rsidRPr="00FF53DB">
              <w:rPr>
                <w:rFonts w:ascii="Arial" w:hAnsi="Arial" w:cs="Arial"/>
                <w:b/>
                <w:sz w:val="20"/>
                <w:szCs w:val="20"/>
              </w:rPr>
              <w:t>Ipari termelés, %</w:t>
            </w:r>
          </w:p>
        </w:tc>
        <w:tc>
          <w:tcPr>
            <w:tcW w:w="432" w:type="pct"/>
            <w:tcBorders>
              <w:top w:val="single" w:sz="12" w:space="0" w:color="auto"/>
            </w:tcBorders>
            <w:shd w:val="clear" w:color="auto" w:fill="auto"/>
            <w:vAlign w:val="center"/>
          </w:tcPr>
          <w:p w14:paraId="3D46854C"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4,6</w:t>
            </w:r>
          </w:p>
        </w:tc>
        <w:tc>
          <w:tcPr>
            <w:tcW w:w="432" w:type="pct"/>
            <w:tcBorders>
              <w:top w:val="single" w:sz="12" w:space="0" w:color="auto"/>
            </w:tcBorders>
            <w:shd w:val="clear" w:color="auto" w:fill="auto"/>
            <w:vAlign w:val="center"/>
          </w:tcPr>
          <w:p w14:paraId="5574914B"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3,5</w:t>
            </w:r>
          </w:p>
        </w:tc>
        <w:tc>
          <w:tcPr>
            <w:tcW w:w="432" w:type="pct"/>
            <w:tcBorders>
              <w:top w:val="single" w:sz="12" w:space="0" w:color="auto"/>
            </w:tcBorders>
            <w:shd w:val="clear" w:color="auto" w:fill="auto"/>
            <w:vAlign w:val="center"/>
          </w:tcPr>
          <w:p w14:paraId="73F6DE88"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5,6</w:t>
            </w:r>
          </w:p>
        </w:tc>
        <w:tc>
          <w:tcPr>
            <w:tcW w:w="432" w:type="pct"/>
            <w:tcBorders>
              <w:top w:val="single" w:sz="12" w:space="0" w:color="auto"/>
            </w:tcBorders>
            <w:shd w:val="clear" w:color="auto" w:fill="FFFFFF" w:themeFill="background1"/>
            <w:vAlign w:val="center"/>
          </w:tcPr>
          <w:p w14:paraId="60C40403" w14:textId="77777777" w:rsidR="002D00E1" w:rsidRPr="00FF53DB" w:rsidRDefault="002D00E1" w:rsidP="00313BC1">
            <w:pPr>
              <w:spacing w:after="0"/>
              <w:jc w:val="center"/>
              <w:rPr>
                <w:rFonts w:ascii="Arial" w:hAnsi="Arial" w:cs="Arial"/>
                <w:color w:val="1D428A"/>
                <w:sz w:val="20"/>
                <w:szCs w:val="20"/>
              </w:rPr>
            </w:pPr>
            <w:r w:rsidRPr="004906C3">
              <w:rPr>
                <w:rFonts w:ascii="Arial" w:hAnsi="Arial" w:cs="Arial"/>
                <w:sz w:val="20"/>
                <w:szCs w:val="20"/>
              </w:rPr>
              <w:t>-</w:t>
            </w:r>
            <w:r w:rsidR="004906C3" w:rsidRPr="004906C3">
              <w:rPr>
                <w:rFonts w:ascii="Arial" w:hAnsi="Arial" w:cs="Arial"/>
                <w:sz w:val="20"/>
                <w:szCs w:val="20"/>
              </w:rPr>
              <w:t>6,1</w:t>
            </w:r>
          </w:p>
        </w:tc>
        <w:tc>
          <w:tcPr>
            <w:tcW w:w="487" w:type="pct"/>
            <w:tcBorders>
              <w:top w:val="single" w:sz="12" w:space="0" w:color="auto"/>
            </w:tcBorders>
            <w:shd w:val="clear" w:color="auto" w:fill="D9D9D9" w:themeFill="background1" w:themeFillShade="D9"/>
            <w:vAlign w:val="center"/>
          </w:tcPr>
          <w:p w14:paraId="5ADAC3A0" w14:textId="77777777" w:rsidR="002D00E1" w:rsidRPr="00FF53DB" w:rsidRDefault="00AC652C" w:rsidP="00313BC1">
            <w:pPr>
              <w:spacing w:after="0"/>
              <w:jc w:val="center"/>
              <w:rPr>
                <w:rFonts w:ascii="Arial" w:hAnsi="Arial" w:cs="Arial"/>
                <w:color w:val="1D428A"/>
                <w:sz w:val="20"/>
                <w:szCs w:val="20"/>
              </w:rPr>
            </w:pPr>
            <w:r>
              <w:rPr>
                <w:rFonts w:ascii="Arial" w:hAnsi="Arial" w:cs="Arial"/>
                <w:color w:val="1D428A"/>
                <w:sz w:val="20"/>
                <w:szCs w:val="20"/>
              </w:rPr>
              <w:t>11</w:t>
            </w:r>
            <w:r w:rsidR="00072C94">
              <w:rPr>
                <w:rFonts w:ascii="Arial" w:hAnsi="Arial" w:cs="Arial"/>
                <w:color w:val="1D428A"/>
                <w:sz w:val="20"/>
                <w:szCs w:val="20"/>
              </w:rPr>
              <w:t>,8</w:t>
            </w:r>
          </w:p>
        </w:tc>
        <w:tc>
          <w:tcPr>
            <w:tcW w:w="487" w:type="pct"/>
            <w:tcBorders>
              <w:top w:val="single" w:sz="12" w:space="0" w:color="auto"/>
            </w:tcBorders>
            <w:shd w:val="clear" w:color="auto" w:fill="D9D9D9" w:themeFill="background1" w:themeFillShade="D9"/>
            <w:vAlign w:val="center"/>
          </w:tcPr>
          <w:p w14:paraId="158FB77B" w14:textId="77777777" w:rsidR="002D00E1" w:rsidRPr="00FF53DB" w:rsidRDefault="00B475EB" w:rsidP="00313BC1">
            <w:pPr>
              <w:spacing w:after="0"/>
              <w:jc w:val="center"/>
              <w:rPr>
                <w:rFonts w:ascii="Arial" w:hAnsi="Arial" w:cs="Arial"/>
                <w:color w:val="1D428A"/>
                <w:sz w:val="20"/>
                <w:szCs w:val="20"/>
              </w:rPr>
            </w:pPr>
            <w:r>
              <w:rPr>
                <w:rFonts w:ascii="Arial" w:hAnsi="Arial" w:cs="Arial"/>
                <w:color w:val="1D428A"/>
                <w:sz w:val="20"/>
                <w:szCs w:val="20"/>
              </w:rPr>
              <w:t>5,3</w:t>
            </w:r>
          </w:p>
        </w:tc>
        <w:tc>
          <w:tcPr>
            <w:tcW w:w="484" w:type="pct"/>
            <w:tcBorders>
              <w:top w:val="single" w:sz="12" w:space="0" w:color="auto"/>
              <w:right w:val="single" w:sz="12" w:space="0" w:color="auto"/>
            </w:tcBorders>
            <w:shd w:val="clear" w:color="auto" w:fill="D9D9D9" w:themeFill="background1" w:themeFillShade="D9"/>
            <w:vAlign w:val="center"/>
          </w:tcPr>
          <w:p w14:paraId="457EA1CE" w14:textId="77777777" w:rsidR="002D00E1" w:rsidRPr="00FF53DB" w:rsidRDefault="00B475EB" w:rsidP="00313BC1">
            <w:pPr>
              <w:spacing w:after="0"/>
              <w:jc w:val="center"/>
              <w:rPr>
                <w:rFonts w:ascii="Arial" w:hAnsi="Arial" w:cs="Arial"/>
                <w:color w:val="1D428A"/>
                <w:sz w:val="20"/>
                <w:szCs w:val="20"/>
              </w:rPr>
            </w:pPr>
            <w:r>
              <w:rPr>
                <w:rFonts w:ascii="Arial" w:hAnsi="Arial" w:cs="Arial"/>
                <w:color w:val="1D428A"/>
                <w:sz w:val="20"/>
                <w:szCs w:val="20"/>
              </w:rPr>
              <w:t>5,5</w:t>
            </w:r>
          </w:p>
        </w:tc>
      </w:tr>
      <w:tr w:rsidR="002D00E1" w:rsidRPr="00DF3958" w14:paraId="1C1CD413" w14:textId="77777777" w:rsidTr="00313BC1">
        <w:trPr>
          <w:cantSplit/>
          <w:trHeight w:val="278"/>
        </w:trPr>
        <w:tc>
          <w:tcPr>
            <w:tcW w:w="1814" w:type="pct"/>
            <w:tcBorders>
              <w:left w:val="single" w:sz="12" w:space="0" w:color="auto"/>
            </w:tcBorders>
            <w:shd w:val="clear" w:color="auto" w:fill="auto"/>
            <w:vAlign w:val="center"/>
          </w:tcPr>
          <w:p w14:paraId="23E9DC4A" w14:textId="77777777" w:rsidR="002D00E1" w:rsidRPr="00FF53DB" w:rsidRDefault="002D00E1" w:rsidP="00313BC1">
            <w:pPr>
              <w:spacing w:after="0"/>
              <w:rPr>
                <w:rFonts w:ascii="Arial" w:hAnsi="Arial" w:cs="Arial"/>
                <w:b/>
                <w:sz w:val="20"/>
                <w:szCs w:val="20"/>
              </w:rPr>
            </w:pPr>
            <w:r w:rsidRPr="00FF53DB">
              <w:rPr>
                <w:rFonts w:ascii="Arial" w:hAnsi="Arial" w:cs="Arial"/>
                <w:b/>
                <w:sz w:val="20"/>
                <w:szCs w:val="20"/>
              </w:rPr>
              <w:t>Építőipari termelés, %</w:t>
            </w:r>
          </w:p>
        </w:tc>
        <w:tc>
          <w:tcPr>
            <w:tcW w:w="432" w:type="pct"/>
            <w:shd w:val="clear" w:color="auto" w:fill="auto"/>
            <w:vAlign w:val="center"/>
          </w:tcPr>
          <w:p w14:paraId="5DB4C1F9"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29,7</w:t>
            </w:r>
          </w:p>
        </w:tc>
        <w:tc>
          <w:tcPr>
            <w:tcW w:w="432" w:type="pct"/>
            <w:shd w:val="clear" w:color="auto" w:fill="auto"/>
            <w:vAlign w:val="center"/>
          </w:tcPr>
          <w:p w14:paraId="7A82450C"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21,3</w:t>
            </w:r>
          </w:p>
        </w:tc>
        <w:tc>
          <w:tcPr>
            <w:tcW w:w="432" w:type="pct"/>
            <w:shd w:val="clear" w:color="auto" w:fill="auto"/>
            <w:vAlign w:val="center"/>
          </w:tcPr>
          <w:p w14:paraId="729FC429"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20,4</w:t>
            </w:r>
          </w:p>
        </w:tc>
        <w:tc>
          <w:tcPr>
            <w:tcW w:w="432" w:type="pct"/>
            <w:shd w:val="clear" w:color="auto" w:fill="FFFFFF" w:themeFill="background1"/>
            <w:vAlign w:val="center"/>
          </w:tcPr>
          <w:p w14:paraId="76353AD3" w14:textId="77777777" w:rsidR="002D00E1" w:rsidRPr="00FF53DB" w:rsidRDefault="002D00E1" w:rsidP="00313BC1">
            <w:pPr>
              <w:spacing w:after="0"/>
              <w:jc w:val="center"/>
              <w:rPr>
                <w:rFonts w:ascii="Arial" w:hAnsi="Arial" w:cs="Arial"/>
                <w:color w:val="1D428A"/>
                <w:sz w:val="20"/>
                <w:szCs w:val="20"/>
              </w:rPr>
            </w:pPr>
            <w:r w:rsidRPr="00C50FAE">
              <w:rPr>
                <w:rFonts w:ascii="Arial" w:hAnsi="Arial" w:cs="Arial"/>
                <w:sz w:val="20"/>
                <w:szCs w:val="20"/>
              </w:rPr>
              <w:t>-</w:t>
            </w:r>
            <w:r w:rsidR="00C50FAE" w:rsidRPr="00C50FAE">
              <w:rPr>
                <w:rFonts w:ascii="Arial" w:hAnsi="Arial" w:cs="Arial"/>
                <w:sz w:val="20"/>
                <w:szCs w:val="20"/>
              </w:rPr>
              <w:t>9</w:t>
            </w:r>
            <w:r w:rsidR="008A14ED" w:rsidRPr="00C50FAE">
              <w:rPr>
                <w:rFonts w:ascii="Arial" w:hAnsi="Arial" w:cs="Arial"/>
                <w:sz w:val="20"/>
                <w:szCs w:val="20"/>
              </w:rPr>
              <w:t>,1</w:t>
            </w:r>
          </w:p>
        </w:tc>
        <w:tc>
          <w:tcPr>
            <w:tcW w:w="487" w:type="pct"/>
            <w:shd w:val="clear" w:color="auto" w:fill="D9D9D9" w:themeFill="background1" w:themeFillShade="D9"/>
            <w:vAlign w:val="center"/>
          </w:tcPr>
          <w:p w14:paraId="731E9A13" w14:textId="77777777" w:rsidR="002D00E1" w:rsidRPr="00FF53DB" w:rsidRDefault="00252FA9" w:rsidP="00313BC1">
            <w:pPr>
              <w:spacing w:after="0"/>
              <w:jc w:val="center"/>
              <w:rPr>
                <w:rFonts w:ascii="Arial" w:hAnsi="Arial" w:cs="Arial"/>
                <w:color w:val="1D428A"/>
                <w:sz w:val="20"/>
                <w:szCs w:val="20"/>
              </w:rPr>
            </w:pPr>
            <w:r>
              <w:rPr>
                <w:rFonts w:ascii="Arial" w:hAnsi="Arial" w:cs="Arial"/>
                <w:color w:val="1D428A"/>
                <w:sz w:val="20"/>
                <w:szCs w:val="20"/>
              </w:rPr>
              <w:t>9,4</w:t>
            </w:r>
          </w:p>
        </w:tc>
        <w:tc>
          <w:tcPr>
            <w:tcW w:w="487" w:type="pct"/>
            <w:shd w:val="clear" w:color="auto" w:fill="D9D9D9" w:themeFill="background1" w:themeFillShade="D9"/>
            <w:vAlign w:val="center"/>
          </w:tcPr>
          <w:p w14:paraId="7809BA9E" w14:textId="77777777" w:rsidR="002D00E1" w:rsidRPr="00FF53DB" w:rsidRDefault="00183003" w:rsidP="00313BC1">
            <w:pPr>
              <w:spacing w:after="0"/>
              <w:jc w:val="center"/>
              <w:rPr>
                <w:rFonts w:ascii="Arial" w:hAnsi="Arial" w:cs="Arial"/>
                <w:color w:val="1D428A"/>
                <w:sz w:val="20"/>
                <w:szCs w:val="20"/>
              </w:rPr>
            </w:pPr>
            <w:r>
              <w:rPr>
                <w:rFonts w:ascii="Arial" w:hAnsi="Arial" w:cs="Arial"/>
                <w:color w:val="1D428A"/>
                <w:sz w:val="20"/>
                <w:szCs w:val="20"/>
              </w:rPr>
              <w:t>8,5</w:t>
            </w:r>
          </w:p>
        </w:tc>
        <w:tc>
          <w:tcPr>
            <w:tcW w:w="484" w:type="pct"/>
            <w:tcBorders>
              <w:right w:val="single" w:sz="12" w:space="0" w:color="auto"/>
            </w:tcBorders>
            <w:shd w:val="clear" w:color="auto" w:fill="D9D9D9" w:themeFill="background1" w:themeFillShade="D9"/>
            <w:vAlign w:val="center"/>
          </w:tcPr>
          <w:p w14:paraId="28493902" w14:textId="77777777" w:rsidR="002D00E1" w:rsidRPr="00FF53DB" w:rsidRDefault="00BD0229" w:rsidP="00313BC1">
            <w:pPr>
              <w:spacing w:after="0"/>
              <w:jc w:val="center"/>
              <w:rPr>
                <w:rFonts w:ascii="Arial" w:hAnsi="Arial" w:cs="Arial"/>
                <w:color w:val="1D428A"/>
                <w:sz w:val="20"/>
                <w:szCs w:val="20"/>
              </w:rPr>
            </w:pPr>
            <w:r>
              <w:rPr>
                <w:rFonts w:ascii="Arial" w:hAnsi="Arial" w:cs="Arial"/>
                <w:color w:val="1D428A"/>
                <w:sz w:val="20"/>
                <w:szCs w:val="20"/>
              </w:rPr>
              <w:t>5,0</w:t>
            </w:r>
          </w:p>
        </w:tc>
      </w:tr>
      <w:tr w:rsidR="002D00E1" w:rsidRPr="00DF3958" w14:paraId="744B6357" w14:textId="77777777" w:rsidTr="00313BC1">
        <w:trPr>
          <w:cantSplit/>
          <w:trHeight w:val="278"/>
        </w:trPr>
        <w:tc>
          <w:tcPr>
            <w:tcW w:w="1814" w:type="pct"/>
            <w:tcBorders>
              <w:left w:val="single" w:sz="12" w:space="0" w:color="auto"/>
              <w:bottom w:val="single" w:sz="4" w:space="0" w:color="auto"/>
            </w:tcBorders>
            <w:shd w:val="clear" w:color="auto" w:fill="auto"/>
            <w:vAlign w:val="center"/>
          </w:tcPr>
          <w:p w14:paraId="1900A848" w14:textId="77777777" w:rsidR="002D00E1" w:rsidRPr="00FF53DB" w:rsidRDefault="002D00E1" w:rsidP="00313BC1">
            <w:pPr>
              <w:spacing w:after="0"/>
              <w:rPr>
                <w:rFonts w:ascii="Arial" w:hAnsi="Arial" w:cs="Arial"/>
                <w:b/>
                <w:sz w:val="20"/>
                <w:szCs w:val="20"/>
              </w:rPr>
            </w:pPr>
            <w:r w:rsidRPr="00FF53DB">
              <w:rPr>
                <w:rFonts w:ascii="Arial" w:hAnsi="Arial" w:cs="Arial"/>
                <w:b/>
                <w:sz w:val="20"/>
                <w:szCs w:val="20"/>
              </w:rPr>
              <w:t>Kiskereskedelmi forgalom, %</w:t>
            </w:r>
          </w:p>
        </w:tc>
        <w:tc>
          <w:tcPr>
            <w:tcW w:w="432" w:type="pct"/>
            <w:tcBorders>
              <w:bottom w:val="single" w:sz="4" w:space="0" w:color="auto"/>
            </w:tcBorders>
            <w:shd w:val="clear" w:color="auto" w:fill="auto"/>
            <w:vAlign w:val="center"/>
          </w:tcPr>
          <w:p w14:paraId="4944A1A8"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5,6</w:t>
            </w:r>
          </w:p>
        </w:tc>
        <w:tc>
          <w:tcPr>
            <w:tcW w:w="432" w:type="pct"/>
            <w:tcBorders>
              <w:bottom w:val="single" w:sz="4" w:space="0" w:color="auto"/>
            </w:tcBorders>
            <w:shd w:val="clear" w:color="auto" w:fill="auto"/>
            <w:vAlign w:val="center"/>
          </w:tcPr>
          <w:p w14:paraId="68FA7927"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6,7</w:t>
            </w:r>
          </w:p>
        </w:tc>
        <w:tc>
          <w:tcPr>
            <w:tcW w:w="432" w:type="pct"/>
            <w:tcBorders>
              <w:bottom w:val="single" w:sz="4" w:space="0" w:color="auto"/>
            </w:tcBorders>
            <w:shd w:val="clear" w:color="auto" w:fill="auto"/>
            <w:vAlign w:val="center"/>
          </w:tcPr>
          <w:p w14:paraId="6C06C62D"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6,2</w:t>
            </w:r>
          </w:p>
        </w:tc>
        <w:tc>
          <w:tcPr>
            <w:tcW w:w="432" w:type="pct"/>
            <w:tcBorders>
              <w:bottom w:val="single" w:sz="4" w:space="0" w:color="auto"/>
            </w:tcBorders>
            <w:shd w:val="clear" w:color="auto" w:fill="FFFFFF" w:themeFill="background1"/>
            <w:vAlign w:val="center"/>
          </w:tcPr>
          <w:p w14:paraId="5AED9399" w14:textId="77777777" w:rsidR="002D00E1" w:rsidRPr="00FF53DB" w:rsidRDefault="007A0203" w:rsidP="00313BC1">
            <w:pPr>
              <w:spacing w:after="0"/>
              <w:jc w:val="center"/>
              <w:rPr>
                <w:rFonts w:ascii="Arial" w:hAnsi="Arial" w:cs="Arial"/>
                <w:color w:val="1D428A"/>
                <w:sz w:val="20"/>
                <w:szCs w:val="20"/>
              </w:rPr>
            </w:pPr>
            <w:r w:rsidRPr="007A0203">
              <w:rPr>
                <w:rFonts w:ascii="Arial" w:hAnsi="Arial" w:cs="Arial"/>
                <w:sz w:val="20"/>
                <w:szCs w:val="20"/>
              </w:rPr>
              <w:t>-0,2</w:t>
            </w:r>
          </w:p>
        </w:tc>
        <w:tc>
          <w:tcPr>
            <w:tcW w:w="487" w:type="pct"/>
            <w:tcBorders>
              <w:bottom w:val="single" w:sz="4" w:space="0" w:color="auto"/>
            </w:tcBorders>
            <w:shd w:val="clear" w:color="auto" w:fill="D9D9D9" w:themeFill="background1" w:themeFillShade="D9"/>
            <w:vAlign w:val="center"/>
          </w:tcPr>
          <w:p w14:paraId="67443A1C" w14:textId="77777777" w:rsidR="002D00E1" w:rsidRPr="00FF53DB" w:rsidRDefault="00AC652C" w:rsidP="00313BC1">
            <w:pPr>
              <w:spacing w:after="0"/>
              <w:jc w:val="center"/>
              <w:rPr>
                <w:rFonts w:ascii="Arial" w:hAnsi="Arial" w:cs="Arial"/>
                <w:color w:val="1D428A"/>
                <w:sz w:val="20"/>
                <w:szCs w:val="20"/>
              </w:rPr>
            </w:pPr>
            <w:r>
              <w:rPr>
                <w:rFonts w:ascii="Arial" w:hAnsi="Arial" w:cs="Arial"/>
                <w:color w:val="1D428A"/>
                <w:sz w:val="20"/>
                <w:szCs w:val="20"/>
              </w:rPr>
              <w:t>3,3</w:t>
            </w:r>
          </w:p>
        </w:tc>
        <w:tc>
          <w:tcPr>
            <w:tcW w:w="487" w:type="pct"/>
            <w:tcBorders>
              <w:bottom w:val="single" w:sz="4" w:space="0" w:color="auto"/>
            </w:tcBorders>
            <w:shd w:val="clear" w:color="auto" w:fill="D9D9D9" w:themeFill="background1" w:themeFillShade="D9"/>
            <w:vAlign w:val="center"/>
          </w:tcPr>
          <w:p w14:paraId="3F7622BB" w14:textId="77777777" w:rsidR="002D00E1" w:rsidRPr="00FF53DB" w:rsidRDefault="00B475EB" w:rsidP="00313BC1">
            <w:pPr>
              <w:spacing w:after="0"/>
              <w:jc w:val="center"/>
              <w:rPr>
                <w:rFonts w:ascii="Arial" w:hAnsi="Arial" w:cs="Arial"/>
                <w:color w:val="1D428A"/>
                <w:sz w:val="20"/>
                <w:szCs w:val="20"/>
              </w:rPr>
            </w:pPr>
            <w:r>
              <w:rPr>
                <w:rFonts w:ascii="Arial" w:hAnsi="Arial" w:cs="Arial"/>
                <w:color w:val="1D428A"/>
                <w:sz w:val="20"/>
                <w:szCs w:val="20"/>
              </w:rPr>
              <w:t>11,2</w:t>
            </w:r>
          </w:p>
        </w:tc>
        <w:tc>
          <w:tcPr>
            <w:tcW w:w="484" w:type="pct"/>
            <w:tcBorders>
              <w:bottom w:val="single" w:sz="4" w:space="0" w:color="auto"/>
              <w:right w:val="single" w:sz="12" w:space="0" w:color="auto"/>
            </w:tcBorders>
            <w:shd w:val="clear" w:color="auto" w:fill="D9D9D9" w:themeFill="background1" w:themeFillShade="D9"/>
            <w:vAlign w:val="center"/>
          </w:tcPr>
          <w:p w14:paraId="321F429E" w14:textId="77777777" w:rsidR="002D00E1" w:rsidRPr="00FF53DB" w:rsidRDefault="00252FA9" w:rsidP="00313BC1">
            <w:pPr>
              <w:spacing w:after="0"/>
              <w:jc w:val="center"/>
              <w:rPr>
                <w:rFonts w:ascii="Arial" w:hAnsi="Arial" w:cs="Arial"/>
                <w:color w:val="1D428A"/>
                <w:sz w:val="20"/>
                <w:szCs w:val="20"/>
              </w:rPr>
            </w:pPr>
            <w:r>
              <w:rPr>
                <w:rFonts w:ascii="Arial" w:hAnsi="Arial" w:cs="Arial"/>
                <w:color w:val="1D428A"/>
                <w:sz w:val="20"/>
                <w:szCs w:val="20"/>
              </w:rPr>
              <w:t>5</w:t>
            </w:r>
            <w:r w:rsidR="00B475EB">
              <w:rPr>
                <w:rFonts w:ascii="Arial" w:hAnsi="Arial" w:cs="Arial"/>
                <w:color w:val="1D428A"/>
                <w:sz w:val="20"/>
                <w:szCs w:val="20"/>
              </w:rPr>
              <w:t>,8</w:t>
            </w:r>
          </w:p>
        </w:tc>
      </w:tr>
      <w:tr w:rsidR="002D00E1" w:rsidRPr="00DF3958" w14:paraId="31DA0C96" w14:textId="77777777" w:rsidTr="00313BC1">
        <w:trPr>
          <w:cantSplit/>
          <w:trHeight w:val="278"/>
        </w:trPr>
        <w:tc>
          <w:tcPr>
            <w:tcW w:w="1814" w:type="pct"/>
            <w:tcBorders>
              <w:left w:val="single" w:sz="12" w:space="0" w:color="auto"/>
              <w:bottom w:val="single" w:sz="12" w:space="0" w:color="auto"/>
            </w:tcBorders>
            <w:shd w:val="clear" w:color="auto" w:fill="auto"/>
            <w:vAlign w:val="center"/>
          </w:tcPr>
          <w:p w14:paraId="0B2EE670" w14:textId="77777777" w:rsidR="002D00E1" w:rsidRPr="00FF53DB" w:rsidRDefault="002D00E1" w:rsidP="00313BC1">
            <w:pPr>
              <w:spacing w:after="0"/>
              <w:rPr>
                <w:rFonts w:ascii="Arial" w:hAnsi="Arial" w:cs="Arial"/>
                <w:b/>
                <w:sz w:val="20"/>
                <w:szCs w:val="20"/>
              </w:rPr>
            </w:pPr>
            <w:r w:rsidRPr="00FF53DB">
              <w:rPr>
                <w:rFonts w:ascii="Arial" w:hAnsi="Arial" w:cs="Arial"/>
                <w:b/>
                <w:sz w:val="20"/>
                <w:szCs w:val="20"/>
              </w:rPr>
              <w:t>Külkereskedelmi egyenleg, millió €</w:t>
            </w:r>
          </w:p>
        </w:tc>
        <w:tc>
          <w:tcPr>
            <w:tcW w:w="432" w:type="pct"/>
            <w:tcBorders>
              <w:bottom w:val="single" w:sz="12" w:space="0" w:color="auto"/>
            </w:tcBorders>
            <w:shd w:val="clear" w:color="auto" w:fill="auto"/>
            <w:vAlign w:val="center"/>
          </w:tcPr>
          <w:p w14:paraId="214B0479"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8.078</w:t>
            </w:r>
          </w:p>
        </w:tc>
        <w:tc>
          <w:tcPr>
            <w:tcW w:w="432" w:type="pct"/>
            <w:tcBorders>
              <w:bottom w:val="single" w:sz="12" w:space="0" w:color="auto"/>
            </w:tcBorders>
            <w:shd w:val="clear" w:color="auto" w:fill="auto"/>
            <w:vAlign w:val="center"/>
          </w:tcPr>
          <w:p w14:paraId="55F748C2"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5.520</w:t>
            </w:r>
          </w:p>
        </w:tc>
        <w:tc>
          <w:tcPr>
            <w:tcW w:w="432" w:type="pct"/>
            <w:tcBorders>
              <w:bottom w:val="single" w:sz="12" w:space="0" w:color="auto"/>
            </w:tcBorders>
            <w:shd w:val="clear" w:color="auto" w:fill="auto"/>
            <w:vAlign w:val="center"/>
          </w:tcPr>
          <w:p w14:paraId="0AAF1A2A"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4.334</w:t>
            </w:r>
          </w:p>
        </w:tc>
        <w:tc>
          <w:tcPr>
            <w:tcW w:w="432" w:type="pct"/>
            <w:tcBorders>
              <w:bottom w:val="single" w:sz="12" w:space="0" w:color="auto"/>
            </w:tcBorders>
            <w:shd w:val="clear" w:color="auto" w:fill="FFFFFF" w:themeFill="background1"/>
            <w:vAlign w:val="center"/>
          </w:tcPr>
          <w:p w14:paraId="7A8B6F02" w14:textId="77777777" w:rsidR="002D00E1" w:rsidRPr="00FF53DB" w:rsidRDefault="002D00E1" w:rsidP="00313BC1">
            <w:pPr>
              <w:spacing w:after="0"/>
              <w:jc w:val="center"/>
              <w:rPr>
                <w:rFonts w:ascii="Arial" w:hAnsi="Arial" w:cs="Arial"/>
                <w:color w:val="1D428A"/>
                <w:sz w:val="20"/>
                <w:szCs w:val="20"/>
              </w:rPr>
            </w:pPr>
            <w:r w:rsidRPr="00CC3324">
              <w:rPr>
                <w:rFonts w:ascii="Arial" w:hAnsi="Arial" w:cs="Arial"/>
                <w:sz w:val="20"/>
                <w:szCs w:val="20"/>
              </w:rPr>
              <w:t>5.</w:t>
            </w:r>
            <w:r w:rsidR="00E1610B">
              <w:rPr>
                <w:rFonts w:ascii="Arial" w:hAnsi="Arial" w:cs="Arial"/>
                <w:sz w:val="20"/>
                <w:szCs w:val="20"/>
              </w:rPr>
              <w:t>618</w:t>
            </w:r>
          </w:p>
        </w:tc>
        <w:tc>
          <w:tcPr>
            <w:tcW w:w="487" w:type="pct"/>
            <w:tcBorders>
              <w:bottom w:val="single" w:sz="12" w:space="0" w:color="auto"/>
            </w:tcBorders>
            <w:shd w:val="clear" w:color="auto" w:fill="D9D9D9" w:themeFill="background1" w:themeFillShade="D9"/>
            <w:vAlign w:val="center"/>
          </w:tcPr>
          <w:p w14:paraId="522E90F1" w14:textId="77777777" w:rsidR="002D00E1" w:rsidRPr="00FF53DB" w:rsidRDefault="00170900" w:rsidP="003E1AAE">
            <w:pPr>
              <w:spacing w:after="0"/>
              <w:jc w:val="center"/>
              <w:rPr>
                <w:rFonts w:ascii="Arial" w:hAnsi="Arial" w:cs="Arial"/>
                <w:color w:val="1D428A"/>
                <w:sz w:val="20"/>
                <w:szCs w:val="20"/>
              </w:rPr>
            </w:pPr>
            <w:r>
              <w:rPr>
                <w:rFonts w:ascii="Arial" w:hAnsi="Arial" w:cs="Arial"/>
                <w:color w:val="1D428A"/>
                <w:sz w:val="20"/>
                <w:szCs w:val="20"/>
              </w:rPr>
              <w:t>2</w:t>
            </w:r>
            <w:r w:rsidR="002D00E1" w:rsidRPr="00FF53DB">
              <w:rPr>
                <w:rFonts w:ascii="Arial" w:hAnsi="Arial" w:cs="Arial"/>
                <w:color w:val="1D428A"/>
                <w:sz w:val="20"/>
                <w:szCs w:val="20"/>
              </w:rPr>
              <w:t>.</w:t>
            </w:r>
            <w:r>
              <w:rPr>
                <w:rFonts w:ascii="Arial" w:hAnsi="Arial" w:cs="Arial"/>
                <w:color w:val="1D428A"/>
                <w:sz w:val="20"/>
                <w:szCs w:val="20"/>
              </w:rPr>
              <w:t>155</w:t>
            </w:r>
          </w:p>
        </w:tc>
        <w:tc>
          <w:tcPr>
            <w:tcW w:w="487" w:type="pct"/>
            <w:tcBorders>
              <w:bottom w:val="single" w:sz="12" w:space="0" w:color="auto"/>
            </w:tcBorders>
            <w:shd w:val="clear" w:color="auto" w:fill="D9D9D9" w:themeFill="background1" w:themeFillShade="D9"/>
            <w:vAlign w:val="center"/>
          </w:tcPr>
          <w:p w14:paraId="5F7B5912" w14:textId="77777777" w:rsidR="002D00E1" w:rsidRPr="00FF53DB" w:rsidRDefault="003E1AAE" w:rsidP="003E1AAE">
            <w:pPr>
              <w:spacing w:after="0"/>
              <w:jc w:val="center"/>
              <w:rPr>
                <w:rFonts w:ascii="Arial" w:hAnsi="Arial" w:cs="Arial"/>
                <w:color w:val="1D428A"/>
                <w:sz w:val="20"/>
                <w:szCs w:val="20"/>
              </w:rPr>
            </w:pPr>
            <w:r>
              <w:rPr>
                <w:rFonts w:ascii="Arial" w:hAnsi="Arial" w:cs="Arial"/>
                <w:color w:val="1D428A"/>
                <w:sz w:val="20"/>
                <w:szCs w:val="20"/>
              </w:rPr>
              <w:t>2</w:t>
            </w:r>
            <w:r w:rsidR="00E1610B">
              <w:rPr>
                <w:rFonts w:ascii="Arial" w:hAnsi="Arial" w:cs="Arial"/>
                <w:color w:val="1D428A"/>
                <w:sz w:val="20"/>
                <w:szCs w:val="20"/>
              </w:rPr>
              <w:t>.</w:t>
            </w:r>
            <w:r w:rsidR="00170900">
              <w:rPr>
                <w:rFonts w:ascii="Arial" w:hAnsi="Arial" w:cs="Arial"/>
                <w:color w:val="1D428A"/>
                <w:sz w:val="20"/>
                <w:szCs w:val="20"/>
              </w:rPr>
              <w:t>595</w:t>
            </w:r>
          </w:p>
        </w:tc>
        <w:tc>
          <w:tcPr>
            <w:tcW w:w="484" w:type="pct"/>
            <w:tcBorders>
              <w:bottom w:val="single" w:sz="12" w:space="0" w:color="auto"/>
              <w:right w:val="single" w:sz="12" w:space="0" w:color="auto"/>
            </w:tcBorders>
            <w:shd w:val="clear" w:color="auto" w:fill="D9D9D9" w:themeFill="background1" w:themeFillShade="D9"/>
            <w:vAlign w:val="center"/>
          </w:tcPr>
          <w:p w14:paraId="1A14FA7B" w14:textId="77777777" w:rsidR="002D00E1" w:rsidRPr="00FF53DB" w:rsidRDefault="00170900" w:rsidP="003E1AAE">
            <w:pPr>
              <w:spacing w:after="0"/>
              <w:jc w:val="center"/>
              <w:rPr>
                <w:rFonts w:ascii="Arial" w:hAnsi="Arial" w:cs="Arial"/>
                <w:color w:val="1D428A"/>
                <w:sz w:val="20"/>
                <w:szCs w:val="20"/>
              </w:rPr>
            </w:pPr>
            <w:r>
              <w:rPr>
                <w:rFonts w:ascii="Arial" w:hAnsi="Arial" w:cs="Arial"/>
                <w:color w:val="1D428A"/>
                <w:sz w:val="20"/>
                <w:szCs w:val="20"/>
              </w:rPr>
              <w:t>3</w:t>
            </w:r>
            <w:r w:rsidR="00E1610B">
              <w:rPr>
                <w:rFonts w:ascii="Arial" w:hAnsi="Arial" w:cs="Arial"/>
                <w:color w:val="1D428A"/>
                <w:sz w:val="20"/>
                <w:szCs w:val="20"/>
              </w:rPr>
              <w:t>.</w:t>
            </w:r>
            <w:r>
              <w:rPr>
                <w:rFonts w:ascii="Arial" w:hAnsi="Arial" w:cs="Arial"/>
                <w:color w:val="1D428A"/>
                <w:sz w:val="20"/>
                <w:szCs w:val="20"/>
              </w:rPr>
              <w:t>100</w:t>
            </w:r>
          </w:p>
        </w:tc>
      </w:tr>
      <w:tr w:rsidR="002D00E1" w:rsidRPr="00DF3958" w14:paraId="5C8D1F0C" w14:textId="77777777" w:rsidTr="00313BC1">
        <w:trPr>
          <w:cantSplit/>
          <w:trHeight w:val="278"/>
        </w:trPr>
        <w:tc>
          <w:tcPr>
            <w:tcW w:w="1814" w:type="pct"/>
            <w:tcBorders>
              <w:top w:val="single" w:sz="12" w:space="0" w:color="auto"/>
              <w:left w:val="single" w:sz="12" w:space="0" w:color="auto"/>
              <w:bottom w:val="single" w:sz="4" w:space="0" w:color="auto"/>
            </w:tcBorders>
            <w:shd w:val="clear" w:color="auto" w:fill="auto"/>
            <w:vAlign w:val="center"/>
          </w:tcPr>
          <w:p w14:paraId="1521B069" w14:textId="77777777" w:rsidR="002D00E1" w:rsidRPr="00FF53DB" w:rsidRDefault="002D00E1" w:rsidP="00313BC1">
            <w:pPr>
              <w:spacing w:after="0"/>
              <w:rPr>
                <w:rFonts w:ascii="Arial" w:hAnsi="Arial" w:cs="Arial"/>
                <w:b/>
                <w:sz w:val="20"/>
                <w:szCs w:val="20"/>
              </w:rPr>
            </w:pPr>
            <w:r w:rsidRPr="00FF53DB">
              <w:rPr>
                <w:rFonts w:ascii="Arial" w:hAnsi="Arial" w:cs="Arial"/>
                <w:b/>
                <w:sz w:val="20"/>
                <w:szCs w:val="20"/>
              </w:rPr>
              <w:t>Fogyasztóiár-index éves átlag, %</w:t>
            </w:r>
          </w:p>
        </w:tc>
        <w:tc>
          <w:tcPr>
            <w:tcW w:w="432" w:type="pct"/>
            <w:tcBorders>
              <w:top w:val="single" w:sz="12" w:space="0" w:color="auto"/>
              <w:bottom w:val="single" w:sz="4" w:space="0" w:color="auto"/>
            </w:tcBorders>
            <w:shd w:val="clear" w:color="auto" w:fill="auto"/>
            <w:vAlign w:val="center"/>
          </w:tcPr>
          <w:p w14:paraId="48795E6C"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2,4</w:t>
            </w:r>
          </w:p>
        </w:tc>
        <w:tc>
          <w:tcPr>
            <w:tcW w:w="432" w:type="pct"/>
            <w:tcBorders>
              <w:top w:val="single" w:sz="12" w:space="0" w:color="auto"/>
              <w:bottom w:val="single" w:sz="4" w:space="0" w:color="auto"/>
            </w:tcBorders>
            <w:shd w:val="clear" w:color="auto" w:fill="auto"/>
            <w:vAlign w:val="center"/>
          </w:tcPr>
          <w:p w14:paraId="73282A80"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2,8</w:t>
            </w:r>
          </w:p>
        </w:tc>
        <w:tc>
          <w:tcPr>
            <w:tcW w:w="432" w:type="pct"/>
            <w:tcBorders>
              <w:top w:val="single" w:sz="12" w:space="0" w:color="auto"/>
              <w:bottom w:val="single" w:sz="4" w:space="0" w:color="auto"/>
            </w:tcBorders>
            <w:shd w:val="clear" w:color="auto" w:fill="auto"/>
            <w:vAlign w:val="center"/>
          </w:tcPr>
          <w:p w14:paraId="66F36576"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3,4</w:t>
            </w:r>
          </w:p>
        </w:tc>
        <w:tc>
          <w:tcPr>
            <w:tcW w:w="432" w:type="pct"/>
            <w:tcBorders>
              <w:top w:val="single" w:sz="12" w:space="0" w:color="auto"/>
              <w:bottom w:val="single" w:sz="4" w:space="0" w:color="auto"/>
            </w:tcBorders>
            <w:shd w:val="clear" w:color="auto" w:fill="FFFFFF" w:themeFill="background1"/>
            <w:vAlign w:val="center"/>
          </w:tcPr>
          <w:p w14:paraId="22884E8A" w14:textId="77777777" w:rsidR="002D00E1" w:rsidRPr="00FF53DB" w:rsidRDefault="002D00E1" w:rsidP="00313BC1">
            <w:pPr>
              <w:spacing w:after="0"/>
              <w:jc w:val="center"/>
              <w:rPr>
                <w:rFonts w:ascii="Arial" w:hAnsi="Arial" w:cs="Arial"/>
                <w:color w:val="1D428A"/>
                <w:sz w:val="20"/>
                <w:szCs w:val="20"/>
              </w:rPr>
            </w:pPr>
            <w:r w:rsidRPr="007A0203">
              <w:rPr>
                <w:rFonts w:ascii="Arial" w:hAnsi="Arial" w:cs="Arial"/>
                <w:sz w:val="20"/>
                <w:szCs w:val="20"/>
              </w:rPr>
              <w:t>3,3</w:t>
            </w:r>
          </w:p>
        </w:tc>
        <w:tc>
          <w:tcPr>
            <w:tcW w:w="487" w:type="pct"/>
            <w:tcBorders>
              <w:top w:val="single" w:sz="12" w:space="0" w:color="auto"/>
              <w:bottom w:val="single" w:sz="4" w:space="0" w:color="auto"/>
            </w:tcBorders>
            <w:shd w:val="clear" w:color="auto" w:fill="D9D9D9" w:themeFill="background1" w:themeFillShade="D9"/>
            <w:vAlign w:val="center"/>
          </w:tcPr>
          <w:p w14:paraId="6239C279" w14:textId="77777777" w:rsidR="002D00E1" w:rsidRPr="00FF53DB" w:rsidRDefault="00252FA9" w:rsidP="00313BC1">
            <w:pPr>
              <w:spacing w:after="0"/>
              <w:jc w:val="center"/>
              <w:rPr>
                <w:rFonts w:ascii="Arial" w:hAnsi="Arial" w:cs="Arial"/>
                <w:color w:val="1D428A"/>
                <w:sz w:val="20"/>
                <w:szCs w:val="20"/>
              </w:rPr>
            </w:pPr>
            <w:r>
              <w:rPr>
                <w:rFonts w:ascii="Arial" w:hAnsi="Arial" w:cs="Arial"/>
                <w:color w:val="1D428A"/>
                <w:sz w:val="20"/>
                <w:szCs w:val="20"/>
              </w:rPr>
              <w:t>5,1</w:t>
            </w:r>
          </w:p>
        </w:tc>
        <w:tc>
          <w:tcPr>
            <w:tcW w:w="487" w:type="pct"/>
            <w:tcBorders>
              <w:top w:val="single" w:sz="12" w:space="0" w:color="auto"/>
              <w:bottom w:val="single" w:sz="4" w:space="0" w:color="auto"/>
            </w:tcBorders>
            <w:shd w:val="clear" w:color="auto" w:fill="D9D9D9" w:themeFill="background1" w:themeFillShade="D9"/>
            <w:vAlign w:val="center"/>
          </w:tcPr>
          <w:p w14:paraId="5CE67A97" w14:textId="77777777" w:rsidR="002D00E1" w:rsidRPr="00FF53DB" w:rsidRDefault="00A40007" w:rsidP="00313BC1">
            <w:pPr>
              <w:spacing w:after="0"/>
              <w:jc w:val="center"/>
              <w:rPr>
                <w:rFonts w:ascii="Arial" w:hAnsi="Arial" w:cs="Arial"/>
                <w:color w:val="1D428A"/>
                <w:sz w:val="20"/>
                <w:szCs w:val="20"/>
              </w:rPr>
            </w:pPr>
            <w:r>
              <w:rPr>
                <w:rFonts w:ascii="Arial" w:hAnsi="Arial" w:cs="Arial"/>
                <w:color w:val="1D428A"/>
                <w:sz w:val="20"/>
                <w:szCs w:val="20"/>
              </w:rPr>
              <w:t>5,5</w:t>
            </w:r>
          </w:p>
        </w:tc>
        <w:tc>
          <w:tcPr>
            <w:tcW w:w="484" w:type="pct"/>
            <w:tcBorders>
              <w:top w:val="single" w:sz="12" w:space="0" w:color="auto"/>
              <w:bottom w:val="single" w:sz="4" w:space="0" w:color="auto"/>
              <w:right w:val="single" w:sz="12" w:space="0" w:color="auto"/>
            </w:tcBorders>
            <w:shd w:val="clear" w:color="auto" w:fill="D9D9D9" w:themeFill="background1" w:themeFillShade="D9"/>
            <w:vAlign w:val="center"/>
          </w:tcPr>
          <w:p w14:paraId="10F9DC82" w14:textId="77777777" w:rsidR="002D00E1" w:rsidRPr="00FF53DB" w:rsidRDefault="00252FA9" w:rsidP="00313BC1">
            <w:pPr>
              <w:spacing w:after="0"/>
              <w:jc w:val="center"/>
              <w:rPr>
                <w:rFonts w:ascii="Arial" w:hAnsi="Arial" w:cs="Arial"/>
                <w:color w:val="1D428A"/>
                <w:sz w:val="20"/>
                <w:szCs w:val="20"/>
              </w:rPr>
            </w:pPr>
            <w:r>
              <w:rPr>
                <w:rFonts w:ascii="Arial" w:hAnsi="Arial" w:cs="Arial"/>
                <w:color w:val="1D428A"/>
                <w:sz w:val="20"/>
                <w:szCs w:val="20"/>
              </w:rPr>
              <w:t>3,3</w:t>
            </w:r>
          </w:p>
        </w:tc>
      </w:tr>
      <w:tr w:rsidR="002D00E1" w:rsidRPr="00DF3958" w14:paraId="75ADFC07" w14:textId="77777777" w:rsidTr="00313BC1">
        <w:trPr>
          <w:cantSplit/>
          <w:trHeight w:val="278"/>
        </w:trPr>
        <w:tc>
          <w:tcPr>
            <w:tcW w:w="1814" w:type="pct"/>
            <w:tcBorders>
              <w:left w:val="single" w:sz="12" w:space="0" w:color="auto"/>
              <w:bottom w:val="single" w:sz="12" w:space="0" w:color="auto"/>
            </w:tcBorders>
            <w:shd w:val="clear" w:color="auto" w:fill="auto"/>
            <w:vAlign w:val="center"/>
          </w:tcPr>
          <w:p w14:paraId="2CECF590" w14:textId="77777777" w:rsidR="002D00E1" w:rsidRPr="00FF53DB" w:rsidRDefault="002D00E1" w:rsidP="00313BC1">
            <w:pPr>
              <w:spacing w:after="0"/>
              <w:rPr>
                <w:rFonts w:ascii="Arial" w:hAnsi="Arial" w:cs="Arial"/>
                <w:b/>
                <w:sz w:val="20"/>
                <w:szCs w:val="20"/>
              </w:rPr>
            </w:pPr>
            <w:r w:rsidRPr="00FF53DB">
              <w:rPr>
                <w:rFonts w:ascii="Arial" w:hAnsi="Arial" w:cs="Arial"/>
                <w:b/>
                <w:sz w:val="20"/>
                <w:szCs w:val="20"/>
              </w:rPr>
              <w:t>Maginfláció éves átlag, %</w:t>
            </w:r>
          </w:p>
        </w:tc>
        <w:tc>
          <w:tcPr>
            <w:tcW w:w="432" w:type="pct"/>
            <w:tcBorders>
              <w:bottom w:val="single" w:sz="12" w:space="0" w:color="auto"/>
            </w:tcBorders>
            <w:shd w:val="clear" w:color="auto" w:fill="auto"/>
            <w:vAlign w:val="center"/>
          </w:tcPr>
          <w:p w14:paraId="199565DD" w14:textId="77777777" w:rsidR="002D00E1" w:rsidRPr="00FF53DB" w:rsidRDefault="00DF2B8B" w:rsidP="00313BC1">
            <w:pPr>
              <w:spacing w:after="0"/>
              <w:jc w:val="center"/>
              <w:rPr>
                <w:rFonts w:ascii="Arial" w:hAnsi="Arial" w:cs="Arial"/>
                <w:sz w:val="20"/>
                <w:szCs w:val="20"/>
              </w:rPr>
            </w:pPr>
            <w:r>
              <w:rPr>
                <w:rFonts w:ascii="Arial" w:hAnsi="Arial" w:cs="Arial"/>
                <w:sz w:val="20"/>
                <w:szCs w:val="20"/>
              </w:rPr>
              <w:t>1,9</w:t>
            </w:r>
          </w:p>
        </w:tc>
        <w:tc>
          <w:tcPr>
            <w:tcW w:w="432" w:type="pct"/>
            <w:tcBorders>
              <w:bottom w:val="single" w:sz="12" w:space="0" w:color="auto"/>
            </w:tcBorders>
            <w:shd w:val="clear" w:color="auto" w:fill="auto"/>
            <w:vAlign w:val="center"/>
          </w:tcPr>
          <w:p w14:paraId="13718CE1" w14:textId="77777777" w:rsidR="002D00E1" w:rsidRPr="00FF53DB" w:rsidRDefault="00DF2B8B" w:rsidP="00313BC1">
            <w:pPr>
              <w:spacing w:after="0"/>
              <w:jc w:val="center"/>
              <w:rPr>
                <w:rFonts w:ascii="Arial" w:hAnsi="Arial" w:cs="Arial"/>
                <w:sz w:val="20"/>
                <w:szCs w:val="20"/>
              </w:rPr>
            </w:pPr>
            <w:r>
              <w:rPr>
                <w:rFonts w:ascii="Arial" w:hAnsi="Arial" w:cs="Arial"/>
                <w:sz w:val="20"/>
                <w:szCs w:val="20"/>
              </w:rPr>
              <w:t>2,0</w:t>
            </w:r>
          </w:p>
        </w:tc>
        <w:tc>
          <w:tcPr>
            <w:tcW w:w="432" w:type="pct"/>
            <w:tcBorders>
              <w:bottom w:val="single" w:sz="12" w:space="0" w:color="auto"/>
            </w:tcBorders>
            <w:shd w:val="clear" w:color="auto" w:fill="auto"/>
            <w:vAlign w:val="center"/>
          </w:tcPr>
          <w:p w14:paraId="0636530E" w14:textId="77777777" w:rsidR="002D00E1" w:rsidRPr="00FF53DB" w:rsidRDefault="00DF2B8B" w:rsidP="00313BC1">
            <w:pPr>
              <w:spacing w:after="0"/>
              <w:jc w:val="center"/>
              <w:rPr>
                <w:rFonts w:ascii="Arial" w:hAnsi="Arial" w:cs="Arial"/>
                <w:sz w:val="20"/>
                <w:szCs w:val="20"/>
              </w:rPr>
            </w:pPr>
            <w:r>
              <w:rPr>
                <w:rFonts w:ascii="Arial" w:hAnsi="Arial" w:cs="Arial"/>
                <w:sz w:val="20"/>
                <w:szCs w:val="20"/>
              </w:rPr>
              <w:t>3,1</w:t>
            </w:r>
          </w:p>
        </w:tc>
        <w:tc>
          <w:tcPr>
            <w:tcW w:w="432" w:type="pct"/>
            <w:tcBorders>
              <w:bottom w:val="single" w:sz="12" w:space="0" w:color="auto"/>
            </w:tcBorders>
            <w:shd w:val="clear" w:color="auto" w:fill="FFFFFF" w:themeFill="background1"/>
            <w:vAlign w:val="center"/>
          </w:tcPr>
          <w:p w14:paraId="6D1D0637" w14:textId="77777777" w:rsidR="002D00E1" w:rsidRPr="00FF53DB" w:rsidRDefault="00DF2B8B" w:rsidP="00313BC1">
            <w:pPr>
              <w:spacing w:after="0"/>
              <w:jc w:val="center"/>
              <w:rPr>
                <w:rFonts w:ascii="Arial" w:hAnsi="Arial" w:cs="Arial"/>
                <w:color w:val="1D428A"/>
                <w:sz w:val="20"/>
                <w:szCs w:val="20"/>
              </w:rPr>
            </w:pPr>
            <w:r>
              <w:rPr>
                <w:rFonts w:ascii="Arial" w:hAnsi="Arial" w:cs="Arial"/>
                <w:sz w:val="20"/>
                <w:szCs w:val="20"/>
              </w:rPr>
              <w:t>3,7</w:t>
            </w:r>
          </w:p>
        </w:tc>
        <w:tc>
          <w:tcPr>
            <w:tcW w:w="487" w:type="pct"/>
            <w:tcBorders>
              <w:bottom w:val="single" w:sz="12" w:space="0" w:color="auto"/>
            </w:tcBorders>
            <w:shd w:val="clear" w:color="auto" w:fill="D9D9D9" w:themeFill="background1" w:themeFillShade="D9"/>
            <w:vAlign w:val="center"/>
          </w:tcPr>
          <w:p w14:paraId="0D846CC9" w14:textId="77777777" w:rsidR="002D00E1" w:rsidRPr="00FF53DB" w:rsidRDefault="005E0F6D" w:rsidP="00313BC1">
            <w:pPr>
              <w:spacing w:after="0"/>
              <w:jc w:val="center"/>
              <w:rPr>
                <w:rFonts w:ascii="Arial" w:hAnsi="Arial" w:cs="Arial"/>
                <w:color w:val="1D428A"/>
                <w:sz w:val="20"/>
                <w:szCs w:val="20"/>
              </w:rPr>
            </w:pPr>
            <w:r>
              <w:rPr>
                <w:rFonts w:ascii="Arial" w:hAnsi="Arial" w:cs="Arial"/>
                <w:color w:val="1D428A"/>
                <w:sz w:val="20"/>
                <w:szCs w:val="20"/>
              </w:rPr>
              <w:t>3,9</w:t>
            </w:r>
          </w:p>
        </w:tc>
        <w:tc>
          <w:tcPr>
            <w:tcW w:w="487" w:type="pct"/>
            <w:tcBorders>
              <w:bottom w:val="single" w:sz="12" w:space="0" w:color="auto"/>
            </w:tcBorders>
            <w:shd w:val="clear" w:color="auto" w:fill="D9D9D9" w:themeFill="background1" w:themeFillShade="D9"/>
            <w:vAlign w:val="center"/>
          </w:tcPr>
          <w:p w14:paraId="2C4E17CA" w14:textId="77777777" w:rsidR="002D00E1" w:rsidRPr="00FF53DB" w:rsidRDefault="00B475EB" w:rsidP="00313BC1">
            <w:pPr>
              <w:spacing w:after="0"/>
              <w:jc w:val="center"/>
              <w:rPr>
                <w:rFonts w:ascii="Arial" w:hAnsi="Arial" w:cs="Arial"/>
                <w:color w:val="1D428A"/>
                <w:sz w:val="20"/>
                <w:szCs w:val="20"/>
              </w:rPr>
            </w:pPr>
            <w:r>
              <w:rPr>
                <w:rFonts w:ascii="Arial" w:hAnsi="Arial" w:cs="Arial"/>
                <w:color w:val="1D428A"/>
                <w:sz w:val="20"/>
                <w:szCs w:val="20"/>
              </w:rPr>
              <w:t>6,1</w:t>
            </w:r>
          </w:p>
        </w:tc>
        <w:tc>
          <w:tcPr>
            <w:tcW w:w="484" w:type="pct"/>
            <w:tcBorders>
              <w:bottom w:val="single" w:sz="12" w:space="0" w:color="auto"/>
              <w:right w:val="single" w:sz="12" w:space="0" w:color="auto"/>
            </w:tcBorders>
            <w:shd w:val="clear" w:color="auto" w:fill="D9D9D9" w:themeFill="background1" w:themeFillShade="D9"/>
            <w:vAlign w:val="center"/>
          </w:tcPr>
          <w:p w14:paraId="4AF35FC6" w14:textId="77777777" w:rsidR="002D00E1" w:rsidRPr="00FF53DB" w:rsidRDefault="004675F5" w:rsidP="00313BC1">
            <w:pPr>
              <w:spacing w:after="0"/>
              <w:jc w:val="center"/>
              <w:rPr>
                <w:rFonts w:ascii="Arial" w:hAnsi="Arial" w:cs="Arial"/>
                <w:color w:val="1D428A"/>
                <w:sz w:val="20"/>
                <w:szCs w:val="20"/>
              </w:rPr>
            </w:pPr>
            <w:r>
              <w:rPr>
                <w:rFonts w:ascii="Arial" w:hAnsi="Arial" w:cs="Arial"/>
                <w:color w:val="1D428A"/>
                <w:sz w:val="20"/>
                <w:szCs w:val="20"/>
              </w:rPr>
              <w:t>3,1</w:t>
            </w:r>
          </w:p>
        </w:tc>
      </w:tr>
      <w:tr w:rsidR="002D00E1" w:rsidRPr="00DF3958" w14:paraId="7A8ECC0B" w14:textId="77777777" w:rsidTr="00313BC1">
        <w:trPr>
          <w:cantSplit/>
          <w:trHeight w:val="278"/>
        </w:trPr>
        <w:tc>
          <w:tcPr>
            <w:tcW w:w="1814" w:type="pct"/>
            <w:tcBorders>
              <w:top w:val="single" w:sz="12" w:space="0" w:color="auto"/>
              <w:left w:val="single" w:sz="12" w:space="0" w:color="auto"/>
            </w:tcBorders>
            <w:shd w:val="clear" w:color="auto" w:fill="auto"/>
            <w:vAlign w:val="center"/>
          </w:tcPr>
          <w:p w14:paraId="2EAA953A" w14:textId="77777777" w:rsidR="002D00E1" w:rsidRPr="00FF53DB" w:rsidRDefault="002D00E1" w:rsidP="00313BC1">
            <w:pPr>
              <w:spacing w:after="0"/>
              <w:rPr>
                <w:rFonts w:ascii="Arial" w:hAnsi="Arial" w:cs="Arial"/>
                <w:b/>
                <w:sz w:val="20"/>
                <w:szCs w:val="20"/>
              </w:rPr>
            </w:pPr>
            <w:r w:rsidRPr="00FF53DB">
              <w:rPr>
                <w:rFonts w:ascii="Arial" w:hAnsi="Arial" w:cs="Arial"/>
                <w:b/>
                <w:sz w:val="20"/>
                <w:szCs w:val="20"/>
              </w:rPr>
              <w:t>Munkanélküliségi ráta, %</w:t>
            </w:r>
          </w:p>
        </w:tc>
        <w:tc>
          <w:tcPr>
            <w:tcW w:w="432" w:type="pct"/>
            <w:tcBorders>
              <w:top w:val="single" w:sz="12" w:space="0" w:color="auto"/>
            </w:tcBorders>
            <w:shd w:val="clear" w:color="auto" w:fill="auto"/>
            <w:vAlign w:val="center"/>
          </w:tcPr>
          <w:p w14:paraId="612B8F23" w14:textId="77777777" w:rsidR="002D00E1" w:rsidRPr="00FF53DB" w:rsidRDefault="004E6CE9" w:rsidP="00313BC1">
            <w:pPr>
              <w:spacing w:after="0"/>
              <w:jc w:val="center"/>
              <w:rPr>
                <w:rFonts w:ascii="Arial" w:hAnsi="Arial" w:cs="Arial"/>
                <w:sz w:val="20"/>
                <w:szCs w:val="20"/>
              </w:rPr>
            </w:pPr>
            <w:r>
              <w:rPr>
                <w:rFonts w:ascii="Arial" w:hAnsi="Arial" w:cs="Arial"/>
                <w:sz w:val="20"/>
                <w:szCs w:val="20"/>
              </w:rPr>
              <w:t>4,0</w:t>
            </w:r>
          </w:p>
        </w:tc>
        <w:tc>
          <w:tcPr>
            <w:tcW w:w="432" w:type="pct"/>
            <w:tcBorders>
              <w:top w:val="single" w:sz="12" w:space="0" w:color="auto"/>
            </w:tcBorders>
            <w:shd w:val="clear" w:color="auto" w:fill="auto"/>
            <w:vAlign w:val="center"/>
          </w:tcPr>
          <w:p w14:paraId="5F1F0CFA" w14:textId="77777777" w:rsidR="002D00E1" w:rsidRPr="00FF53DB" w:rsidRDefault="004E6CE9" w:rsidP="00313BC1">
            <w:pPr>
              <w:spacing w:after="0"/>
              <w:jc w:val="center"/>
              <w:rPr>
                <w:rFonts w:ascii="Arial" w:hAnsi="Arial" w:cs="Arial"/>
                <w:sz w:val="20"/>
                <w:szCs w:val="20"/>
              </w:rPr>
            </w:pPr>
            <w:r>
              <w:rPr>
                <w:rFonts w:ascii="Arial" w:hAnsi="Arial" w:cs="Arial"/>
                <w:sz w:val="20"/>
                <w:szCs w:val="20"/>
              </w:rPr>
              <w:t>3,6</w:t>
            </w:r>
          </w:p>
        </w:tc>
        <w:tc>
          <w:tcPr>
            <w:tcW w:w="432" w:type="pct"/>
            <w:tcBorders>
              <w:top w:val="single" w:sz="12" w:space="0" w:color="auto"/>
            </w:tcBorders>
            <w:shd w:val="clear" w:color="auto" w:fill="auto"/>
            <w:vAlign w:val="center"/>
          </w:tcPr>
          <w:p w14:paraId="4541B5CD" w14:textId="77777777" w:rsidR="002D00E1" w:rsidRPr="00FF53DB" w:rsidRDefault="004E6CE9" w:rsidP="00313BC1">
            <w:pPr>
              <w:spacing w:after="0"/>
              <w:jc w:val="center"/>
              <w:rPr>
                <w:rFonts w:ascii="Arial" w:hAnsi="Arial" w:cs="Arial"/>
                <w:sz w:val="20"/>
                <w:szCs w:val="20"/>
              </w:rPr>
            </w:pPr>
            <w:r>
              <w:rPr>
                <w:rFonts w:ascii="Arial" w:hAnsi="Arial" w:cs="Arial"/>
                <w:sz w:val="20"/>
                <w:szCs w:val="20"/>
              </w:rPr>
              <w:t>3,3</w:t>
            </w:r>
          </w:p>
        </w:tc>
        <w:tc>
          <w:tcPr>
            <w:tcW w:w="432" w:type="pct"/>
            <w:tcBorders>
              <w:top w:val="single" w:sz="12" w:space="0" w:color="auto"/>
            </w:tcBorders>
            <w:shd w:val="clear" w:color="auto" w:fill="FFFFFF" w:themeFill="background1"/>
            <w:vAlign w:val="center"/>
          </w:tcPr>
          <w:p w14:paraId="04E8514B" w14:textId="77777777" w:rsidR="002D00E1" w:rsidRPr="00FF53DB" w:rsidRDefault="004E6CE9" w:rsidP="00313BC1">
            <w:pPr>
              <w:spacing w:after="0"/>
              <w:jc w:val="center"/>
              <w:rPr>
                <w:rFonts w:ascii="Arial" w:hAnsi="Arial" w:cs="Arial"/>
                <w:color w:val="1D428A"/>
                <w:sz w:val="20"/>
                <w:szCs w:val="20"/>
              </w:rPr>
            </w:pPr>
            <w:r>
              <w:rPr>
                <w:rFonts w:ascii="Arial" w:hAnsi="Arial" w:cs="Arial"/>
                <w:sz w:val="20"/>
                <w:szCs w:val="20"/>
              </w:rPr>
              <w:t>4,1</w:t>
            </w:r>
          </w:p>
        </w:tc>
        <w:tc>
          <w:tcPr>
            <w:tcW w:w="487" w:type="pct"/>
            <w:tcBorders>
              <w:top w:val="single" w:sz="12" w:space="0" w:color="auto"/>
            </w:tcBorders>
            <w:shd w:val="clear" w:color="auto" w:fill="D9D9D9" w:themeFill="background1" w:themeFillShade="D9"/>
            <w:vAlign w:val="center"/>
          </w:tcPr>
          <w:p w14:paraId="5F835939" w14:textId="77777777" w:rsidR="002D00E1" w:rsidRPr="00FF53DB" w:rsidRDefault="00C14ED6" w:rsidP="00313BC1">
            <w:pPr>
              <w:spacing w:after="0"/>
              <w:jc w:val="center"/>
              <w:rPr>
                <w:rFonts w:ascii="Arial" w:hAnsi="Arial" w:cs="Arial"/>
                <w:color w:val="1D428A"/>
                <w:sz w:val="20"/>
                <w:szCs w:val="20"/>
              </w:rPr>
            </w:pPr>
            <w:r>
              <w:rPr>
                <w:rFonts w:ascii="Arial" w:hAnsi="Arial" w:cs="Arial"/>
                <w:color w:val="1D428A"/>
                <w:sz w:val="20"/>
                <w:szCs w:val="20"/>
              </w:rPr>
              <w:t>4,0</w:t>
            </w:r>
          </w:p>
        </w:tc>
        <w:tc>
          <w:tcPr>
            <w:tcW w:w="487" w:type="pct"/>
            <w:tcBorders>
              <w:top w:val="single" w:sz="12" w:space="0" w:color="auto"/>
            </w:tcBorders>
            <w:shd w:val="clear" w:color="auto" w:fill="D9D9D9" w:themeFill="background1" w:themeFillShade="D9"/>
            <w:vAlign w:val="center"/>
          </w:tcPr>
          <w:p w14:paraId="4D02DBA3" w14:textId="77777777" w:rsidR="002D00E1" w:rsidRPr="00FF53DB" w:rsidRDefault="008C2153" w:rsidP="00313BC1">
            <w:pPr>
              <w:spacing w:after="0"/>
              <w:jc w:val="center"/>
              <w:rPr>
                <w:rFonts w:ascii="Arial" w:hAnsi="Arial" w:cs="Arial"/>
                <w:color w:val="1D428A"/>
                <w:sz w:val="20"/>
                <w:szCs w:val="20"/>
              </w:rPr>
            </w:pPr>
            <w:r>
              <w:rPr>
                <w:rFonts w:ascii="Arial" w:hAnsi="Arial" w:cs="Arial"/>
                <w:color w:val="1D428A"/>
                <w:sz w:val="20"/>
                <w:szCs w:val="20"/>
              </w:rPr>
              <w:t>3,3</w:t>
            </w:r>
          </w:p>
        </w:tc>
        <w:tc>
          <w:tcPr>
            <w:tcW w:w="484" w:type="pct"/>
            <w:tcBorders>
              <w:top w:val="single" w:sz="12" w:space="0" w:color="auto"/>
              <w:right w:val="single" w:sz="12" w:space="0" w:color="auto"/>
            </w:tcBorders>
            <w:shd w:val="clear" w:color="auto" w:fill="D9D9D9" w:themeFill="background1" w:themeFillShade="D9"/>
            <w:vAlign w:val="center"/>
          </w:tcPr>
          <w:p w14:paraId="01B0E6B1" w14:textId="77777777" w:rsidR="002D00E1" w:rsidRPr="00FF53DB" w:rsidRDefault="008C2153" w:rsidP="00313BC1">
            <w:pPr>
              <w:spacing w:after="0"/>
              <w:jc w:val="center"/>
              <w:rPr>
                <w:rFonts w:ascii="Arial" w:hAnsi="Arial" w:cs="Arial"/>
                <w:color w:val="1D428A"/>
                <w:sz w:val="20"/>
                <w:szCs w:val="20"/>
              </w:rPr>
            </w:pPr>
            <w:r>
              <w:rPr>
                <w:rFonts w:ascii="Arial" w:hAnsi="Arial" w:cs="Arial"/>
                <w:color w:val="1D428A"/>
                <w:sz w:val="20"/>
                <w:szCs w:val="20"/>
              </w:rPr>
              <w:t>3,2</w:t>
            </w:r>
          </w:p>
        </w:tc>
      </w:tr>
      <w:tr w:rsidR="002D00E1" w:rsidRPr="00DF3958" w14:paraId="05FDEF57" w14:textId="77777777" w:rsidTr="00313BC1">
        <w:trPr>
          <w:cantSplit/>
          <w:trHeight w:val="278"/>
        </w:trPr>
        <w:tc>
          <w:tcPr>
            <w:tcW w:w="1814" w:type="pct"/>
            <w:tcBorders>
              <w:left w:val="single" w:sz="12" w:space="0" w:color="auto"/>
            </w:tcBorders>
            <w:shd w:val="clear" w:color="auto" w:fill="auto"/>
            <w:vAlign w:val="center"/>
          </w:tcPr>
          <w:p w14:paraId="5336C798" w14:textId="77777777" w:rsidR="002D00E1" w:rsidRPr="00FF53DB" w:rsidRDefault="002D00E1" w:rsidP="00313BC1">
            <w:pPr>
              <w:spacing w:after="0"/>
              <w:rPr>
                <w:rFonts w:ascii="Arial" w:hAnsi="Arial" w:cs="Arial"/>
                <w:b/>
                <w:sz w:val="20"/>
                <w:szCs w:val="20"/>
              </w:rPr>
            </w:pPr>
            <w:r w:rsidRPr="00FF53DB">
              <w:rPr>
                <w:rFonts w:ascii="Arial" w:hAnsi="Arial" w:cs="Arial"/>
                <w:b/>
                <w:sz w:val="20"/>
                <w:szCs w:val="20"/>
              </w:rPr>
              <w:t>Nemzetgazd. foglalkoztatottság, %</w:t>
            </w:r>
          </w:p>
        </w:tc>
        <w:tc>
          <w:tcPr>
            <w:tcW w:w="432" w:type="pct"/>
            <w:shd w:val="clear" w:color="auto" w:fill="auto"/>
            <w:vAlign w:val="center"/>
          </w:tcPr>
          <w:p w14:paraId="7793FDE3" w14:textId="77777777" w:rsidR="002D00E1" w:rsidRPr="00FF53DB" w:rsidRDefault="00881583" w:rsidP="00313BC1">
            <w:pPr>
              <w:spacing w:after="0"/>
              <w:jc w:val="center"/>
              <w:rPr>
                <w:rFonts w:ascii="Arial" w:hAnsi="Arial" w:cs="Arial"/>
                <w:sz w:val="20"/>
                <w:szCs w:val="20"/>
              </w:rPr>
            </w:pPr>
            <w:r>
              <w:rPr>
                <w:rFonts w:ascii="Arial" w:hAnsi="Arial" w:cs="Arial"/>
                <w:sz w:val="20"/>
                <w:szCs w:val="20"/>
              </w:rPr>
              <w:t>1,5</w:t>
            </w:r>
          </w:p>
        </w:tc>
        <w:tc>
          <w:tcPr>
            <w:tcW w:w="432" w:type="pct"/>
            <w:shd w:val="clear" w:color="auto" w:fill="auto"/>
            <w:vAlign w:val="center"/>
          </w:tcPr>
          <w:p w14:paraId="037FEE58" w14:textId="77777777" w:rsidR="002D00E1" w:rsidRPr="00FF53DB" w:rsidRDefault="00881583" w:rsidP="00313BC1">
            <w:pPr>
              <w:spacing w:after="0"/>
              <w:jc w:val="center"/>
              <w:rPr>
                <w:rFonts w:ascii="Arial" w:hAnsi="Arial" w:cs="Arial"/>
                <w:sz w:val="20"/>
                <w:szCs w:val="20"/>
              </w:rPr>
            </w:pPr>
            <w:r>
              <w:rPr>
                <w:rFonts w:ascii="Arial" w:hAnsi="Arial" w:cs="Arial"/>
                <w:sz w:val="20"/>
                <w:szCs w:val="20"/>
              </w:rPr>
              <w:t>1,3</w:t>
            </w:r>
          </w:p>
        </w:tc>
        <w:tc>
          <w:tcPr>
            <w:tcW w:w="432" w:type="pct"/>
            <w:shd w:val="clear" w:color="auto" w:fill="auto"/>
            <w:vAlign w:val="center"/>
          </w:tcPr>
          <w:p w14:paraId="5DE769A1" w14:textId="77777777" w:rsidR="002D00E1" w:rsidRPr="00FF53DB" w:rsidRDefault="00881583" w:rsidP="00313BC1">
            <w:pPr>
              <w:spacing w:after="0"/>
              <w:jc w:val="center"/>
              <w:rPr>
                <w:rFonts w:ascii="Arial" w:hAnsi="Arial" w:cs="Arial"/>
                <w:sz w:val="20"/>
                <w:szCs w:val="20"/>
              </w:rPr>
            </w:pPr>
            <w:r>
              <w:rPr>
                <w:rFonts w:ascii="Arial" w:hAnsi="Arial" w:cs="Arial"/>
                <w:sz w:val="20"/>
                <w:szCs w:val="20"/>
              </w:rPr>
              <w:t>0,8</w:t>
            </w:r>
          </w:p>
        </w:tc>
        <w:tc>
          <w:tcPr>
            <w:tcW w:w="432" w:type="pct"/>
            <w:shd w:val="clear" w:color="auto" w:fill="FFFFFF" w:themeFill="background1"/>
            <w:vAlign w:val="center"/>
          </w:tcPr>
          <w:p w14:paraId="11CC2028" w14:textId="77777777" w:rsidR="002D00E1" w:rsidRPr="00FF53DB" w:rsidRDefault="00881583" w:rsidP="00313BC1">
            <w:pPr>
              <w:spacing w:after="0"/>
              <w:jc w:val="center"/>
              <w:rPr>
                <w:rFonts w:ascii="Arial" w:hAnsi="Arial" w:cs="Arial"/>
                <w:color w:val="1D428A"/>
                <w:sz w:val="20"/>
                <w:szCs w:val="20"/>
              </w:rPr>
            </w:pPr>
            <w:r>
              <w:rPr>
                <w:rFonts w:ascii="Arial" w:hAnsi="Arial" w:cs="Arial"/>
                <w:sz w:val="20"/>
                <w:szCs w:val="20"/>
              </w:rPr>
              <w:t>-0,9</w:t>
            </w:r>
          </w:p>
        </w:tc>
        <w:tc>
          <w:tcPr>
            <w:tcW w:w="487" w:type="pct"/>
            <w:shd w:val="clear" w:color="auto" w:fill="D9D9D9" w:themeFill="background1" w:themeFillShade="D9"/>
            <w:vAlign w:val="center"/>
          </w:tcPr>
          <w:p w14:paraId="5EFA49C3" w14:textId="77777777" w:rsidR="002D00E1" w:rsidRPr="00FF53DB" w:rsidRDefault="00810A4A" w:rsidP="00313BC1">
            <w:pPr>
              <w:spacing w:after="0"/>
              <w:jc w:val="center"/>
              <w:rPr>
                <w:rFonts w:ascii="Arial" w:hAnsi="Arial" w:cs="Arial"/>
                <w:color w:val="1D428A"/>
                <w:sz w:val="20"/>
                <w:szCs w:val="20"/>
              </w:rPr>
            </w:pPr>
            <w:r>
              <w:rPr>
                <w:rFonts w:ascii="Arial" w:hAnsi="Arial" w:cs="Arial"/>
                <w:color w:val="1D428A"/>
                <w:sz w:val="20"/>
                <w:szCs w:val="20"/>
              </w:rPr>
              <w:t>0,9</w:t>
            </w:r>
          </w:p>
        </w:tc>
        <w:tc>
          <w:tcPr>
            <w:tcW w:w="487" w:type="pct"/>
            <w:shd w:val="clear" w:color="auto" w:fill="D9D9D9" w:themeFill="background1" w:themeFillShade="D9"/>
            <w:vAlign w:val="center"/>
          </w:tcPr>
          <w:p w14:paraId="42ECB6A0" w14:textId="77777777" w:rsidR="002D00E1" w:rsidRPr="00FF53DB" w:rsidRDefault="00810A4A" w:rsidP="00313BC1">
            <w:pPr>
              <w:spacing w:after="0"/>
              <w:jc w:val="center"/>
              <w:rPr>
                <w:rFonts w:ascii="Arial" w:hAnsi="Arial" w:cs="Arial"/>
                <w:color w:val="1D428A"/>
                <w:sz w:val="20"/>
                <w:szCs w:val="20"/>
              </w:rPr>
            </w:pPr>
            <w:r>
              <w:rPr>
                <w:rFonts w:ascii="Arial" w:hAnsi="Arial" w:cs="Arial"/>
                <w:color w:val="1D428A"/>
                <w:sz w:val="20"/>
                <w:szCs w:val="20"/>
              </w:rPr>
              <w:t>1,2</w:t>
            </w:r>
          </w:p>
        </w:tc>
        <w:tc>
          <w:tcPr>
            <w:tcW w:w="484" w:type="pct"/>
            <w:tcBorders>
              <w:right w:val="single" w:sz="12" w:space="0" w:color="auto"/>
            </w:tcBorders>
            <w:shd w:val="clear" w:color="auto" w:fill="D9D9D9" w:themeFill="background1" w:themeFillShade="D9"/>
            <w:vAlign w:val="center"/>
          </w:tcPr>
          <w:p w14:paraId="0E26EA79" w14:textId="77777777" w:rsidR="002D00E1" w:rsidRPr="00FF53DB" w:rsidRDefault="00810A4A" w:rsidP="00313BC1">
            <w:pPr>
              <w:spacing w:after="0"/>
              <w:jc w:val="center"/>
              <w:rPr>
                <w:rFonts w:ascii="Arial" w:hAnsi="Arial" w:cs="Arial"/>
                <w:color w:val="1D428A"/>
                <w:sz w:val="20"/>
                <w:szCs w:val="20"/>
              </w:rPr>
            </w:pPr>
            <w:r>
              <w:rPr>
                <w:rFonts w:ascii="Arial" w:hAnsi="Arial" w:cs="Arial"/>
                <w:color w:val="1D428A"/>
                <w:sz w:val="20"/>
                <w:szCs w:val="20"/>
              </w:rPr>
              <w:t>0,4</w:t>
            </w:r>
          </w:p>
        </w:tc>
      </w:tr>
      <w:tr w:rsidR="002D00E1" w:rsidRPr="00DF3958" w14:paraId="112F89BD" w14:textId="77777777" w:rsidTr="00313BC1">
        <w:trPr>
          <w:cantSplit/>
          <w:trHeight w:val="278"/>
        </w:trPr>
        <w:tc>
          <w:tcPr>
            <w:tcW w:w="1814" w:type="pct"/>
            <w:tcBorders>
              <w:left w:val="single" w:sz="12" w:space="0" w:color="auto"/>
              <w:bottom w:val="single" w:sz="4" w:space="0" w:color="auto"/>
            </w:tcBorders>
            <w:shd w:val="clear" w:color="auto" w:fill="auto"/>
            <w:vAlign w:val="center"/>
          </w:tcPr>
          <w:p w14:paraId="79D385BD" w14:textId="77777777" w:rsidR="002D00E1" w:rsidRPr="00FF53DB" w:rsidRDefault="002D00E1" w:rsidP="00313BC1">
            <w:pPr>
              <w:spacing w:after="0"/>
              <w:rPr>
                <w:rFonts w:ascii="Arial" w:hAnsi="Arial" w:cs="Arial"/>
                <w:b/>
                <w:sz w:val="20"/>
                <w:szCs w:val="20"/>
              </w:rPr>
            </w:pPr>
            <w:r w:rsidRPr="00FF53DB">
              <w:rPr>
                <w:rFonts w:ascii="Arial" w:hAnsi="Arial" w:cs="Arial"/>
                <w:b/>
                <w:sz w:val="20"/>
                <w:szCs w:val="20"/>
              </w:rPr>
              <w:t>Nemzetgazd. bruttó átlagkereset, %</w:t>
            </w:r>
          </w:p>
        </w:tc>
        <w:tc>
          <w:tcPr>
            <w:tcW w:w="432" w:type="pct"/>
            <w:tcBorders>
              <w:bottom w:val="single" w:sz="4" w:space="0" w:color="auto"/>
            </w:tcBorders>
            <w:shd w:val="clear" w:color="auto" w:fill="auto"/>
            <w:vAlign w:val="center"/>
          </w:tcPr>
          <w:p w14:paraId="42BE9926"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12,9</w:t>
            </w:r>
          </w:p>
        </w:tc>
        <w:tc>
          <w:tcPr>
            <w:tcW w:w="432" w:type="pct"/>
            <w:tcBorders>
              <w:bottom w:val="single" w:sz="4" w:space="0" w:color="auto"/>
            </w:tcBorders>
            <w:shd w:val="clear" w:color="auto" w:fill="auto"/>
            <w:vAlign w:val="center"/>
          </w:tcPr>
          <w:p w14:paraId="25061974"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11,3</w:t>
            </w:r>
          </w:p>
        </w:tc>
        <w:tc>
          <w:tcPr>
            <w:tcW w:w="432" w:type="pct"/>
            <w:tcBorders>
              <w:bottom w:val="single" w:sz="4" w:space="0" w:color="auto"/>
            </w:tcBorders>
            <w:shd w:val="clear" w:color="auto" w:fill="auto"/>
            <w:vAlign w:val="center"/>
          </w:tcPr>
          <w:p w14:paraId="760B3807"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11,4</w:t>
            </w:r>
          </w:p>
        </w:tc>
        <w:tc>
          <w:tcPr>
            <w:tcW w:w="432" w:type="pct"/>
            <w:tcBorders>
              <w:bottom w:val="single" w:sz="4" w:space="0" w:color="auto"/>
            </w:tcBorders>
            <w:shd w:val="clear" w:color="auto" w:fill="FFFFFF" w:themeFill="background1"/>
            <w:vAlign w:val="center"/>
          </w:tcPr>
          <w:p w14:paraId="277149EC" w14:textId="77777777" w:rsidR="002D00E1" w:rsidRPr="002C1993" w:rsidRDefault="002D00E1" w:rsidP="00313BC1">
            <w:pPr>
              <w:spacing w:after="0"/>
              <w:jc w:val="center"/>
              <w:rPr>
                <w:rFonts w:ascii="Arial" w:hAnsi="Arial" w:cs="Arial"/>
                <w:sz w:val="20"/>
                <w:szCs w:val="20"/>
              </w:rPr>
            </w:pPr>
            <w:r w:rsidRPr="002C1993">
              <w:rPr>
                <w:rFonts w:ascii="Arial" w:hAnsi="Arial" w:cs="Arial"/>
                <w:sz w:val="20"/>
                <w:szCs w:val="20"/>
              </w:rPr>
              <w:t>9,7</w:t>
            </w:r>
          </w:p>
        </w:tc>
        <w:tc>
          <w:tcPr>
            <w:tcW w:w="487" w:type="pct"/>
            <w:tcBorders>
              <w:bottom w:val="single" w:sz="4" w:space="0" w:color="auto"/>
            </w:tcBorders>
            <w:shd w:val="clear" w:color="auto" w:fill="D9D9D9" w:themeFill="background1" w:themeFillShade="D9"/>
            <w:vAlign w:val="center"/>
          </w:tcPr>
          <w:p w14:paraId="402DB36F" w14:textId="77777777" w:rsidR="002D00E1" w:rsidRPr="00FF53DB" w:rsidRDefault="00A84C0F" w:rsidP="00313BC1">
            <w:pPr>
              <w:spacing w:after="0"/>
              <w:jc w:val="center"/>
              <w:rPr>
                <w:rFonts w:ascii="Arial" w:hAnsi="Arial" w:cs="Arial"/>
                <w:color w:val="1D428A"/>
                <w:sz w:val="20"/>
                <w:szCs w:val="20"/>
              </w:rPr>
            </w:pPr>
            <w:r>
              <w:rPr>
                <w:rFonts w:ascii="Arial" w:hAnsi="Arial" w:cs="Arial"/>
                <w:color w:val="1D428A"/>
                <w:sz w:val="20"/>
                <w:szCs w:val="20"/>
              </w:rPr>
              <w:t>8,5</w:t>
            </w:r>
          </w:p>
        </w:tc>
        <w:tc>
          <w:tcPr>
            <w:tcW w:w="487" w:type="pct"/>
            <w:tcBorders>
              <w:bottom w:val="single" w:sz="4" w:space="0" w:color="auto"/>
            </w:tcBorders>
            <w:shd w:val="clear" w:color="auto" w:fill="D9D9D9" w:themeFill="background1" w:themeFillShade="D9"/>
            <w:vAlign w:val="center"/>
          </w:tcPr>
          <w:p w14:paraId="344974DA" w14:textId="77777777" w:rsidR="002D00E1" w:rsidRPr="00FF53DB" w:rsidRDefault="00A77FEF" w:rsidP="00313BC1">
            <w:pPr>
              <w:spacing w:after="0"/>
              <w:jc w:val="center"/>
              <w:rPr>
                <w:rFonts w:ascii="Arial" w:hAnsi="Arial" w:cs="Arial"/>
                <w:color w:val="1D428A"/>
                <w:sz w:val="20"/>
                <w:szCs w:val="20"/>
              </w:rPr>
            </w:pPr>
            <w:r>
              <w:rPr>
                <w:rFonts w:ascii="Arial" w:hAnsi="Arial" w:cs="Arial"/>
                <w:color w:val="1D428A"/>
                <w:sz w:val="20"/>
                <w:szCs w:val="20"/>
              </w:rPr>
              <w:t>12,8</w:t>
            </w:r>
          </w:p>
        </w:tc>
        <w:tc>
          <w:tcPr>
            <w:tcW w:w="484" w:type="pct"/>
            <w:tcBorders>
              <w:bottom w:val="single" w:sz="4" w:space="0" w:color="auto"/>
              <w:right w:val="single" w:sz="12" w:space="0" w:color="auto"/>
            </w:tcBorders>
            <w:shd w:val="clear" w:color="auto" w:fill="D9D9D9" w:themeFill="background1" w:themeFillShade="D9"/>
            <w:vAlign w:val="center"/>
          </w:tcPr>
          <w:p w14:paraId="0114ACA3" w14:textId="77777777" w:rsidR="002D00E1" w:rsidRPr="00FF53DB" w:rsidRDefault="00142F24" w:rsidP="00313BC1">
            <w:pPr>
              <w:spacing w:after="0"/>
              <w:jc w:val="center"/>
              <w:rPr>
                <w:rFonts w:ascii="Arial" w:hAnsi="Arial" w:cs="Arial"/>
                <w:color w:val="1D428A"/>
                <w:sz w:val="20"/>
                <w:szCs w:val="20"/>
              </w:rPr>
            </w:pPr>
            <w:r>
              <w:rPr>
                <w:rFonts w:ascii="Arial" w:hAnsi="Arial" w:cs="Arial"/>
                <w:color w:val="1D428A"/>
                <w:sz w:val="20"/>
                <w:szCs w:val="20"/>
              </w:rPr>
              <w:t>8,4</w:t>
            </w:r>
          </w:p>
        </w:tc>
      </w:tr>
      <w:tr w:rsidR="002D00E1" w:rsidRPr="00DF3958" w14:paraId="14E4AA72" w14:textId="77777777" w:rsidTr="00313BC1">
        <w:trPr>
          <w:cantSplit/>
          <w:trHeight w:val="278"/>
        </w:trPr>
        <w:tc>
          <w:tcPr>
            <w:tcW w:w="1814" w:type="pct"/>
            <w:tcBorders>
              <w:left w:val="single" w:sz="12" w:space="0" w:color="auto"/>
              <w:bottom w:val="single" w:sz="4" w:space="0" w:color="auto"/>
            </w:tcBorders>
            <w:shd w:val="clear" w:color="auto" w:fill="auto"/>
            <w:vAlign w:val="center"/>
          </w:tcPr>
          <w:p w14:paraId="67C3C4B1" w14:textId="77777777" w:rsidR="002D00E1" w:rsidRPr="00FF53DB" w:rsidRDefault="002D00E1" w:rsidP="00313BC1">
            <w:pPr>
              <w:spacing w:after="0"/>
              <w:rPr>
                <w:rFonts w:ascii="Arial" w:hAnsi="Arial" w:cs="Arial"/>
                <w:b/>
                <w:sz w:val="20"/>
                <w:szCs w:val="20"/>
              </w:rPr>
            </w:pPr>
            <w:r w:rsidRPr="00FF53DB">
              <w:rPr>
                <w:rFonts w:ascii="Arial" w:hAnsi="Arial" w:cs="Arial"/>
                <w:b/>
                <w:sz w:val="20"/>
                <w:szCs w:val="20"/>
              </w:rPr>
              <w:t>Nettó reálbér, %</w:t>
            </w:r>
          </w:p>
        </w:tc>
        <w:tc>
          <w:tcPr>
            <w:tcW w:w="432" w:type="pct"/>
            <w:tcBorders>
              <w:bottom w:val="single" w:sz="4" w:space="0" w:color="auto"/>
            </w:tcBorders>
            <w:shd w:val="clear" w:color="auto" w:fill="auto"/>
            <w:vAlign w:val="center"/>
          </w:tcPr>
          <w:p w14:paraId="5C5DA602"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10,3</w:t>
            </w:r>
          </w:p>
        </w:tc>
        <w:tc>
          <w:tcPr>
            <w:tcW w:w="432" w:type="pct"/>
            <w:tcBorders>
              <w:bottom w:val="single" w:sz="4" w:space="0" w:color="auto"/>
            </w:tcBorders>
            <w:shd w:val="clear" w:color="auto" w:fill="auto"/>
            <w:vAlign w:val="center"/>
          </w:tcPr>
          <w:p w14:paraId="0FB68BDF"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8,3</w:t>
            </w:r>
          </w:p>
        </w:tc>
        <w:tc>
          <w:tcPr>
            <w:tcW w:w="432" w:type="pct"/>
            <w:tcBorders>
              <w:bottom w:val="single" w:sz="4" w:space="0" w:color="auto"/>
            </w:tcBorders>
            <w:shd w:val="clear" w:color="auto" w:fill="auto"/>
            <w:vAlign w:val="center"/>
          </w:tcPr>
          <w:p w14:paraId="6920A820"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7,8</w:t>
            </w:r>
          </w:p>
        </w:tc>
        <w:tc>
          <w:tcPr>
            <w:tcW w:w="432" w:type="pct"/>
            <w:tcBorders>
              <w:bottom w:val="single" w:sz="4" w:space="0" w:color="auto"/>
            </w:tcBorders>
            <w:shd w:val="clear" w:color="auto" w:fill="FFFFFF" w:themeFill="background1"/>
            <w:vAlign w:val="center"/>
          </w:tcPr>
          <w:p w14:paraId="24DEC3B8" w14:textId="77777777" w:rsidR="002D00E1" w:rsidRPr="002C1993" w:rsidRDefault="002D00E1" w:rsidP="00313BC1">
            <w:pPr>
              <w:spacing w:after="0"/>
              <w:jc w:val="center"/>
              <w:rPr>
                <w:rFonts w:ascii="Arial" w:hAnsi="Arial" w:cs="Arial"/>
                <w:sz w:val="20"/>
                <w:szCs w:val="20"/>
              </w:rPr>
            </w:pPr>
            <w:r w:rsidRPr="002C1993">
              <w:rPr>
                <w:rFonts w:ascii="Arial" w:hAnsi="Arial" w:cs="Arial"/>
                <w:sz w:val="20"/>
                <w:szCs w:val="20"/>
              </w:rPr>
              <w:t>6,2</w:t>
            </w:r>
          </w:p>
        </w:tc>
        <w:tc>
          <w:tcPr>
            <w:tcW w:w="487" w:type="pct"/>
            <w:tcBorders>
              <w:bottom w:val="single" w:sz="4" w:space="0" w:color="auto"/>
            </w:tcBorders>
            <w:shd w:val="clear" w:color="auto" w:fill="D9D9D9" w:themeFill="background1" w:themeFillShade="D9"/>
            <w:vAlign w:val="center"/>
          </w:tcPr>
          <w:p w14:paraId="1107397F" w14:textId="77777777" w:rsidR="002D00E1" w:rsidRPr="00FF53DB" w:rsidRDefault="00A84C0F" w:rsidP="00313BC1">
            <w:pPr>
              <w:spacing w:after="0"/>
              <w:jc w:val="center"/>
              <w:rPr>
                <w:rFonts w:ascii="Arial" w:hAnsi="Arial" w:cs="Arial"/>
                <w:color w:val="1D428A"/>
                <w:sz w:val="20"/>
                <w:szCs w:val="20"/>
              </w:rPr>
            </w:pPr>
            <w:r>
              <w:rPr>
                <w:rFonts w:ascii="Arial" w:hAnsi="Arial" w:cs="Arial"/>
                <w:color w:val="1D428A"/>
                <w:sz w:val="20"/>
                <w:szCs w:val="20"/>
              </w:rPr>
              <w:t>3,3</w:t>
            </w:r>
          </w:p>
        </w:tc>
        <w:tc>
          <w:tcPr>
            <w:tcW w:w="487" w:type="pct"/>
            <w:tcBorders>
              <w:bottom w:val="single" w:sz="4" w:space="0" w:color="auto"/>
            </w:tcBorders>
            <w:shd w:val="clear" w:color="auto" w:fill="D9D9D9" w:themeFill="background1" w:themeFillShade="D9"/>
            <w:vAlign w:val="center"/>
          </w:tcPr>
          <w:p w14:paraId="5D3573D5" w14:textId="77777777" w:rsidR="002D00E1" w:rsidRPr="00FF53DB" w:rsidRDefault="00A77FEF" w:rsidP="00313BC1">
            <w:pPr>
              <w:spacing w:after="0"/>
              <w:jc w:val="center"/>
              <w:rPr>
                <w:rFonts w:ascii="Arial" w:hAnsi="Arial" w:cs="Arial"/>
                <w:color w:val="1D428A"/>
                <w:sz w:val="20"/>
                <w:szCs w:val="20"/>
              </w:rPr>
            </w:pPr>
            <w:r>
              <w:rPr>
                <w:rFonts w:ascii="Arial" w:hAnsi="Arial" w:cs="Arial"/>
                <w:color w:val="1D428A"/>
                <w:sz w:val="20"/>
                <w:szCs w:val="20"/>
              </w:rPr>
              <w:t>10,8</w:t>
            </w:r>
          </w:p>
        </w:tc>
        <w:tc>
          <w:tcPr>
            <w:tcW w:w="484" w:type="pct"/>
            <w:tcBorders>
              <w:bottom w:val="single" w:sz="4" w:space="0" w:color="auto"/>
              <w:right w:val="single" w:sz="12" w:space="0" w:color="auto"/>
            </w:tcBorders>
            <w:shd w:val="clear" w:color="auto" w:fill="D9D9D9" w:themeFill="background1" w:themeFillShade="D9"/>
            <w:vAlign w:val="center"/>
          </w:tcPr>
          <w:p w14:paraId="66A9A325" w14:textId="77777777" w:rsidR="002D00E1" w:rsidRPr="00FF53DB" w:rsidRDefault="00142F24" w:rsidP="00313BC1">
            <w:pPr>
              <w:spacing w:after="0"/>
              <w:jc w:val="center"/>
              <w:rPr>
                <w:rFonts w:ascii="Arial" w:hAnsi="Arial" w:cs="Arial"/>
                <w:color w:val="1D428A"/>
                <w:sz w:val="20"/>
                <w:szCs w:val="20"/>
              </w:rPr>
            </w:pPr>
            <w:r>
              <w:rPr>
                <w:rFonts w:ascii="Arial" w:hAnsi="Arial" w:cs="Arial"/>
                <w:color w:val="1D428A"/>
                <w:sz w:val="20"/>
                <w:szCs w:val="20"/>
              </w:rPr>
              <w:t>4,2</w:t>
            </w:r>
          </w:p>
        </w:tc>
      </w:tr>
      <w:tr w:rsidR="002D00E1" w:rsidRPr="00DF3958" w14:paraId="5F3AC429" w14:textId="77777777" w:rsidTr="00313BC1">
        <w:trPr>
          <w:cantSplit/>
          <w:trHeight w:val="278"/>
        </w:trPr>
        <w:tc>
          <w:tcPr>
            <w:tcW w:w="1814" w:type="pct"/>
            <w:tcBorders>
              <w:left w:val="single" w:sz="12" w:space="0" w:color="auto"/>
              <w:bottom w:val="single" w:sz="12" w:space="0" w:color="auto"/>
            </w:tcBorders>
            <w:shd w:val="clear" w:color="auto" w:fill="auto"/>
            <w:vAlign w:val="center"/>
          </w:tcPr>
          <w:p w14:paraId="236B8F63" w14:textId="77777777" w:rsidR="002D00E1" w:rsidRPr="00FF53DB" w:rsidRDefault="002D00E1" w:rsidP="00313BC1">
            <w:pPr>
              <w:spacing w:after="0"/>
              <w:rPr>
                <w:rFonts w:ascii="Arial" w:hAnsi="Arial" w:cs="Arial"/>
                <w:b/>
                <w:sz w:val="20"/>
                <w:szCs w:val="20"/>
              </w:rPr>
            </w:pPr>
            <w:r w:rsidRPr="00FF53DB">
              <w:rPr>
                <w:rFonts w:ascii="Arial" w:hAnsi="Arial" w:cs="Arial"/>
                <w:b/>
                <w:sz w:val="20"/>
                <w:szCs w:val="20"/>
              </w:rPr>
              <w:t xml:space="preserve">Háztart. nettó </w:t>
            </w:r>
            <w:proofErr w:type="spellStart"/>
            <w:r w:rsidRPr="00FF53DB">
              <w:rPr>
                <w:rFonts w:ascii="Arial" w:hAnsi="Arial" w:cs="Arial"/>
                <w:b/>
                <w:sz w:val="20"/>
                <w:szCs w:val="20"/>
              </w:rPr>
              <w:t>pü</w:t>
            </w:r>
            <w:proofErr w:type="spellEnd"/>
            <w:r w:rsidRPr="00FF53DB">
              <w:rPr>
                <w:rFonts w:ascii="Arial" w:hAnsi="Arial" w:cs="Arial"/>
                <w:b/>
                <w:sz w:val="20"/>
                <w:szCs w:val="20"/>
              </w:rPr>
              <w:t>. vagyon, billió HUF</w:t>
            </w:r>
          </w:p>
        </w:tc>
        <w:tc>
          <w:tcPr>
            <w:tcW w:w="432" w:type="pct"/>
            <w:tcBorders>
              <w:bottom w:val="single" w:sz="12" w:space="0" w:color="auto"/>
            </w:tcBorders>
            <w:shd w:val="clear" w:color="auto" w:fill="auto"/>
            <w:vAlign w:val="center"/>
          </w:tcPr>
          <w:p w14:paraId="706896BD" w14:textId="77777777" w:rsidR="002D00E1" w:rsidRPr="00FF53DB" w:rsidRDefault="005B780B" w:rsidP="00313BC1">
            <w:pPr>
              <w:spacing w:after="0"/>
              <w:jc w:val="center"/>
              <w:rPr>
                <w:rFonts w:ascii="Arial" w:hAnsi="Arial" w:cs="Arial"/>
                <w:sz w:val="20"/>
                <w:szCs w:val="20"/>
              </w:rPr>
            </w:pPr>
            <w:r>
              <w:rPr>
                <w:rFonts w:ascii="Arial" w:hAnsi="Arial" w:cs="Arial"/>
                <w:sz w:val="20"/>
                <w:szCs w:val="20"/>
              </w:rPr>
              <w:t>40,8</w:t>
            </w:r>
          </w:p>
        </w:tc>
        <w:tc>
          <w:tcPr>
            <w:tcW w:w="432" w:type="pct"/>
            <w:tcBorders>
              <w:bottom w:val="single" w:sz="12" w:space="0" w:color="auto"/>
            </w:tcBorders>
            <w:shd w:val="clear" w:color="auto" w:fill="auto"/>
            <w:vAlign w:val="center"/>
          </w:tcPr>
          <w:p w14:paraId="776BBF54" w14:textId="77777777" w:rsidR="002D00E1" w:rsidRPr="00FF53DB" w:rsidRDefault="008A3A05" w:rsidP="00313BC1">
            <w:pPr>
              <w:spacing w:after="0"/>
              <w:jc w:val="center"/>
              <w:rPr>
                <w:rFonts w:ascii="Arial" w:hAnsi="Arial" w:cs="Arial"/>
                <w:sz w:val="20"/>
                <w:szCs w:val="20"/>
              </w:rPr>
            </w:pPr>
            <w:r>
              <w:rPr>
                <w:rFonts w:ascii="Arial" w:hAnsi="Arial" w:cs="Arial"/>
                <w:sz w:val="20"/>
                <w:szCs w:val="20"/>
              </w:rPr>
              <w:t>45,5</w:t>
            </w:r>
          </w:p>
        </w:tc>
        <w:tc>
          <w:tcPr>
            <w:tcW w:w="432" w:type="pct"/>
            <w:tcBorders>
              <w:bottom w:val="single" w:sz="12" w:space="0" w:color="auto"/>
            </w:tcBorders>
            <w:shd w:val="clear" w:color="auto" w:fill="auto"/>
            <w:vAlign w:val="center"/>
          </w:tcPr>
          <w:p w14:paraId="7B97DE4A" w14:textId="77777777" w:rsidR="002D00E1" w:rsidRPr="00FF53DB" w:rsidRDefault="005B780B" w:rsidP="00313BC1">
            <w:pPr>
              <w:spacing w:after="0"/>
              <w:jc w:val="center"/>
              <w:rPr>
                <w:rFonts w:ascii="Arial" w:hAnsi="Arial" w:cs="Arial"/>
                <w:sz w:val="20"/>
                <w:szCs w:val="20"/>
              </w:rPr>
            </w:pPr>
            <w:r>
              <w:rPr>
                <w:rFonts w:ascii="Arial" w:hAnsi="Arial" w:cs="Arial"/>
                <w:sz w:val="20"/>
                <w:szCs w:val="20"/>
              </w:rPr>
              <w:t>50,6</w:t>
            </w:r>
          </w:p>
        </w:tc>
        <w:tc>
          <w:tcPr>
            <w:tcW w:w="432" w:type="pct"/>
            <w:tcBorders>
              <w:bottom w:val="single" w:sz="12" w:space="0" w:color="auto"/>
            </w:tcBorders>
            <w:shd w:val="clear" w:color="auto" w:fill="FFFFFF" w:themeFill="background1"/>
            <w:vAlign w:val="center"/>
          </w:tcPr>
          <w:p w14:paraId="0C37C8ED" w14:textId="77777777" w:rsidR="002D00E1" w:rsidRPr="00FF53DB" w:rsidRDefault="005B780B" w:rsidP="00313BC1">
            <w:pPr>
              <w:spacing w:after="0"/>
              <w:jc w:val="center"/>
              <w:rPr>
                <w:rFonts w:ascii="Arial" w:hAnsi="Arial" w:cs="Arial"/>
                <w:color w:val="1D428A"/>
                <w:sz w:val="20"/>
                <w:szCs w:val="20"/>
              </w:rPr>
            </w:pPr>
            <w:r>
              <w:rPr>
                <w:rFonts w:ascii="Arial" w:hAnsi="Arial" w:cs="Arial"/>
                <w:sz w:val="20"/>
                <w:szCs w:val="20"/>
              </w:rPr>
              <w:t>56,4</w:t>
            </w:r>
          </w:p>
        </w:tc>
        <w:tc>
          <w:tcPr>
            <w:tcW w:w="487" w:type="pct"/>
            <w:tcBorders>
              <w:bottom w:val="single" w:sz="12" w:space="0" w:color="auto"/>
            </w:tcBorders>
            <w:shd w:val="clear" w:color="auto" w:fill="D9D9D9" w:themeFill="background1" w:themeFillShade="D9"/>
            <w:vAlign w:val="center"/>
          </w:tcPr>
          <w:p w14:paraId="5323F24E" w14:textId="77777777" w:rsidR="002D00E1" w:rsidRPr="00FF53DB" w:rsidRDefault="005B780B" w:rsidP="00313BC1">
            <w:pPr>
              <w:spacing w:after="0"/>
              <w:jc w:val="center"/>
              <w:rPr>
                <w:rFonts w:ascii="Arial" w:hAnsi="Arial" w:cs="Arial"/>
                <w:color w:val="1D428A"/>
                <w:sz w:val="20"/>
                <w:szCs w:val="20"/>
              </w:rPr>
            </w:pPr>
            <w:r>
              <w:rPr>
                <w:rFonts w:ascii="Arial" w:hAnsi="Arial" w:cs="Arial"/>
                <w:color w:val="1D428A"/>
                <w:sz w:val="20"/>
                <w:szCs w:val="20"/>
              </w:rPr>
              <w:t>61,0</w:t>
            </w:r>
          </w:p>
        </w:tc>
        <w:tc>
          <w:tcPr>
            <w:tcW w:w="487" w:type="pct"/>
            <w:tcBorders>
              <w:bottom w:val="single" w:sz="12" w:space="0" w:color="auto"/>
            </w:tcBorders>
            <w:shd w:val="clear" w:color="auto" w:fill="D9D9D9" w:themeFill="background1" w:themeFillShade="D9"/>
            <w:vAlign w:val="center"/>
          </w:tcPr>
          <w:p w14:paraId="25137BBF" w14:textId="77777777" w:rsidR="002D00E1" w:rsidRPr="00FF53DB" w:rsidRDefault="005B780B" w:rsidP="00313BC1">
            <w:pPr>
              <w:spacing w:after="0"/>
              <w:jc w:val="center"/>
              <w:rPr>
                <w:rFonts w:ascii="Arial" w:hAnsi="Arial" w:cs="Arial"/>
                <w:color w:val="1D428A"/>
                <w:sz w:val="20"/>
                <w:szCs w:val="20"/>
              </w:rPr>
            </w:pPr>
            <w:r>
              <w:rPr>
                <w:rFonts w:ascii="Arial" w:hAnsi="Arial" w:cs="Arial"/>
                <w:color w:val="1D428A"/>
                <w:sz w:val="20"/>
                <w:szCs w:val="20"/>
              </w:rPr>
              <w:t>64,8</w:t>
            </w:r>
          </w:p>
        </w:tc>
        <w:tc>
          <w:tcPr>
            <w:tcW w:w="484" w:type="pct"/>
            <w:tcBorders>
              <w:bottom w:val="single" w:sz="12" w:space="0" w:color="auto"/>
              <w:right w:val="single" w:sz="12" w:space="0" w:color="auto"/>
            </w:tcBorders>
            <w:shd w:val="clear" w:color="auto" w:fill="D9D9D9" w:themeFill="background1" w:themeFillShade="D9"/>
            <w:vAlign w:val="center"/>
          </w:tcPr>
          <w:p w14:paraId="777F06F4" w14:textId="77777777" w:rsidR="002D00E1" w:rsidRPr="00FF53DB" w:rsidRDefault="005B780B" w:rsidP="00313BC1">
            <w:pPr>
              <w:spacing w:after="0"/>
              <w:jc w:val="center"/>
              <w:rPr>
                <w:rFonts w:ascii="Arial" w:hAnsi="Arial" w:cs="Arial"/>
                <w:color w:val="1D428A"/>
                <w:sz w:val="20"/>
                <w:szCs w:val="20"/>
              </w:rPr>
            </w:pPr>
            <w:r>
              <w:rPr>
                <w:rFonts w:ascii="Arial" w:hAnsi="Arial" w:cs="Arial"/>
                <w:color w:val="1D428A"/>
                <w:sz w:val="20"/>
                <w:szCs w:val="20"/>
              </w:rPr>
              <w:t>69,4</w:t>
            </w:r>
          </w:p>
        </w:tc>
      </w:tr>
      <w:tr w:rsidR="002D00E1" w:rsidRPr="00DF3958" w14:paraId="153EC5CE" w14:textId="77777777" w:rsidTr="00313BC1">
        <w:trPr>
          <w:cantSplit/>
          <w:trHeight w:val="278"/>
        </w:trPr>
        <w:tc>
          <w:tcPr>
            <w:tcW w:w="1814" w:type="pct"/>
            <w:tcBorders>
              <w:top w:val="single" w:sz="12" w:space="0" w:color="auto"/>
              <w:left w:val="single" w:sz="12" w:space="0" w:color="auto"/>
              <w:bottom w:val="single" w:sz="4" w:space="0" w:color="auto"/>
            </w:tcBorders>
            <w:shd w:val="clear" w:color="auto" w:fill="auto"/>
            <w:vAlign w:val="center"/>
          </w:tcPr>
          <w:p w14:paraId="6C844D1B" w14:textId="77777777" w:rsidR="002D00E1" w:rsidRPr="00FF53DB" w:rsidRDefault="002D00E1" w:rsidP="00313BC1">
            <w:pPr>
              <w:spacing w:after="0"/>
              <w:rPr>
                <w:rFonts w:ascii="Arial" w:hAnsi="Arial" w:cs="Arial"/>
                <w:b/>
                <w:sz w:val="20"/>
                <w:szCs w:val="20"/>
              </w:rPr>
            </w:pPr>
            <w:r w:rsidRPr="00FF53DB">
              <w:rPr>
                <w:rFonts w:ascii="Arial" w:hAnsi="Arial" w:cs="Arial"/>
                <w:b/>
                <w:sz w:val="20"/>
                <w:szCs w:val="20"/>
              </w:rPr>
              <w:t>ÁHT egyenleg ESA-95, GDP %-a</w:t>
            </w:r>
          </w:p>
        </w:tc>
        <w:tc>
          <w:tcPr>
            <w:tcW w:w="432" w:type="pct"/>
            <w:tcBorders>
              <w:top w:val="single" w:sz="12" w:space="0" w:color="auto"/>
              <w:bottom w:val="single" w:sz="4" w:space="0" w:color="auto"/>
            </w:tcBorders>
            <w:shd w:val="clear" w:color="auto" w:fill="auto"/>
            <w:vAlign w:val="center"/>
          </w:tcPr>
          <w:p w14:paraId="2A8EFA73"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-2,4</w:t>
            </w:r>
          </w:p>
        </w:tc>
        <w:tc>
          <w:tcPr>
            <w:tcW w:w="432" w:type="pct"/>
            <w:tcBorders>
              <w:top w:val="single" w:sz="12" w:space="0" w:color="auto"/>
              <w:bottom w:val="single" w:sz="4" w:space="0" w:color="auto"/>
            </w:tcBorders>
            <w:shd w:val="clear" w:color="auto" w:fill="auto"/>
            <w:vAlign w:val="center"/>
          </w:tcPr>
          <w:p w14:paraId="4A2AC825"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-2,1</w:t>
            </w:r>
          </w:p>
        </w:tc>
        <w:tc>
          <w:tcPr>
            <w:tcW w:w="432" w:type="pct"/>
            <w:tcBorders>
              <w:top w:val="single" w:sz="12" w:space="0" w:color="auto"/>
              <w:bottom w:val="single" w:sz="4" w:space="0" w:color="auto"/>
            </w:tcBorders>
            <w:shd w:val="clear" w:color="auto" w:fill="auto"/>
            <w:vAlign w:val="center"/>
          </w:tcPr>
          <w:p w14:paraId="664D2063" w14:textId="77777777" w:rsidR="002D00E1" w:rsidRPr="00FF53DB" w:rsidRDefault="00490EC7" w:rsidP="00313BC1">
            <w:pPr>
              <w:spacing w:after="0"/>
              <w:jc w:val="center"/>
              <w:rPr>
                <w:rFonts w:ascii="Arial" w:hAnsi="Arial" w:cs="Arial"/>
                <w:sz w:val="20"/>
                <w:szCs w:val="20"/>
              </w:rPr>
            </w:pPr>
            <w:r>
              <w:rPr>
                <w:rFonts w:ascii="Arial" w:hAnsi="Arial" w:cs="Arial"/>
                <w:sz w:val="20"/>
                <w:szCs w:val="20"/>
              </w:rPr>
              <w:t>-2,1</w:t>
            </w:r>
          </w:p>
        </w:tc>
        <w:tc>
          <w:tcPr>
            <w:tcW w:w="432" w:type="pct"/>
            <w:tcBorders>
              <w:top w:val="single" w:sz="12" w:space="0" w:color="auto"/>
              <w:bottom w:val="single" w:sz="4" w:space="0" w:color="auto"/>
            </w:tcBorders>
            <w:shd w:val="clear" w:color="auto" w:fill="FFFFFF" w:themeFill="background1"/>
            <w:vAlign w:val="center"/>
          </w:tcPr>
          <w:p w14:paraId="37E053DA" w14:textId="77777777" w:rsidR="002D00E1" w:rsidRPr="002752AF" w:rsidRDefault="00490EC7" w:rsidP="00313BC1">
            <w:pPr>
              <w:spacing w:after="0"/>
              <w:jc w:val="center"/>
              <w:rPr>
                <w:rFonts w:ascii="Arial" w:hAnsi="Arial" w:cs="Arial"/>
                <w:sz w:val="20"/>
                <w:szCs w:val="20"/>
              </w:rPr>
            </w:pPr>
            <w:r w:rsidRPr="002752AF">
              <w:rPr>
                <w:rFonts w:ascii="Arial" w:hAnsi="Arial" w:cs="Arial"/>
                <w:sz w:val="20"/>
                <w:szCs w:val="20"/>
              </w:rPr>
              <w:t>-8,1</w:t>
            </w:r>
          </w:p>
        </w:tc>
        <w:tc>
          <w:tcPr>
            <w:tcW w:w="487" w:type="pct"/>
            <w:tcBorders>
              <w:top w:val="single" w:sz="12" w:space="0" w:color="auto"/>
              <w:bottom w:val="single" w:sz="4" w:space="0" w:color="auto"/>
            </w:tcBorders>
            <w:shd w:val="clear" w:color="auto" w:fill="D9D9D9" w:themeFill="background1" w:themeFillShade="D9"/>
            <w:vAlign w:val="center"/>
          </w:tcPr>
          <w:p w14:paraId="33FD9C86" w14:textId="77777777" w:rsidR="002D00E1" w:rsidRPr="00FF53DB" w:rsidRDefault="006A68E0" w:rsidP="002323B4">
            <w:pPr>
              <w:spacing w:after="0"/>
              <w:jc w:val="center"/>
              <w:rPr>
                <w:rFonts w:ascii="Arial" w:hAnsi="Arial" w:cs="Arial"/>
                <w:color w:val="1D428A"/>
                <w:sz w:val="20"/>
                <w:szCs w:val="20"/>
              </w:rPr>
            </w:pPr>
            <w:r>
              <w:rPr>
                <w:rFonts w:ascii="Arial" w:hAnsi="Arial" w:cs="Arial"/>
                <w:color w:val="1D428A"/>
                <w:sz w:val="20"/>
                <w:szCs w:val="20"/>
              </w:rPr>
              <w:t>-</w:t>
            </w:r>
            <w:r w:rsidR="005B42EC">
              <w:rPr>
                <w:rFonts w:ascii="Arial" w:hAnsi="Arial" w:cs="Arial"/>
                <w:color w:val="1D428A"/>
                <w:sz w:val="20"/>
                <w:szCs w:val="20"/>
              </w:rPr>
              <w:t>7,4</w:t>
            </w:r>
          </w:p>
        </w:tc>
        <w:tc>
          <w:tcPr>
            <w:tcW w:w="487" w:type="pct"/>
            <w:tcBorders>
              <w:top w:val="single" w:sz="12" w:space="0" w:color="auto"/>
              <w:bottom w:val="single" w:sz="4" w:space="0" w:color="auto"/>
            </w:tcBorders>
            <w:shd w:val="clear" w:color="auto" w:fill="D9D9D9" w:themeFill="background1" w:themeFillShade="D9"/>
            <w:vAlign w:val="center"/>
          </w:tcPr>
          <w:p w14:paraId="236AA1B7" w14:textId="77777777" w:rsidR="002D00E1" w:rsidRPr="00FF53DB" w:rsidRDefault="002D00E1" w:rsidP="005B42EC">
            <w:pPr>
              <w:spacing w:after="0"/>
              <w:jc w:val="center"/>
              <w:rPr>
                <w:rFonts w:ascii="Arial" w:hAnsi="Arial" w:cs="Arial"/>
                <w:color w:val="1D428A"/>
                <w:sz w:val="20"/>
                <w:szCs w:val="20"/>
              </w:rPr>
            </w:pPr>
            <w:r w:rsidRPr="00FF53DB">
              <w:rPr>
                <w:rFonts w:ascii="Arial" w:hAnsi="Arial" w:cs="Arial"/>
                <w:color w:val="1D428A"/>
                <w:sz w:val="20"/>
                <w:szCs w:val="20"/>
              </w:rPr>
              <w:t>-</w:t>
            </w:r>
            <w:r w:rsidR="005B42EC">
              <w:rPr>
                <w:rFonts w:ascii="Arial" w:hAnsi="Arial" w:cs="Arial"/>
                <w:color w:val="1D428A"/>
                <w:sz w:val="20"/>
                <w:szCs w:val="20"/>
              </w:rPr>
              <w:t>4,8</w:t>
            </w:r>
          </w:p>
        </w:tc>
        <w:tc>
          <w:tcPr>
            <w:tcW w:w="484" w:type="pct"/>
            <w:tcBorders>
              <w:top w:val="single" w:sz="12" w:space="0" w:color="auto"/>
              <w:bottom w:val="single" w:sz="4" w:space="0" w:color="auto"/>
              <w:right w:val="single" w:sz="12" w:space="0" w:color="auto"/>
            </w:tcBorders>
            <w:shd w:val="clear" w:color="auto" w:fill="D9D9D9" w:themeFill="background1" w:themeFillShade="D9"/>
            <w:vAlign w:val="center"/>
          </w:tcPr>
          <w:p w14:paraId="4CCAA593" w14:textId="77777777" w:rsidR="002D00E1" w:rsidRPr="00FF53DB" w:rsidRDefault="006B6780" w:rsidP="00313BC1">
            <w:pPr>
              <w:spacing w:after="0"/>
              <w:jc w:val="center"/>
              <w:rPr>
                <w:rFonts w:ascii="Arial" w:hAnsi="Arial" w:cs="Arial"/>
                <w:color w:val="1D428A"/>
                <w:sz w:val="20"/>
                <w:szCs w:val="20"/>
              </w:rPr>
            </w:pPr>
            <w:r>
              <w:rPr>
                <w:rFonts w:ascii="Arial" w:hAnsi="Arial" w:cs="Arial"/>
                <w:color w:val="1D428A"/>
                <w:sz w:val="20"/>
                <w:szCs w:val="20"/>
              </w:rPr>
              <w:t>-</w:t>
            </w:r>
            <w:r w:rsidR="005B42EC">
              <w:rPr>
                <w:rFonts w:ascii="Arial" w:hAnsi="Arial" w:cs="Arial"/>
                <w:color w:val="1D428A"/>
                <w:sz w:val="20"/>
                <w:szCs w:val="20"/>
              </w:rPr>
              <w:t>3,3</w:t>
            </w:r>
          </w:p>
        </w:tc>
      </w:tr>
      <w:tr w:rsidR="002D00E1" w:rsidRPr="00DF3958" w14:paraId="300FBBD8" w14:textId="77777777" w:rsidTr="00313BC1">
        <w:trPr>
          <w:cantSplit/>
          <w:trHeight w:val="278"/>
        </w:trPr>
        <w:tc>
          <w:tcPr>
            <w:tcW w:w="1814" w:type="pct"/>
            <w:tcBorders>
              <w:left w:val="single" w:sz="12" w:space="0" w:color="auto"/>
              <w:bottom w:val="single" w:sz="12" w:space="0" w:color="auto"/>
            </w:tcBorders>
            <w:shd w:val="clear" w:color="auto" w:fill="auto"/>
            <w:vAlign w:val="center"/>
          </w:tcPr>
          <w:p w14:paraId="24373BAA" w14:textId="77777777" w:rsidR="002D00E1" w:rsidRPr="00FF53DB" w:rsidRDefault="002D00E1" w:rsidP="00313BC1">
            <w:pPr>
              <w:spacing w:after="0"/>
              <w:rPr>
                <w:rFonts w:ascii="Arial" w:hAnsi="Arial" w:cs="Arial"/>
                <w:b/>
                <w:sz w:val="20"/>
                <w:szCs w:val="20"/>
                <w:highlight w:val="yellow"/>
              </w:rPr>
            </w:pPr>
            <w:r w:rsidRPr="00FF53DB">
              <w:rPr>
                <w:rFonts w:ascii="Arial" w:hAnsi="Arial" w:cs="Arial"/>
                <w:b/>
                <w:sz w:val="20"/>
                <w:szCs w:val="20"/>
              </w:rPr>
              <w:t>Bruttó államadósság, GDP %-a</w:t>
            </w:r>
          </w:p>
        </w:tc>
        <w:tc>
          <w:tcPr>
            <w:tcW w:w="432" w:type="pct"/>
            <w:tcBorders>
              <w:bottom w:val="single" w:sz="12" w:space="0" w:color="auto"/>
            </w:tcBorders>
            <w:shd w:val="clear" w:color="auto" w:fill="auto"/>
            <w:vAlign w:val="center"/>
          </w:tcPr>
          <w:p w14:paraId="75F8BBB3" w14:textId="77777777" w:rsidR="002D00E1" w:rsidRPr="00FF53DB" w:rsidRDefault="000E1AB0" w:rsidP="00313BC1">
            <w:pPr>
              <w:spacing w:after="0"/>
              <w:jc w:val="center"/>
              <w:rPr>
                <w:rFonts w:ascii="Arial" w:hAnsi="Arial" w:cs="Arial"/>
                <w:sz w:val="20"/>
                <w:szCs w:val="20"/>
              </w:rPr>
            </w:pPr>
            <w:r>
              <w:rPr>
                <w:rFonts w:ascii="Arial" w:hAnsi="Arial" w:cs="Arial"/>
                <w:sz w:val="20"/>
                <w:szCs w:val="20"/>
              </w:rPr>
              <w:t>72,1</w:t>
            </w:r>
          </w:p>
        </w:tc>
        <w:tc>
          <w:tcPr>
            <w:tcW w:w="432" w:type="pct"/>
            <w:tcBorders>
              <w:bottom w:val="single" w:sz="12" w:space="0" w:color="auto"/>
            </w:tcBorders>
            <w:shd w:val="clear" w:color="auto" w:fill="auto"/>
            <w:vAlign w:val="center"/>
          </w:tcPr>
          <w:p w14:paraId="6245C526"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69,1</w:t>
            </w:r>
          </w:p>
        </w:tc>
        <w:tc>
          <w:tcPr>
            <w:tcW w:w="432" w:type="pct"/>
            <w:tcBorders>
              <w:bottom w:val="single" w:sz="12" w:space="0" w:color="auto"/>
            </w:tcBorders>
            <w:shd w:val="clear" w:color="auto" w:fill="auto"/>
            <w:vAlign w:val="center"/>
          </w:tcPr>
          <w:p w14:paraId="29A93E37" w14:textId="77777777" w:rsidR="002D00E1" w:rsidRPr="00FF53DB" w:rsidRDefault="002752AF" w:rsidP="00313BC1">
            <w:pPr>
              <w:spacing w:after="0"/>
              <w:jc w:val="center"/>
              <w:rPr>
                <w:rFonts w:ascii="Arial" w:hAnsi="Arial" w:cs="Arial"/>
                <w:sz w:val="20"/>
                <w:szCs w:val="20"/>
              </w:rPr>
            </w:pPr>
            <w:r>
              <w:rPr>
                <w:rFonts w:ascii="Arial" w:hAnsi="Arial" w:cs="Arial"/>
                <w:sz w:val="20"/>
                <w:szCs w:val="20"/>
              </w:rPr>
              <w:t>65,5</w:t>
            </w:r>
          </w:p>
        </w:tc>
        <w:tc>
          <w:tcPr>
            <w:tcW w:w="432" w:type="pct"/>
            <w:tcBorders>
              <w:bottom w:val="single" w:sz="12" w:space="0" w:color="auto"/>
            </w:tcBorders>
            <w:shd w:val="clear" w:color="auto" w:fill="FFFFFF" w:themeFill="background1"/>
            <w:vAlign w:val="center"/>
          </w:tcPr>
          <w:p w14:paraId="5CC47DAC" w14:textId="77777777" w:rsidR="002D00E1" w:rsidRPr="002752AF" w:rsidRDefault="005B42EC" w:rsidP="00313BC1">
            <w:pPr>
              <w:spacing w:after="0"/>
              <w:jc w:val="center"/>
              <w:rPr>
                <w:rFonts w:ascii="Arial" w:hAnsi="Arial" w:cs="Arial"/>
                <w:sz w:val="20"/>
                <w:szCs w:val="20"/>
              </w:rPr>
            </w:pPr>
            <w:r>
              <w:rPr>
                <w:rFonts w:ascii="Arial" w:hAnsi="Arial" w:cs="Arial"/>
                <w:sz w:val="20"/>
                <w:szCs w:val="20"/>
              </w:rPr>
              <w:t>80,0</w:t>
            </w:r>
          </w:p>
        </w:tc>
        <w:tc>
          <w:tcPr>
            <w:tcW w:w="487" w:type="pct"/>
            <w:tcBorders>
              <w:bottom w:val="single" w:sz="12" w:space="0" w:color="auto"/>
            </w:tcBorders>
            <w:shd w:val="clear" w:color="auto" w:fill="D9D9D9" w:themeFill="background1" w:themeFillShade="D9"/>
            <w:vAlign w:val="center"/>
          </w:tcPr>
          <w:p w14:paraId="79162A70" w14:textId="77777777" w:rsidR="002D00E1" w:rsidRPr="00FF53DB" w:rsidRDefault="005B42EC" w:rsidP="00313BC1">
            <w:pPr>
              <w:spacing w:after="0"/>
              <w:jc w:val="center"/>
              <w:rPr>
                <w:rFonts w:ascii="Arial" w:hAnsi="Arial" w:cs="Arial"/>
                <w:color w:val="1D428A"/>
                <w:sz w:val="20"/>
                <w:szCs w:val="20"/>
              </w:rPr>
            </w:pPr>
            <w:r>
              <w:rPr>
                <w:rFonts w:ascii="Arial" w:hAnsi="Arial" w:cs="Arial"/>
                <w:color w:val="1D428A"/>
                <w:sz w:val="20"/>
                <w:szCs w:val="20"/>
              </w:rPr>
              <w:t>78,2</w:t>
            </w:r>
          </w:p>
        </w:tc>
        <w:tc>
          <w:tcPr>
            <w:tcW w:w="487" w:type="pct"/>
            <w:tcBorders>
              <w:bottom w:val="single" w:sz="12" w:space="0" w:color="auto"/>
            </w:tcBorders>
            <w:shd w:val="clear" w:color="auto" w:fill="D9D9D9" w:themeFill="background1" w:themeFillShade="D9"/>
            <w:vAlign w:val="center"/>
          </w:tcPr>
          <w:p w14:paraId="62670DA9" w14:textId="77777777" w:rsidR="002D00E1" w:rsidRPr="00FF53DB" w:rsidRDefault="005B42EC" w:rsidP="00313BC1">
            <w:pPr>
              <w:spacing w:after="0"/>
              <w:jc w:val="center"/>
              <w:rPr>
                <w:rFonts w:ascii="Arial" w:hAnsi="Arial" w:cs="Arial"/>
                <w:color w:val="1D428A"/>
                <w:sz w:val="20"/>
                <w:szCs w:val="20"/>
              </w:rPr>
            </w:pPr>
            <w:r>
              <w:rPr>
                <w:rFonts w:ascii="Arial" w:hAnsi="Arial" w:cs="Arial"/>
                <w:color w:val="1D428A"/>
                <w:sz w:val="20"/>
                <w:szCs w:val="20"/>
              </w:rPr>
              <w:t>74,8</w:t>
            </w:r>
          </w:p>
        </w:tc>
        <w:tc>
          <w:tcPr>
            <w:tcW w:w="484" w:type="pct"/>
            <w:tcBorders>
              <w:bottom w:val="single" w:sz="12" w:space="0" w:color="auto"/>
              <w:right w:val="single" w:sz="12" w:space="0" w:color="auto"/>
            </w:tcBorders>
            <w:shd w:val="clear" w:color="auto" w:fill="D9D9D9" w:themeFill="background1" w:themeFillShade="D9"/>
            <w:vAlign w:val="center"/>
          </w:tcPr>
          <w:p w14:paraId="2683F9B7" w14:textId="77777777" w:rsidR="002D00E1" w:rsidRPr="00FF53DB" w:rsidRDefault="005B42EC" w:rsidP="00313BC1">
            <w:pPr>
              <w:spacing w:after="0"/>
              <w:jc w:val="center"/>
              <w:rPr>
                <w:rFonts w:ascii="Arial" w:hAnsi="Arial" w:cs="Arial"/>
                <w:color w:val="1D428A"/>
                <w:sz w:val="20"/>
                <w:szCs w:val="20"/>
              </w:rPr>
            </w:pPr>
            <w:r>
              <w:rPr>
                <w:rFonts w:ascii="Arial" w:hAnsi="Arial" w:cs="Arial"/>
                <w:color w:val="1D428A"/>
                <w:sz w:val="20"/>
                <w:szCs w:val="20"/>
              </w:rPr>
              <w:t>71,9</w:t>
            </w:r>
          </w:p>
        </w:tc>
      </w:tr>
      <w:tr w:rsidR="002D00E1" w:rsidRPr="00DF3958" w14:paraId="440E1331" w14:textId="77777777" w:rsidTr="00313BC1">
        <w:trPr>
          <w:cantSplit/>
          <w:trHeight w:val="278"/>
        </w:trPr>
        <w:tc>
          <w:tcPr>
            <w:tcW w:w="1814" w:type="pct"/>
            <w:tcBorders>
              <w:top w:val="single" w:sz="12" w:space="0" w:color="auto"/>
              <w:left w:val="single" w:sz="12" w:space="0" w:color="auto"/>
            </w:tcBorders>
            <w:shd w:val="clear" w:color="auto" w:fill="auto"/>
            <w:vAlign w:val="center"/>
          </w:tcPr>
          <w:p w14:paraId="66A6298E" w14:textId="77777777" w:rsidR="002D00E1" w:rsidRPr="00FF53DB" w:rsidRDefault="002D00E1" w:rsidP="00313BC1">
            <w:pPr>
              <w:spacing w:after="0"/>
              <w:rPr>
                <w:rFonts w:ascii="Arial" w:hAnsi="Arial" w:cs="Arial"/>
                <w:b/>
                <w:sz w:val="20"/>
                <w:szCs w:val="20"/>
              </w:rPr>
            </w:pPr>
            <w:r w:rsidRPr="00FF53DB">
              <w:rPr>
                <w:rFonts w:ascii="Arial" w:hAnsi="Arial" w:cs="Arial"/>
                <w:b/>
                <w:sz w:val="20"/>
                <w:szCs w:val="20"/>
              </w:rPr>
              <w:t>Folyó fizetési mérleg, GDP %-a</w:t>
            </w:r>
          </w:p>
        </w:tc>
        <w:tc>
          <w:tcPr>
            <w:tcW w:w="432" w:type="pct"/>
            <w:tcBorders>
              <w:top w:val="single" w:sz="12" w:space="0" w:color="auto"/>
            </w:tcBorders>
            <w:shd w:val="clear" w:color="auto" w:fill="auto"/>
            <w:vAlign w:val="center"/>
          </w:tcPr>
          <w:p w14:paraId="0F950F7F"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2,0</w:t>
            </w:r>
          </w:p>
        </w:tc>
        <w:tc>
          <w:tcPr>
            <w:tcW w:w="432" w:type="pct"/>
            <w:tcBorders>
              <w:top w:val="single" w:sz="12" w:space="0" w:color="auto"/>
            </w:tcBorders>
            <w:shd w:val="clear" w:color="auto" w:fill="auto"/>
            <w:vAlign w:val="center"/>
          </w:tcPr>
          <w:p w14:paraId="6480259F" w14:textId="77777777" w:rsidR="002D00E1" w:rsidRPr="00FF53DB" w:rsidRDefault="000011DC" w:rsidP="00313BC1">
            <w:pPr>
              <w:spacing w:after="0"/>
              <w:jc w:val="center"/>
              <w:rPr>
                <w:rFonts w:ascii="Arial" w:hAnsi="Arial" w:cs="Arial"/>
                <w:sz w:val="20"/>
                <w:szCs w:val="20"/>
              </w:rPr>
            </w:pPr>
            <w:r>
              <w:rPr>
                <w:rFonts w:ascii="Arial" w:hAnsi="Arial" w:cs="Arial"/>
                <w:sz w:val="20"/>
                <w:szCs w:val="20"/>
              </w:rPr>
              <w:t>0,2</w:t>
            </w:r>
          </w:p>
        </w:tc>
        <w:tc>
          <w:tcPr>
            <w:tcW w:w="432" w:type="pct"/>
            <w:tcBorders>
              <w:top w:val="single" w:sz="12" w:space="0" w:color="auto"/>
            </w:tcBorders>
            <w:shd w:val="clear" w:color="auto" w:fill="auto"/>
            <w:vAlign w:val="center"/>
          </w:tcPr>
          <w:p w14:paraId="23301E3A" w14:textId="77777777" w:rsidR="002D00E1" w:rsidRPr="00FF53DB" w:rsidRDefault="000011DC" w:rsidP="00313BC1">
            <w:pPr>
              <w:spacing w:after="0"/>
              <w:jc w:val="center"/>
              <w:rPr>
                <w:rFonts w:ascii="Arial" w:hAnsi="Arial" w:cs="Arial"/>
                <w:sz w:val="20"/>
                <w:szCs w:val="20"/>
              </w:rPr>
            </w:pPr>
            <w:r>
              <w:rPr>
                <w:rFonts w:ascii="Arial" w:hAnsi="Arial" w:cs="Arial"/>
                <w:sz w:val="20"/>
                <w:szCs w:val="20"/>
              </w:rPr>
              <w:t>-0,7</w:t>
            </w:r>
          </w:p>
        </w:tc>
        <w:tc>
          <w:tcPr>
            <w:tcW w:w="432" w:type="pct"/>
            <w:tcBorders>
              <w:top w:val="single" w:sz="12" w:space="0" w:color="auto"/>
            </w:tcBorders>
            <w:shd w:val="clear" w:color="auto" w:fill="FFFFFF" w:themeFill="background1"/>
            <w:vAlign w:val="center"/>
          </w:tcPr>
          <w:p w14:paraId="08046C44" w14:textId="77777777" w:rsidR="002D00E1" w:rsidRPr="001F2A5F" w:rsidRDefault="00A9751C" w:rsidP="00313BC1">
            <w:pPr>
              <w:spacing w:after="0"/>
              <w:jc w:val="center"/>
              <w:rPr>
                <w:rFonts w:ascii="Arial" w:hAnsi="Arial" w:cs="Arial"/>
                <w:sz w:val="20"/>
                <w:szCs w:val="20"/>
              </w:rPr>
            </w:pPr>
            <w:r>
              <w:rPr>
                <w:rFonts w:ascii="Arial" w:hAnsi="Arial" w:cs="Arial"/>
                <w:sz w:val="20"/>
                <w:szCs w:val="20"/>
              </w:rPr>
              <w:t>-</w:t>
            </w:r>
            <w:r w:rsidR="000011DC">
              <w:rPr>
                <w:rFonts w:ascii="Arial" w:hAnsi="Arial" w:cs="Arial"/>
                <w:sz w:val="20"/>
                <w:szCs w:val="20"/>
              </w:rPr>
              <w:t>1,6</w:t>
            </w:r>
          </w:p>
        </w:tc>
        <w:tc>
          <w:tcPr>
            <w:tcW w:w="487" w:type="pct"/>
            <w:tcBorders>
              <w:top w:val="single" w:sz="12" w:space="0" w:color="auto"/>
            </w:tcBorders>
            <w:shd w:val="clear" w:color="auto" w:fill="D9D9D9" w:themeFill="background1" w:themeFillShade="D9"/>
            <w:vAlign w:val="center"/>
          </w:tcPr>
          <w:p w14:paraId="2CBA3456" w14:textId="77777777" w:rsidR="002D00E1" w:rsidRPr="00FF53DB" w:rsidRDefault="000011DC" w:rsidP="005B42EC">
            <w:pPr>
              <w:spacing w:after="0"/>
              <w:jc w:val="center"/>
              <w:rPr>
                <w:rFonts w:ascii="Arial" w:hAnsi="Arial" w:cs="Arial"/>
                <w:color w:val="1D428A"/>
                <w:sz w:val="20"/>
                <w:szCs w:val="20"/>
              </w:rPr>
            </w:pPr>
            <w:r>
              <w:rPr>
                <w:rFonts w:ascii="Arial" w:hAnsi="Arial" w:cs="Arial"/>
                <w:color w:val="1D428A"/>
                <w:sz w:val="20"/>
                <w:szCs w:val="20"/>
              </w:rPr>
              <w:t>-</w:t>
            </w:r>
            <w:r w:rsidR="005B42EC">
              <w:rPr>
                <w:rFonts w:ascii="Arial" w:hAnsi="Arial" w:cs="Arial"/>
                <w:color w:val="1D428A"/>
                <w:sz w:val="20"/>
                <w:szCs w:val="20"/>
              </w:rPr>
              <w:t>2,9</w:t>
            </w:r>
          </w:p>
        </w:tc>
        <w:tc>
          <w:tcPr>
            <w:tcW w:w="487" w:type="pct"/>
            <w:tcBorders>
              <w:top w:val="single" w:sz="12" w:space="0" w:color="auto"/>
            </w:tcBorders>
            <w:shd w:val="clear" w:color="auto" w:fill="D9D9D9" w:themeFill="background1" w:themeFillShade="D9"/>
            <w:vAlign w:val="center"/>
          </w:tcPr>
          <w:p w14:paraId="7E769397" w14:textId="77777777" w:rsidR="002D00E1" w:rsidRPr="00FF53DB" w:rsidRDefault="005B42EC" w:rsidP="00313BC1">
            <w:pPr>
              <w:spacing w:after="0"/>
              <w:jc w:val="center"/>
              <w:rPr>
                <w:rFonts w:ascii="Arial" w:hAnsi="Arial" w:cs="Arial"/>
                <w:color w:val="1D428A"/>
                <w:sz w:val="20"/>
                <w:szCs w:val="20"/>
              </w:rPr>
            </w:pPr>
            <w:r>
              <w:rPr>
                <w:rFonts w:ascii="Arial" w:hAnsi="Arial" w:cs="Arial"/>
                <w:color w:val="1D428A"/>
                <w:sz w:val="20"/>
                <w:szCs w:val="20"/>
              </w:rPr>
              <w:t>-1,3</w:t>
            </w:r>
          </w:p>
        </w:tc>
        <w:tc>
          <w:tcPr>
            <w:tcW w:w="484" w:type="pct"/>
            <w:tcBorders>
              <w:top w:val="single" w:sz="12" w:space="0" w:color="auto"/>
              <w:right w:val="single" w:sz="12" w:space="0" w:color="auto"/>
            </w:tcBorders>
            <w:shd w:val="clear" w:color="auto" w:fill="D9D9D9" w:themeFill="background1" w:themeFillShade="D9"/>
            <w:vAlign w:val="center"/>
          </w:tcPr>
          <w:p w14:paraId="26090B95" w14:textId="77777777" w:rsidR="002D00E1" w:rsidRPr="00FF53DB" w:rsidRDefault="005B42EC" w:rsidP="00313BC1">
            <w:pPr>
              <w:spacing w:after="0"/>
              <w:jc w:val="center"/>
              <w:rPr>
                <w:rFonts w:ascii="Arial" w:hAnsi="Arial" w:cs="Arial"/>
                <w:color w:val="1D428A"/>
                <w:sz w:val="20"/>
                <w:szCs w:val="20"/>
              </w:rPr>
            </w:pPr>
            <w:r>
              <w:rPr>
                <w:rFonts w:ascii="Arial" w:hAnsi="Arial" w:cs="Arial"/>
                <w:color w:val="1D428A"/>
                <w:sz w:val="20"/>
                <w:szCs w:val="20"/>
              </w:rPr>
              <w:t>-0,5</w:t>
            </w:r>
          </w:p>
        </w:tc>
      </w:tr>
      <w:tr w:rsidR="002D00E1" w:rsidRPr="00DF3958" w14:paraId="4F26A0A8" w14:textId="77777777" w:rsidTr="00313BC1">
        <w:trPr>
          <w:cantSplit/>
          <w:trHeight w:val="278"/>
        </w:trPr>
        <w:tc>
          <w:tcPr>
            <w:tcW w:w="1814" w:type="pct"/>
            <w:tcBorders>
              <w:left w:val="single" w:sz="12" w:space="0" w:color="auto"/>
            </w:tcBorders>
            <w:shd w:val="clear" w:color="auto" w:fill="auto"/>
            <w:vAlign w:val="center"/>
          </w:tcPr>
          <w:p w14:paraId="6B032440" w14:textId="77777777" w:rsidR="002D00E1" w:rsidRPr="00FF53DB" w:rsidRDefault="002D00E1" w:rsidP="00313BC1">
            <w:pPr>
              <w:spacing w:after="0"/>
              <w:rPr>
                <w:rFonts w:ascii="Arial" w:hAnsi="Arial" w:cs="Arial"/>
                <w:b/>
                <w:sz w:val="20"/>
                <w:szCs w:val="20"/>
              </w:rPr>
            </w:pPr>
            <w:r w:rsidRPr="00FF53DB">
              <w:rPr>
                <w:rFonts w:ascii="Arial" w:hAnsi="Arial" w:cs="Arial"/>
                <w:b/>
                <w:sz w:val="20"/>
                <w:szCs w:val="20"/>
              </w:rPr>
              <w:t xml:space="preserve">Külső </w:t>
            </w:r>
            <w:proofErr w:type="spellStart"/>
            <w:r w:rsidRPr="00FF53DB">
              <w:rPr>
                <w:rFonts w:ascii="Arial" w:hAnsi="Arial" w:cs="Arial"/>
                <w:b/>
                <w:sz w:val="20"/>
                <w:szCs w:val="20"/>
              </w:rPr>
              <w:t>finansz</w:t>
            </w:r>
            <w:proofErr w:type="spellEnd"/>
            <w:r w:rsidRPr="00FF53DB">
              <w:rPr>
                <w:rFonts w:ascii="Arial" w:hAnsi="Arial" w:cs="Arial"/>
                <w:b/>
                <w:sz w:val="20"/>
                <w:szCs w:val="20"/>
              </w:rPr>
              <w:t>. képesség</w:t>
            </w:r>
            <w:r w:rsidRPr="00FF53DB">
              <w:rPr>
                <w:rFonts w:ascii="Arial" w:hAnsi="Arial" w:cs="Arial"/>
                <w:b/>
                <w:sz w:val="20"/>
                <w:szCs w:val="20"/>
                <w:vertAlign w:val="superscript"/>
              </w:rPr>
              <w:t>*</w:t>
            </w:r>
            <w:r w:rsidRPr="00FF53DB">
              <w:rPr>
                <w:rFonts w:ascii="Arial" w:hAnsi="Arial" w:cs="Arial"/>
                <w:b/>
                <w:sz w:val="20"/>
                <w:szCs w:val="20"/>
              </w:rPr>
              <w:t>, GDP %-a</w:t>
            </w:r>
          </w:p>
        </w:tc>
        <w:tc>
          <w:tcPr>
            <w:tcW w:w="432" w:type="pct"/>
            <w:shd w:val="clear" w:color="auto" w:fill="auto"/>
            <w:vAlign w:val="center"/>
          </w:tcPr>
          <w:p w14:paraId="7292A934" w14:textId="77777777" w:rsidR="002D00E1" w:rsidRPr="00FF53DB" w:rsidRDefault="002D00E1" w:rsidP="00313BC1">
            <w:pPr>
              <w:spacing w:after="0"/>
              <w:jc w:val="center"/>
              <w:rPr>
                <w:rFonts w:ascii="Arial" w:hAnsi="Arial" w:cs="Arial"/>
                <w:sz w:val="20"/>
                <w:szCs w:val="20"/>
              </w:rPr>
            </w:pPr>
            <w:r w:rsidRPr="00FF53DB">
              <w:rPr>
                <w:rFonts w:ascii="Arial" w:hAnsi="Arial" w:cs="Arial"/>
                <w:sz w:val="20"/>
                <w:szCs w:val="20"/>
              </w:rPr>
              <w:t>2,8</w:t>
            </w:r>
          </w:p>
        </w:tc>
        <w:tc>
          <w:tcPr>
            <w:tcW w:w="432" w:type="pct"/>
            <w:shd w:val="clear" w:color="auto" w:fill="auto"/>
            <w:vAlign w:val="center"/>
          </w:tcPr>
          <w:p w14:paraId="7F7216C3" w14:textId="77777777" w:rsidR="002D00E1" w:rsidRPr="00FF53DB" w:rsidRDefault="000011DC" w:rsidP="00313BC1">
            <w:pPr>
              <w:spacing w:after="0"/>
              <w:jc w:val="center"/>
              <w:rPr>
                <w:rFonts w:ascii="Arial" w:hAnsi="Arial" w:cs="Arial"/>
                <w:sz w:val="20"/>
                <w:szCs w:val="20"/>
              </w:rPr>
            </w:pPr>
            <w:r>
              <w:rPr>
                <w:rFonts w:ascii="Arial" w:hAnsi="Arial" w:cs="Arial"/>
                <w:sz w:val="20"/>
                <w:szCs w:val="20"/>
              </w:rPr>
              <w:t>2,4</w:t>
            </w:r>
          </w:p>
        </w:tc>
        <w:tc>
          <w:tcPr>
            <w:tcW w:w="432" w:type="pct"/>
            <w:shd w:val="clear" w:color="auto" w:fill="auto"/>
            <w:vAlign w:val="center"/>
          </w:tcPr>
          <w:p w14:paraId="56E0462D" w14:textId="77777777" w:rsidR="002D00E1" w:rsidRPr="00FF53DB" w:rsidRDefault="000011DC" w:rsidP="00313BC1">
            <w:pPr>
              <w:spacing w:after="0"/>
              <w:jc w:val="center"/>
              <w:rPr>
                <w:rFonts w:ascii="Arial" w:hAnsi="Arial" w:cs="Arial"/>
                <w:sz w:val="20"/>
                <w:szCs w:val="20"/>
              </w:rPr>
            </w:pPr>
            <w:r>
              <w:rPr>
                <w:rFonts w:ascii="Arial" w:hAnsi="Arial" w:cs="Arial"/>
                <w:sz w:val="20"/>
                <w:szCs w:val="20"/>
              </w:rPr>
              <w:t>1,2</w:t>
            </w:r>
          </w:p>
        </w:tc>
        <w:tc>
          <w:tcPr>
            <w:tcW w:w="432" w:type="pct"/>
            <w:shd w:val="clear" w:color="auto" w:fill="FFFFFF" w:themeFill="background1"/>
            <w:vAlign w:val="center"/>
          </w:tcPr>
          <w:p w14:paraId="74F1189E" w14:textId="77777777" w:rsidR="002D00E1" w:rsidRPr="001F2A5F" w:rsidRDefault="000011DC" w:rsidP="00313BC1">
            <w:pPr>
              <w:spacing w:after="0"/>
              <w:jc w:val="center"/>
              <w:rPr>
                <w:rFonts w:ascii="Arial" w:hAnsi="Arial" w:cs="Arial"/>
                <w:sz w:val="20"/>
                <w:szCs w:val="20"/>
              </w:rPr>
            </w:pPr>
            <w:r>
              <w:rPr>
                <w:rFonts w:ascii="Arial" w:hAnsi="Arial" w:cs="Arial"/>
                <w:sz w:val="20"/>
                <w:szCs w:val="20"/>
              </w:rPr>
              <w:t>0,4</w:t>
            </w:r>
          </w:p>
        </w:tc>
        <w:tc>
          <w:tcPr>
            <w:tcW w:w="487" w:type="pct"/>
            <w:shd w:val="clear" w:color="auto" w:fill="D9D9D9" w:themeFill="background1" w:themeFillShade="D9"/>
            <w:vAlign w:val="center"/>
          </w:tcPr>
          <w:p w14:paraId="604A514B" w14:textId="77777777" w:rsidR="002D00E1" w:rsidRPr="00FF53DB" w:rsidRDefault="005B42EC" w:rsidP="00313BC1">
            <w:pPr>
              <w:spacing w:after="0"/>
              <w:jc w:val="center"/>
              <w:rPr>
                <w:rFonts w:ascii="Arial" w:hAnsi="Arial" w:cs="Arial"/>
                <w:color w:val="1D428A"/>
                <w:sz w:val="20"/>
                <w:szCs w:val="20"/>
              </w:rPr>
            </w:pPr>
            <w:r>
              <w:rPr>
                <w:rFonts w:ascii="Arial" w:hAnsi="Arial" w:cs="Arial"/>
                <w:color w:val="1D428A"/>
                <w:sz w:val="20"/>
                <w:szCs w:val="20"/>
              </w:rPr>
              <w:t>-1,4</w:t>
            </w:r>
          </w:p>
        </w:tc>
        <w:tc>
          <w:tcPr>
            <w:tcW w:w="487" w:type="pct"/>
            <w:shd w:val="clear" w:color="auto" w:fill="D9D9D9" w:themeFill="background1" w:themeFillShade="D9"/>
            <w:vAlign w:val="center"/>
          </w:tcPr>
          <w:p w14:paraId="1E1D99AB" w14:textId="77777777" w:rsidR="002D00E1" w:rsidRPr="00FF53DB" w:rsidRDefault="005B42EC" w:rsidP="00313BC1">
            <w:pPr>
              <w:spacing w:after="0"/>
              <w:jc w:val="center"/>
              <w:rPr>
                <w:rFonts w:ascii="Arial" w:hAnsi="Arial" w:cs="Arial"/>
                <w:color w:val="1D428A"/>
                <w:sz w:val="20"/>
                <w:szCs w:val="20"/>
              </w:rPr>
            </w:pPr>
            <w:r>
              <w:rPr>
                <w:rFonts w:ascii="Arial" w:hAnsi="Arial" w:cs="Arial"/>
                <w:color w:val="1D428A"/>
                <w:sz w:val="20"/>
                <w:szCs w:val="20"/>
              </w:rPr>
              <w:t>0,8</w:t>
            </w:r>
          </w:p>
        </w:tc>
        <w:tc>
          <w:tcPr>
            <w:tcW w:w="484" w:type="pct"/>
            <w:tcBorders>
              <w:right w:val="single" w:sz="12" w:space="0" w:color="auto"/>
            </w:tcBorders>
            <w:shd w:val="clear" w:color="auto" w:fill="D9D9D9" w:themeFill="background1" w:themeFillShade="D9"/>
            <w:vAlign w:val="center"/>
          </w:tcPr>
          <w:p w14:paraId="709CEC6A" w14:textId="77777777" w:rsidR="002D00E1" w:rsidRPr="00FF53DB" w:rsidRDefault="005B42EC" w:rsidP="00313BC1">
            <w:pPr>
              <w:spacing w:after="0"/>
              <w:jc w:val="center"/>
              <w:rPr>
                <w:rFonts w:ascii="Arial" w:hAnsi="Arial" w:cs="Arial"/>
                <w:color w:val="1D428A"/>
                <w:sz w:val="20"/>
                <w:szCs w:val="20"/>
              </w:rPr>
            </w:pPr>
            <w:r>
              <w:rPr>
                <w:rFonts w:ascii="Arial" w:hAnsi="Arial" w:cs="Arial"/>
                <w:color w:val="1D428A"/>
                <w:sz w:val="20"/>
                <w:szCs w:val="20"/>
              </w:rPr>
              <w:t>1,4</w:t>
            </w:r>
          </w:p>
        </w:tc>
      </w:tr>
      <w:tr w:rsidR="002D00E1" w:rsidRPr="00DF3958" w14:paraId="5F378DB3" w14:textId="77777777" w:rsidTr="00313BC1">
        <w:trPr>
          <w:cantSplit/>
          <w:trHeight w:val="278"/>
        </w:trPr>
        <w:tc>
          <w:tcPr>
            <w:tcW w:w="1814" w:type="pct"/>
            <w:tcBorders>
              <w:left w:val="single" w:sz="12" w:space="0" w:color="auto"/>
              <w:bottom w:val="single" w:sz="4" w:space="0" w:color="auto"/>
            </w:tcBorders>
            <w:shd w:val="clear" w:color="auto" w:fill="auto"/>
            <w:vAlign w:val="center"/>
          </w:tcPr>
          <w:p w14:paraId="17EE3A81" w14:textId="77777777" w:rsidR="002D00E1" w:rsidRPr="00FF53DB" w:rsidRDefault="002D00E1" w:rsidP="00313BC1">
            <w:pPr>
              <w:spacing w:after="0"/>
              <w:rPr>
                <w:rFonts w:ascii="Arial" w:hAnsi="Arial" w:cs="Arial"/>
                <w:b/>
                <w:sz w:val="20"/>
                <w:szCs w:val="20"/>
              </w:rPr>
            </w:pPr>
            <w:r w:rsidRPr="00FF53DB">
              <w:rPr>
                <w:rFonts w:ascii="Arial" w:hAnsi="Arial" w:cs="Arial"/>
                <w:b/>
                <w:sz w:val="20"/>
                <w:szCs w:val="20"/>
              </w:rPr>
              <w:t>Bruttó külső adósság</w:t>
            </w:r>
            <w:r w:rsidRPr="00FF53DB">
              <w:rPr>
                <w:rFonts w:ascii="Arial" w:hAnsi="Arial" w:cs="Arial"/>
                <w:b/>
                <w:sz w:val="20"/>
                <w:szCs w:val="20"/>
                <w:vertAlign w:val="superscript"/>
              </w:rPr>
              <w:t>*</w:t>
            </w:r>
            <w:r w:rsidRPr="00FF53DB">
              <w:rPr>
                <w:rFonts w:ascii="Arial" w:hAnsi="Arial" w:cs="Arial"/>
                <w:b/>
                <w:sz w:val="20"/>
                <w:szCs w:val="20"/>
              </w:rPr>
              <w:t>, GDP %-a</w:t>
            </w:r>
          </w:p>
        </w:tc>
        <w:tc>
          <w:tcPr>
            <w:tcW w:w="432" w:type="pct"/>
            <w:tcBorders>
              <w:bottom w:val="single" w:sz="4" w:space="0" w:color="auto"/>
            </w:tcBorders>
            <w:shd w:val="clear" w:color="auto" w:fill="auto"/>
            <w:vAlign w:val="center"/>
          </w:tcPr>
          <w:p w14:paraId="294728CD" w14:textId="77777777" w:rsidR="002D00E1" w:rsidRPr="00FF53DB" w:rsidRDefault="005B42EC" w:rsidP="00313BC1">
            <w:pPr>
              <w:spacing w:after="0"/>
              <w:jc w:val="center"/>
              <w:rPr>
                <w:rFonts w:ascii="Arial" w:hAnsi="Arial" w:cs="Arial"/>
                <w:sz w:val="20"/>
                <w:szCs w:val="20"/>
              </w:rPr>
            </w:pPr>
            <w:r>
              <w:rPr>
                <w:rFonts w:ascii="Arial" w:hAnsi="Arial" w:cs="Arial"/>
                <w:sz w:val="20"/>
                <w:szCs w:val="20"/>
              </w:rPr>
              <w:t>83,4</w:t>
            </w:r>
          </w:p>
        </w:tc>
        <w:tc>
          <w:tcPr>
            <w:tcW w:w="432" w:type="pct"/>
            <w:tcBorders>
              <w:bottom w:val="single" w:sz="4" w:space="0" w:color="auto"/>
            </w:tcBorders>
            <w:shd w:val="clear" w:color="auto" w:fill="auto"/>
            <w:vAlign w:val="center"/>
          </w:tcPr>
          <w:p w14:paraId="29F51452" w14:textId="77777777" w:rsidR="002D00E1" w:rsidRPr="00FF53DB" w:rsidRDefault="005B42EC" w:rsidP="00313BC1">
            <w:pPr>
              <w:spacing w:after="0"/>
              <w:jc w:val="center"/>
              <w:rPr>
                <w:rFonts w:ascii="Arial" w:hAnsi="Arial" w:cs="Arial"/>
                <w:sz w:val="20"/>
                <w:szCs w:val="20"/>
              </w:rPr>
            </w:pPr>
            <w:r>
              <w:rPr>
                <w:rFonts w:ascii="Arial" w:hAnsi="Arial" w:cs="Arial"/>
                <w:sz w:val="20"/>
                <w:szCs w:val="20"/>
              </w:rPr>
              <w:t>79,5</w:t>
            </w:r>
          </w:p>
        </w:tc>
        <w:tc>
          <w:tcPr>
            <w:tcW w:w="432" w:type="pct"/>
            <w:tcBorders>
              <w:bottom w:val="single" w:sz="4" w:space="0" w:color="auto"/>
            </w:tcBorders>
            <w:shd w:val="clear" w:color="auto" w:fill="auto"/>
            <w:vAlign w:val="center"/>
          </w:tcPr>
          <w:p w14:paraId="3A194B15" w14:textId="77777777" w:rsidR="002D00E1" w:rsidRPr="00FF53DB" w:rsidRDefault="005B42EC" w:rsidP="00313BC1">
            <w:pPr>
              <w:spacing w:after="0"/>
              <w:jc w:val="center"/>
              <w:rPr>
                <w:rFonts w:ascii="Arial" w:hAnsi="Arial" w:cs="Arial"/>
                <w:sz w:val="20"/>
                <w:szCs w:val="20"/>
              </w:rPr>
            </w:pPr>
            <w:r>
              <w:rPr>
                <w:rFonts w:ascii="Arial" w:hAnsi="Arial" w:cs="Arial"/>
                <w:sz w:val="20"/>
                <w:szCs w:val="20"/>
              </w:rPr>
              <w:t>72,7</w:t>
            </w:r>
          </w:p>
        </w:tc>
        <w:tc>
          <w:tcPr>
            <w:tcW w:w="432" w:type="pct"/>
            <w:tcBorders>
              <w:bottom w:val="single" w:sz="4" w:space="0" w:color="auto"/>
            </w:tcBorders>
            <w:shd w:val="clear" w:color="auto" w:fill="FFFFFF" w:themeFill="background1"/>
            <w:vAlign w:val="center"/>
          </w:tcPr>
          <w:p w14:paraId="77622E6E" w14:textId="77777777" w:rsidR="002D00E1" w:rsidRPr="001F2A5F" w:rsidRDefault="005B42EC" w:rsidP="00313BC1">
            <w:pPr>
              <w:spacing w:after="0"/>
              <w:jc w:val="center"/>
              <w:rPr>
                <w:rFonts w:ascii="Arial" w:hAnsi="Arial" w:cs="Arial"/>
                <w:sz w:val="20"/>
                <w:szCs w:val="20"/>
              </w:rPr>
            </w:pPr>
            <w:r>
              <w:rPr>
                <w:rFonts w:ascii="Arial" w:hAnsi="Arial" w:cs="Arial"/>
                <w:sz w:val="20"/>
                <w:szCs w:val="20"/>
              </w:rPr>
              <w:t>81,9</w:t>
            </w:r>
          </w:p>
        </w:tc>
        <w:tc>
          <w:tcPr>
            <w:tcW w:w="487" w:type="pct"/>
            <w:tcBorders>
              <w:bottom w:val="single" w:sz="4" w:space="0" w:color="auto"/>
            </w:tcBorders>
            <w:shd w:val="clear" w:color="auto" w:fill="D9D9D9" w:themeFill="background1" w:themeFillShade="D9"/>
            <w:vAlign w:val="center"/>
          </w:tcPr>
          <w:p w14:paraId="0C9C2EF2" w14:textId="77777777" w:rsidR="002D00E1" w:rsidRPr="00FF53DB" w:rsidRDefault="005B42EC" w:rsidP="00313BC1">
            <w:pPr>
              <w:spacing w:after="0"/>
              <w:jc w:val="center"/>
              <w:rPr>
                <w:rFonts w:ascii="Arial" w:hAnsi="Arial" w:cs="Arial"/>
                <w:color w:val="1D428A"/>
                <w:sz w:val="20"/>
                <w:szCs w:val="20"/>
              </w:rPr>
            </w:pPr>
            <w:r>
              <w:rPr>
                <w:rFonts w:ascii="Arial" w:hAnsi="Arial" w:cs="Arial"/>
                <w:color w:val="1D428A"/>
                <w:sz w:val="20"/>
                <w:szCs w:val="20"/>
              </w:rPr>
              <w:t>84,7</w:t>
            </w:r>
          </w:p>
        </w:tc>
        <w:tc>
          <w:tcPr>
            <w:tcW w:w="487" w:type="pct"/>
            <w:tcBorders>
              <w:bottom w:val="single" w:sz="4" w:space="0" w:color="auto"/>
            </w:tcBorders>
            <w:shd w:val="clear" w:color="auto" w:fill="D9D9D9" w:themeFill="background1" w:themeFillShade="D9"/>
            <w:vAlign w:val="center"/>
          </w:tcPr>
          <w:p w14:paraId="5EC1AC7D" w14:textId="77777777" w:rsidR="002D00E1" w:rsidRPr="00FF53DB" w:rsidRDefault="005B42EC" w:rsidP="00313BC1">
            <w:pPr>
              <w:spacing w:after="0"/>
              <w:jc w:val="center"/>
              <w:rPr>
                <w:rFonts w:ascii="Arial" w:hAnsi="Arial" w:cs="Arial"/>
                <w:color w:val="1D428A"/>
                <w:sz w:val="20"/>
                <w:szCs w:val="20"/>
              </w:rPr>
            </w:pPr>
            <w:r>
              <w:rPr>
                <w:rFonts w:ascii="Arial" w:hAnsi="Arial" w:cs="Arial"/>
                <w:color w:val="1D428A"/>
                <w:sz w:val="20"/>
                <w:szCs w:val="20"/>
              </w:rPr>
              <w:t>78,0</w:t>
            </w:r>
          </w:p>
        </w:tc>
        <w:tc>
          <w:tcPr>
            <w:tcW w:w="484" w:type="pct"/>
            <w:tcBorders>
              <w:bottom w:val="single" w:sz="4" w:space="0" w:color="auto"/>
              <w:right w:val="single" w:sz="12" w:space="0" w:color="auto"/>
            </w:tcBorders>
            <w:shd w:val="clear" w:color="auto" w:fill="D9D9D9" w:themeFill="background1" w:themeFillShade="D9"/>
            <w:vAlign w:val="center"/>
          </w:tcPr>
          <w:p w14:paraId="4703288D" w14:textId="77777777" w:rsidR="002D00E1" w:rsidRPr="00FF53DB" w:rsidRDefault="005B42EC" w:rsidP="00313BC1">
            <w:pPr>
              <w:spacing w:after="0"/>
              <w:jc w:val="center"/>
              <w:rPr>
                <w:rFonts w:ascii="Arial" w:hAnsi="Arial" w:cs="Arial"/>
                <w:color w:val="1D428A"/>
                <w:sz w:val="20"/>
                <w:szCs w:val="20"/>
              </w:rPr>
            </w:pPr>
            <w:r>
              <w:rPr>
                <w:rFonts w:ascii="Arial" w:hAnsi="Arial" w:cs="Arial"/>
                <w:color w:val="1D428A"/>
                <w:sz w:val="20"/>
                <w:szCs w:val="20"/>
              </w:rPr>
              <w:t>68,6</w:t>
            </w:r>
          </w:p>
        </w:tc>
      </w:tr>
      <w:tr w:rsidR="002D00E1" w:rsidRPr="00DF3958" w14:paraId="7EBAFF26" w14:textId="77777777" w:rsidTr="00313BC1">
        <w:trPr>
          <w:cantSplit/>
          <w:trHeight w:val="278"/>
        </w:trPr>
        <w:tc>
          <w:tcPr>
            <w:tcW w:w="1814" w:type="pct"/>
            <w:tcBorders>
              <w:left w:val="single" w:sz="12" w:space="0" w:color="auto"/>
              <w:bottom w:val="single" w:sz="4" w:space="0" w:color="auto"/>
            </w:tcBorders>
            <w:shd w:val="clear" w:color="auto" w:fill="auto"/>
            <w:vAlign w:val="center"/>
          </w:tcPr>
          <w:p w14:paraId="7143FC1E" w14:textId="77777777" w:rsidR="002D00E1" w:rsidRPr="00FF53DB" w:rsidRDefault="002D00E1" w:rsidP="00313BC1">
            <w:pPr>
              <w:spacing w:after="0"/>
              <w:rPr>
                <w:rFonts w:ascii="Arial" w:hAnsi="Arial" w:cs="Arial"/>
                <w:b/>
                <w:sz w:val="20"/>
                <w:szCs w:val="20"/>
              </w:rPr>
            </w:pPr>
            <w:r w:rsidRPr="00FF53DB">
              <w:rPr>
                <w:rFonts w:ascii="Arial" w:hAnsi="Arial" w:cs="Arial"/>
                <w:b/>
                <w:sz w:val="20"/>
                <w:szCs w:val="20"/>
              </w:rPr>
              <w:t>Nettó külső adósság</w:t>
            </w:r>
            <w:r w:rsidRPr="00FF53DB">
              <w:rPr>
                <w:rFonts w:ascii="Arial" w:hAnsi="Arial" w:cs="Arial"/>
                <w:b/>
                <w:sz w:val="20"/>
                <w:szCs w:val="20"/>
                <w:vertAlign w:val="superscript"/>
              </w:rPr>
              <w:t>*</w:t>
            </w:r>
            <w:r w:rsidRPr="00FF53DB">
              <w:rPr>
                <w:rFonts w:ascii="Arial" w:hAnsi="Arial" w:cs="Arial"/>
                <w:b/>
                <w:sz w:val="20"/>
                <w:szCs w:val="20"/>
              </w:rPr>
              <w:t>, GDP %-a</w:t>
            </w:r>
          </w:p>
        </w:tc>
        <w:tc>
          <w:tcPr>
            <w:tcW w:w="432" w:type="pct"/>
            <w:tcBorders>
              <w:bottom w:val="single" w:sz="4" w:space="0" w:color="auto"/>
            </w:tcBorders>
            <w:shd w:val="clear" w:color="auto" w:fill="auto"/>
            <w:vAlign w:val="center"/>
          </w:tcPr>
          <w:p w14:paraId="582C00E9" w14:textId="77777777" w:rsidR="002D00E1" w:rsidRPr="00FF53DB" w:rsidRDefault="005B42EC" w:rsidP="00313BC1">
            <w:pPr>
              <w:spacing w:after="0"/>
              <w:jc w:val="center"/>
              <w:rPr>
                <w:rFonts w:ascii="Arial" w:hAnsi="Arial" w:cs="Arial"/>
                <w:sz w:val="20"/>
                <w:szCs w:val="20"/>
              </w:rPr>
            </w:pPr>
            <w:r>
              <w:rPr>
                <w:rFonts w:ascii="Arial" w:hAnsi="Arial" w:cs="Arial"/>
                <w:sz w:val="20"/>
                <w:szCs w:val="20"/>
              </w:rPr>
              <w:t>13,1</w:t>
            </w:r>
          </w:p>
        </w:tc>
        <w:tc>
          <w:tcPr>
            <w:tcW w:w="432" w:type="pct"/>
            <w:tcBorders>
              <w:bottom w:val="single" w:sz="4" w:space="0" w:color="auto"/>
            </w:tcBorders>
            <w:shd w:val="clear" w:color="auto" w:fill="auto"/>
            <w:vAlign w:val="center"/>
          </w:tcPr>
          <w:p w14:paraId="2B2BC7C8" w14:textId="77777777" w:rsidR="002D00E1" w:rsidRPr="00FF53DB" w:rsidRDefault="00834661" w:rsidP="00313BC1">
            <w:pPr>
              <w:spacing w:after="0"/>
              <w:jc w:val="center"/>
              <w:rPr>
                <w:rFonts w:ascii="Arial" w:hAnsi="Arial" w:cs="Arial"/>
                <w:sz w:val="20"/>
                <w:szCs w:val="20"/>
              </w:rPr>
            </w:pPr>
            <w:r>
              <w:rPr>
                <w:rFonts w:ascii="Arial" w:hAnsi="Arial" w:cs="Arial"/>
                <w:sz w:val="20"/>
                <w:szCs w:val="20"/>
              </w:rPr>
              <w:t>9,3</w:t>
            </w:r>
          </w:p>
        </w:tc>
        <w:tc>
          <w:tcPr>
            <w:tcW w:w="432" w:type="pct"/>
            <w:tcBorders>
              <w:bottom w:val="single" w:sz="4" w:space="0" w:color="auto"/>
            </w:tcBorders>
            <w:shd w:val="clear" w:color="auto" w:fill="auto"/>
            <w:vAlign w:val="center"/>
          </w:tcPr>
          <w:p w14:paraId="499C1507" w14:textId="77777777" w:rsidR="002D00E1" w:rsidRPr="00FF53DB" w:rsidRDefault="008825BE" w:rsidP="00313BC1">
            <w:pPr>
              <w:spacing w:after="0"/>
              <w:jc w:val="center"/>
              <w:rPr>
                <w:rFonts w:ascii="Arial" w:hAnsi="Arial" w:cs="Arial"/>
                <w:sz w:val="20"/>
                <w:szCs w:val="20"/>
              </w:rPr>
            </w:pPr>
            <w:r>
              <w:rPr>
                <w:rFonts w:ascii="Arial" w:hAnsi="Arial" w:cs="Arial"/>
                <w:sz w:val="20"/>
                <w:szCs w:val="20"/>
              </w:rPr>
              <w:t>7,1</w:t>
            </w:r>
          </w:p>
        </w:tc>
        <w:tc>
          <w:tcPr>
            <w:tcW w:w="432" w:type="pct"/>
            <w:tcBorders>
              <w:bottom w:val="single" w:sz="4" w:space="0" w:color="auto"/>
            </w:tcBorders>
            <w:shd w:val="clear" w:color="auto" w:fill="FFFFFF" w:themeFill="background1"/>
            <w:vAlign w:val="center"/>
          </w:tcPr>
          <w:p w14:paraId="03DF916D" w14:textId="77777777" w:rsidR="002D00E1" w:rsidRPr="001F2A5F" w:rsidRDefault="008825BE" w:rsidP="00313BC1">
            <w:pPr>
              <w:spacing w:after="0"/>
              <w:jc w:val="center"/>
              <w:rPr>
                <w:rFonts w:ascii="Arial" w:hAnsi="Arial" w:cs="Arial"/>
                <w:sz w:val="20"/>
                <w:szCs w:val="20"/>
              </w:rPr>
            </w:pPr>
            <w:r>
              <w:rPr>
                <w:rFonts w:ascii="Arial" w:hAnsi="Arial" w:cs="Arial"/>
                <w:sz w:val="20"/>
                <w:szCs w:val="20"/>
              </w:rPr>
              <w:t>10,0</w:t>
            </w:r>
          </w:p>
        </w:tc>
        <w:tc>
          <w:tcPr>
            <w:tcW w:w="487" w:type="pct"/>
            <w:tcBorders>
              <w:bottom w:val="single" w:sz="4" w:space="0" w:color="auto"/>
            </w:tcBorders>
            <w:shd w:val="clear" w:color="auto" w:fill="D9D9D9" w:themeFill="background1" w:themeFillShade="D9"/>
            <w:vAlign w:val="center"/>
          </w:tcPr>
          <w:p w14:paraId="32DABAF2" w14:textId="77777777" w:rsidR="002D00E1" w:rsidRPr="00FF53DB" w:rsidRDefault="005B42EC" w:rsidP="00313BC1">
            <w:pPr>
              <w:spacing w:after="0"/>
              <w:jc w:val="center"/>
              <w:rPr>
                <w:rFonts w:ascii="Arial" w:hAnsi="Arial" w:cs="Arial"/>
                <w:color w:val="1D428A"/>
                <w:sz w:val="20"/>
                <w:szCs w:val="20"/>
              </w:rPr>
            </w:pPr>
            <w:r>
              <w:rPr>
                <w:rFonts w:ascii="Arial" w:hAnsi="Arial" w:cs="Arial"/>
                <w:color w:val="1D428A"/>
                <w:sz w:val="20"/>
                <w:szCs w:val="20"/>
              </w:rPr>
              <w:t>17</w:t>
            </w:r>
            <w:r w:rsidR="001F2A5F">
              <w:rPr>
                <w:rFonts w:ascii="Arial" w:hAnsi="Arial" w:cs="Arial"/>
                <w:color w:val="1D428A"/>
                <w:sz w:val="20"/>
                <w:szCs w:val="20"/>
              </w:rPr>
              <w:t>,</w:t>
            </w:r>
            <w:r>
              <w:rPr>
                <w:rFonts w:ascii="Arial" w:hAnsi="Arial" w:cs="Arial"/>
                <w:color w:val="1D428A"/>
                <w:sz w:val="20"/>
                <w:szCs w:val="20"/>
              </w:rPr>
              <w:t>4</w:t>
            </w:r>
          </w:p>
        </w:tc>
        <w:tc>
          <w:tcPr>
            <w:tcW w:w="487" w:type="pct"/>
            <w:tcBorders>
              <w:bottom w:val="single" w:sz="4" w:space="0" w:color="auto"/>
            </w:tcBorders>
            <w:shd w:val="clear" w:color="auto" w:fill="D9D9D9" w:themeFill="background1" w:themeFillShade="D9"/>
            <w:vAlign w:val="center"/>
          </w:tcPr>
          <w:p w14:paraId="0C42A02C" w14:textId="77777777" w:rsidR="002D00E1" w:rsidRPr="00FF53DB" w:rsidRDefault="005B42EC" w:rsidP="00313BC1">
            <w:pPr>
              <w:spacing w:after="0"/>
              <w:jc w:val="center"/>
              <w:rPr>
                <w:rFonts w:ascii="Arial" w:hAnsi="Arial" w:cs="Arial"/>
                <w:color w:val="1D428A"/>
                <w:sz w:val="20"/>
                <w:szCs w:val="20"/>
              </w:rPr>
            </w:pPr>
            <w:r>
              <w:rPr>
                <w:rFonts w:ascii="Arial" w:hAnsi="Arial" w:cs="Arial"/>
                <w:color w:val="1D428A"/>
                <w:sz w:val="20"/>
                <w:szCs w:val="20"/>
              </w:rPr>
              <w:t>15,4</w:t>
            </w:r>
          </w:p>
        </w:tc>
        <w:tc>
          <w:tcPr>
            <w:tcW w:w="484" w:type="pct"/>
            <w:tcBorders>
              <w:bottom w:val="single" w:sz="4" w:space="0" w:color="auto"/>
              <w:right w:val="single" w:sz="12" w:space="0" w:color="auto"/>
            </w:tcBorders>
            <w:shd w:val="clear" w:color="auto" w:fill="D9D9D9" w:themeFill="background1" w:themeFillShade="D9"/>
            <w:vAlign w:val="center"/>
          </w:tcPr>
          <w:p w14:paraId="73076BAF" w14:textId="77777777" w:rsidR="002D00E1" w:rsidRPr="00FF53DB" w:rsidRDefault="005B42EC" w:rsidP="00313BC1">
            <w:pPr>
              <w:spacing w:after="0"/>
              <w:jc w:val="center"/>
              <w:rPr>
                <w:rFonts w:ascii="Arial" w:hAnsi="Arial" w:cs="Arial"/>
                <w:color w:val="1D428A"/>
                <w:sz w:val="20"/>
                <w:szCs w:val="20"/>
              </w:rPr>
            </w:pPr>
            <w:r>
              <w:rPr>
                <w:rFonts w:ascii="Arial" w:hAnsi="Arial" w:cs="Arial"/>
                <w:color w:val="1D428A"/>
                <w:sz w:val="20"/>
                <w:szCs w:val="20"/>
              </w:rPr>
              <w:t>13</w:t>
            </w:r>
            <w:r w:rsidR="001F2A5F">
              <w:rPr>
                <w:rFonts w:ascii="Arial" w:hAnsi="Arial" w:cs="Arial"/>
                <w:color w:val="1D428A"/>
                <w:sz w:val="20"/>
                <w:szCs w:val="20"/>
              </w:rPr>
              <w:t>,</w:t>
            </w:r>
            <w:r>
              <w:rPr>
                <w:rFonts w:ascii="Arial" w:hAnsi="Arial" w:cs="Arial"/>
                <w:color w:val="1D428A"/>
                <w:sz w:val="20"/>
                <w:szCs w:val="20"/>
              </w:rPr>
              <w:t>1</w:t>
            </w:r>
          </w:p>
        </w:tc>
      </w:tr>
      <w:tr w:rsidR="002D00E1" w:rsidRPr="00FF53DB" w14:paraId="05705576" w14:textId="77777777" w:rsidTr="00313BC1">
        <w:trPr>
          <w:cantSplit/>
          <w:trHeight w:val="278"/>
        </w:trPr>
        <w:tc>
          <w:tcPr>
            <w:tcW w:w="5000" w:type="pct"/>
            <w:gridSpan w:val="8"/>
            <w:tcBorders>
              <w:top w:val="single" w:sz="12" w:space="0" w:color="auto"/>
              <w:left w:val="single" w:sz="12" w:space="0" w:color="auto"/>
              <w:bottom w:val="single" w:sz="12" w:space="0" w:color="auto"/>
              <w:right w:val="single" w:sz="12" w:space="0" w:color="auto"/>
            </w:tcBorders>
            <w:shd w:val="clear" w:color="auto" w:fill="auto"/>
            <w:vAlign w:val="center"/>
          </w:tcPr>
          <w:p w14:paraId="66DB4844" w14:textId="77777777" w:rsidR="002D00E1" w:rsidRPr="00FF53DB" w:rsidRDefault="002D00E1" w:rsidP="004B3C89">
            <w:pPr>
              <w:spacing w:after="0"/>
              <w:jc w:val="center"/>
              <w:rPr>
                <w:rFonts w:ascii="Arial" w:hAnsi="Arial" w:cs="Arial"/>
                <w:b/>
                <w:bCs/>
                <w:iCs/>
                <w:color w:val="1D428A"/>
                <w:sz w:val="20"/>
                <w:szCs w:val="20"/>
              </w:rPr>
            </w:pPr>
            <w:proofErr w:type="gramStart"/>
            <w:r w:rsidRPr="00FF53DB">
              <w:rPr>
                <w:rFonts w:ascii="Arial" w:hAnsi="Arial" w:cs="Arial"/>
                <w:b/>
                <w:bCs/>
                <w:iCs/>
                <w:color w:val="1D428A"/>
                <w:sz w:val="20"/>
                <w:szCs w:val="20"/>
              </w:rPr>
              <w:t>GLOBÁLIS</w:t>
            </w:r>
            <w:proofErr w:type="gramEnd"/>
            <w:r w:rsidRPr="00FF53DB">
              <w:rPr>
                <w:rFonts w:ascii="Arial" w:hAnsi="Arial" w:cs="Arial"/>
                <w:b/>
                <w:bCs/>
                <w:iCs/>
                <w:color w:val="1D428A"/>
                <w:sz w:val="20"/>
                <w:szCs w:val="20"/>
              </w:rPr>
              <w:t xml:space="preserve"> </w:t>
            </w:r>
            <w:r w:rsidR="004B3C89">
              <w:rPr>
                <w:rFonts w:ascii="Arial" w:hAnsi="Arial" w:cs="Arial"/>
                <w:b/>
                <w:bCs/>
                <w:iCs/>
                <w:color w:val="1D428A"/>
                <w:sz w:val="20"/>
                <w:szCs w:val="20"/>
              </w:rPr>
              <w:t>ILLETVE</w:t>
            </w:r>
            <w:r w:rsidRPr="00FF53DB">
              <w:rPr>
                <w:rFonts w:ascii="Arial" w:hAnsi="Arial" w:cs="Arial"/>
                <w:b/>
                <w:bCs/>
                <w:iCs/>
                <w:color w:val="1D428A"/>
                <w:sz w:val="20"/>
                <w:szCs w:val="20"/>
              </w:rPr>
              <w:t xml:space="preserve"> HAZAI PÉNZ- ÉS TŐKEPIACI ELŐREJELZÉSEINK ÖSSZEFOGLALÁSA</w:t>
            </w:r>
          </w:p>
        </w:tc>
      </w:tr>
      <w:tr w:rsidR="00B97D28" w:rsidRPr="00DF3958" w14:paraId="41427FD4" w14:textId="77777777" w:rsidTr="00313BC1">
        <w:trPr>
          <w:cantSplit/>
          <w:trHeight w:val="278"/>
        </w:trPr>
        <w:tc>
          <w:tcPr>
            <w:tcW w:w="1814" w:type="pct"/>
            <w:tcBorders>
              <w:top w:val="single" w:sz="12" w:space="0" w:color="auto"/>
              <w:left w:val="single" w:sz="12" w:space="0" w:color="auto"/>
            </w:tcBorders>
            <w:shd w:val="clear" w:color="auto" w:fill="auto"/>
            <w:vAlign w:val="center"/>
          </w:tcPr>
          <w:p w14:paraId="418B53E7" w14:textId="77777777" w:rsidR="00B97D28" w:rsidRPr="00FF53DB" w:rsidRDefault="00B97D28" w:rsidP="00313BC1">
            <w:pPr>
              <w:spacing w:after="0"/>
              <w:rPr>
                <w:rFonts w:ascii="Arial" w:hAnsi="Arial" w:cs="Arial"/>
                <w:b/>
                <w:sz w:val="20"/>
                <w:szCs w:val="20"/>
              </w:rPr>
            </w:pPr>
            <w:r w:rsidRPr="00FF53DB">
              <w:rPr>
                <w:rFonts w:ascii="Arial" w:hAnsi="Arial" w:cs="Arial"/>
                <w:b/>
                <w:sz w:val="20"/>
                <w:szCs w:val="20"/>
              </w:rPr>
              <w:t>EUR/USD év végi</w:t>
            </w:r>
          </w:p>
        </w:tc>
        <w:tc>
          <w:tcPr>
            <w:tcW w:w="432" w:type="pct"/>
            <w:tcBorders>
              <w:top w:val="single" w:sz="12" w:space="0" w:color="auto"/>
            </w:tcBorders>
            <w:shd w:val="clear" w:color="auto" w:fill="auto"/>
            <w:vAlign w:val="center"/>
          </w:tcPr>
          <w:p w14:paraId="191E9C10"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1,2005</w:t>
            </w:r>
          </w:p>
        </w:tc>
        <w:tc>
          <w:tcPr>
            <w:tcW w:w="432" w:type="pct"/>
            <w:tcBorders>
              <w:top w:val="single" w:sz="12" w:space="0" w:color="auto"/>
            </w:tcBorders>
            <w:shd w:val="clear" w:color="auto" w:fill="auto"/>
            <w:vAlign w:val="center"/>
          </w:tcPr>
          <w:p w14:paraId="4655CECE"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1,1469</w:t>
            </w:r>
          </w:p>
        </w:tc>
        <w:tc>
          <w:tcPr>
            <w:tcW w:w="432" w:type="pct"/>
            <w:tcBorders>
              <w:top w:val="single" w:sz="12" w:space="0" w:color="auto"/>
            </w:tcBorders>
            <w:shd w:val="clear" w:color="auto" w:fill="auto"/>
            <w:vAlign w:val="center"/>
          </w:tcPr>
          <w:p w14:paraId="64EB8921"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1,1211</w:t>
            </w:r>
          </w:p>
        </w:tc>
        <w:tc>
          <w:tcPr>
            <w:tcW w:w="432" w:type="pct"/>
            <w:tcBorders>
              <w:top w:val="single" w:sz="12" w:space="0" w:color="auto"/>
            </w:tcBorders>
            <w:shd w:val="clear" w:color="auto" w:fill="FFFFFF" w:themeFill="background1"/>
            <w:vAlign w:val="center"/>
          </w:tcPr>
          <w:p w14:paraId="3AF89E17"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1,2215</w:t>
            </w:r>
          </w:p>
        </w:tc>
        <w:tc>
          <w:tcPr>
            <w:tcW w:w="487" w:type="pct"/>
            <w:tcBorders>
              <w:top w:val="single" w:sz="12" w:space="0" w:color="auto"/>
            </w:tcBorders>
            <w:shd w:val="clear" w:color="auto" w:fill="D9D9D9" w:themeFill="background1" w:themeFillShade="D9"/>
            <w:vAlign w:val="center"/>
          </w:tcPr>
          <w:p w14:paraId="6ED5AFCB" w14:textId="77777777" w:rsidR="00B97D28" w:rsidRPr="00FF53DB" w:rsidRDefault="000D1818" w:rsidP="005E356F">
            <w:pPr>
              <w:spacing w:after="0"/>
              <w:jc w:val="center"/>
              <w:rPr>
                <w:rFonts w:ascii="Arial" w:hAnsi="Arial" w:cs="Arial"/>
                <w:color w:val="1D428A"/>
                <w:sz w:val="20"/>
                <w:szCs w:val="20"/>
              </w:rPr>
            </w:pPr>
            <w:r>
              <w:rPr>
                <w:rFonts w:ascii="Arial" w:hAnsi="Arial" w:cs="Arial"/>
                <w:color w:val="1D428A"/>
                <w:sz w:val="20"/>
                <w:szCs w:val="20"/>
              </w:rPr>
              <w:t>1,</w:t>
            </w:r>
            <w:r w:rsidR="00B825B8">
              <w:rPr>
                <w:rFonts w:ascii="Arial" w:hAnsi="Arial" w:cs="Arial"/>
                <w:color w:val="1D428A"/>
                <w:sz w:val="20"/>
                <w:szCs w:val="20"/>
              </w:rPr>
              <w:t>1382</w:t>
            </w:r>
          </w:p>
        </w:tc>
        <w:tc>
          <w:tcPr>
            <w:tcW w:w="487" w:type="pct"/>
            <w:tcBorders>
              <w:top w:val="single" w:sz="12" w:space="0" w:color="auto"/>
            </w:tcBorders>
            <w:shd w:val="clear" w:color="auto" w:fill="D9D9D9" w:themeFill="background1" w:themeFillShade="D9"/>
            <w:vAlign w:val="center"/>
          </w:tcPr>
          <w:p w14:paraId="16C5FDFA" w14:textId="77777777" w:rsidR="00B97D28" w:rsidRPr="00FF53DB" w:rsidRDefault="000D1818" w:rsidP="005E356F">
            <w:pPr>
              <w:spacing w:after="0"/>
              <w:jc w:val="center"/>
              <w:rPr>
                <w:rFonts w:ascii="Arial" w:hAnsi="Arial" w:cs="Arial"/>
                <w:color w:val="1D428A"/>
                <w:sz w:val="20"/>
                <w:szCs w:val="20"/>
              </w:rPr>
            </w:pPr>
            <w:r>
              <w:rPr>
                <w:rFonts w:ascii="Arial" w:hAnsi="Arial" w:cs="Arial"/>
                <w:color w:val="1D428A"/>
                <w:sz w:val="20"/>
                <w:szCs w:val="20"/>
              </w:rPr>
              <w:t>1,</w:t>
            </w:r>
            <w:r w:rsidR="00F226F2">
              <w:rPr>
                <w:rFonts w:ascii="Arial" w:hAnsi="Arial" w:cs="Arial"/>
                <w:color w:val="1D428A"/>
                <w:sz w:val="20"/>
                <w:szCs w:val="20"/>
              </w:rPr>
              <w:t>12</w:t>
            </w:r>
          </w:p>
        </w:tc>
        <w:tc>
          <w:tcPr>
            <w:tcW w:w="484" w:type="pct"/>
            <w:tcBorders>
              <w:top w:val="single" w:sz="12" w:space="0" w:color="auto"/>
              <w:right w:val="single" w:sz="12" w:space="0" w:color="auto"/>
            </w:tcBorders>
            <w:shd w:val="clear" w:color="auto" w:fill="D9D9D9" w:themeFill="background1" w:themeFillShade="D9"/>
            <w:vAlign w:val="center"/>
          </w:tcPr>
          <w:p w14:paraId="44AD23C8" w14:textId="77777777" w:rsidR="00B97D28" w:rsidRPr="00FF53DB" w:rsidRDefault="009B1ACD" w:rsidP="005E356F">
            <w:pPr>
              <w:spacing w:after="0"/>
              <w:jc w:val="center"/>
              <w:rPr>
                <w:rFonts w:ascii="Arial" w:hAnsi="Arial" w:cs="Arial"/>
                <w:color w:val="1D428A"/>
                <w:sz w:val="20"/>
                <w:szCs w:val="20"/>
              </w:rPr>
            </w:pPr>
            <w:r>
              <w:rPr>
                <w:rFonts w:ascii="Arial" w:hAnsi="Arial" w:cs="Arial"/>
                <w:color w:val="1D428A"/>
                <w:sz w:val="20"/>
                <w:szCs w:val="20"/>
              </w:rPr>
              <w:t>1,</w:t>
            </w:r>
            <w:r w:rsidR="00B95A35">
              <w:rPr>
                <w:rFonts w:ascii="Arial" w:hAnsi="Arial" w:cs="Arial"/>
                <w:color w:val="1D428A"/>
                <w:sz w:val="20"/>
                <w:szCs w:val="20"/>
              </w:rPr>
              <w:t>1</w:t>
            </w:r>
            <w:r w:rsidR="00F226F2">
              <w:rPr>
                <w:rFonts w:ascii="Arial" w:hAnsi="Arial" w:cs="Arial"/>
                <w:color w:val="1D428A"/>
                <w:sz w:val="20"/>
                <w:szCs w:val="20"/>
              </w:rPr>
              <w:t>1</w:t>
            </w:r>
          </w:p>
        </w:tc>
      </w:tr>
      <w:tr w:rsidR="00B97D28" w:rsidRPr="00DF3958" w14:paraId="4A31D65C" w14:textId="77777777" w:rsidTr="00313BC1">
        <w:trPr>
          <w:cantSplit/>
          <w:trHeight w:val="278"/>
        </w:trPr>
        <w:tc>
          <w:tcPr>
            <w:tcW w:w="1814" w:type="pct"/>
            <w:tcBorders>
              <w:left w:val="single" w:sz="12" w:space="0" w:color="auto"/>
            </w:tcBorders>
            <w:shd w:val="clear" w:color="auto" w:fill="auto"/>
            <w:vAlign w:val="center"/>
          </w:tcPr>
          <w:p w14:paraId="2F2ECF7E" w14:textId="77777777" w:rsidR="00B97D28" w:rsidRPr="00FF53DB" w:rsidRDefault="00B97D28" w:rsidP="00313BC1">
            <w:pPr>
              <w:spacing w:after="0"/>
              <w:rPr>
                <w:rFonts w:ascii="Arial" w:hAnsi="Arial" w:cs="Arial"/>
                <w:b/>
                <w:sz w:val="20"/>
                <w:szCs w:val="20"/>
              </w:rPr>
            </w:pPr>
            <w:r w:rsidRPr="00FF53DB">
              <w:rPr>
                <w:rFonts w:ascii="Arial" w:hAnsi="Arial" w:cs="Arial"/>
                <w:b/>
                <w:sz w:val="20"/>
                <w:szCs w:val="20"/>
              </w:rPr>
              <w:t>EUR/HUF év végi</w:t>
            </w:r>
          </w:p>
        </w:tc>
        <w:tc>
          <w:tcPr>
            <w:tcW w:w="432" w:type="pct"/>
            <w:shd w:val="clear" w:color="auto" w:fill="auto"/>
            <w:vAlign w:val="center"/>
          </w:tcPr>
          <w:p w14:paraId="31DAE8B2"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310,68</w:t>
            </w:r>
          </w:p>
        </w:tc>
        <w:tc>
          <w:tcPr>
            <w:tcW w:w="432" w:type="pct"/>
            <w:shd w:val="clear" w:color="auto" w:fill="auto"/>
            <w:vAlign w:val="center"/>
          </w:tcPr>
          <w:p w14:paraId="361DB8ED"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321,15</w:t>
            </w:r>
          </w:p>
        </w:tc>
        <w:tc>
          <w:tcPr>
            <w:tcW w:w="432" w:type="pct"/>
            <w:shd w:val="clear" w:color="auto" w:fill="auto"/>
            <w:vAlign w:val="center"/>
          </w:tcPr>
          <w:p w14:paraId="2D4C21C8"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330,52</w:t>
            </w:r>
          </w:p>
        </w:tc>
        <w:tc>
          <w:tcPr>
            <w:tcW w:w="432" w:type="pct"/>
            <w:shd w:val="clear" w:color="auto" w:fill="FFFFFF" w:themeFill="background1"/>
            <w:vAlign w:val="center"/>
          </w:tcPr>
          <w:p w14:paraId="5CB8CCA6" w14:textId="77777777" w:rsidR="00B97D28" w:rsidRPr="00FF53DB" w:rsidRDefault="000D1818" w:rsidP="00313BC1">
            <w:pPr>
              <w:spacing w:after="0"/>
              <w:jc w:val="center"/>
              <w:rPr>
                <w:rFonts w:ascii="Arial" w:hAnsi="Arial" w:cs="Arial"/>
                <w:sz w:val="20"/>
                <w:szCs w:val="20"/>
              </w:rPr>
            </w:pPr>
            <w:r>
              <w:rPr>
                <w:rFonts w:ascii="Arial" w:hAnsi="Arial" w:cs="Arial"/>
                <w:sz w:val="20"/>
                <w:szCs w:val="20"/>
              </w:rPr>
              <w:t>365,10</w:t>
            </w:r>
          </w:p>
        </w:tc>
        <w:tc>
          <w:tcPr>
            <w:tcW w:w="487" w:type="pct"/>
            <w:shd w:val="clear" w:color="auto" w:fill="D9D9D9" w:themeFill="background1" w:themeFillShade="D9"/>
            <w:vAlign w:val="center"/>
          </w:tcPr>
          <w:p w14:paraId="388FD1B9" w14:textId="77777777" w:rsidR="00B97D28" w:rsidRPr="00FF53DB" w:rsidRDefault="00B825B8" w:rsidP="005E356F">
            <w:pPr>
              <w:spacing w:after="0"/>
              <w:jc w:val="center"/>
              <w:rPr>
                <w:rFonts w:ascii="Arial" w:hAnsi="Arial" w:cs="Arial"/>
                <w:color w:val="1D428A"/>
                <w:sz w:val="20"/>
                <w:szCs w:val="20"/>
              </w:rPr>
            </w:pPr>
            <w:r>
              <w:rPr>
                <w:rFonts w:ascii="Arial" w:hAnsi="Arial" w:cs="Arial"/>
                <w:color w:val="1D428A"/>
                <w:sz w:val="20"/>
                <w:szCs w:val="20"/>
              </w:rPr>
              <w:t>365,70</w:t>
            </w:r>
          </w:p>
        </w:tc>
        <w:tc>
          <w:tcPr>
            <w:tcW w:w="487" w:type="pct"/>
            <w:shd w:val="clear" w:color="auto" w:fill="D9D9D9" w:themeFill="background1" w:themeFillShade="D9"/>
            <w:vAlign w:val="center"/>
          </w:tcPr>
          <w:p w14:paraId="006D82BF" w14:textId="77777777" w:rsidR="00B97D28" w:rsidRPr="00FF53DB" w:rsidRDefault="00892C7E" w:rsidP="005E356F">
            <w:pPr>
              <w:spacing w:after="0"/>
              <w:jc w:val="center"/>
              <w:rPr>
                <w:rFonts w:ascii="Arial" w:hAnsi="Arial" w:cs="Arial"/>
                <w:color w:val="1D428A"/>
                <w:sz w:val="20"/>
                <w:szCs w:val="20"/>
              </w:rPr>
            </w:pPr>
            <w:r>
              <w:rPr>
                <w:rFonts w:ascii="Arial" w:hAnsi="Arial" w:cs="Arial"/>
                <w:color w:val="1D428A"/>
                <w:sz w:val="20"/>
                <w:szCs w:val="20"/>
              </w:rPr>
              <w:t>3</w:t>
            </w:r>
            <w:r w:rsidR="00F226F2">
              <w:rPr>
                <w:rFonts w:ascii="Arial" w:hAnsi="Arial" w:cs="Arial"/>
                <w:color w:val="1D428A"/>
                <w:sz w:val="20"/>
                <w:szCs w:val="20"/>
              </w:rPr>
              <w:t>53,90</w:t>
            </w:r>
          </w:p>
        </w:tc>
        <w:tc>
          <w:tcPr>
            <w:tcW w:w="484" w:type="pct"/>
            <w:tcBorders>
              <w:right w:val="single" w:sz="12" w:space="0" w:color="auto"/>
            </w:tcBorders>
            <w:shd w:val="clear" w:color="auto" w:fill="D9D9D9" w:themeFill="background1" w:themeFillShade="D9"/>
            <w:vAlign w:val="center"/>
          </w:tcPr>
          <w:p w14:paraId="043D9961" w14:textId="77777777" w:rsidR="00B97D28" w:rsidRPr="00FF53DB" w:rsidRDefault="00F226F2" w:rsidP="005E356F">
            <w:pPr>
              <w:spacing w:after="0"/>
              <w:jc w:val="center"/>
              <w:rPr>
                <w:rFonts w:ascii="Arial" w:hAnsi="Arial" w:cs="Arial"/>
                <w:color w:val="1D428A"/>
                <w:sz w:val="20"/>
                <w:szCs w:val="20"/>
              </w:rPr>
            </w:pPr>
            <w:r>
              <w:rPr>
                <w:rFonts w:ascii="Arial" w:hAnsi="Arial" w:cs="Arial"/>
                <w:color w:val="1D428A"/>
                <w:sz w:val="20"/>
                <w:szCs w:val="20"/>
              </w:rPr>
              <w:t>351,70</w:t>
            </w:r>
          </w:p>
        </w:tc>
      </w:tr>
      <w:tr w:rsidR="00B97D28" w:rsidRPr="00DF3958" w14:paraId="08935E3D" w14:textId="77777777" w:rsidTr="00313BC1">
        <w:trPr>
          <w:cantSplit/>
          <w:trHeight w:val="278"/>
        </w:trPr>
        <w:tc>
          <w:tcPr>
            <w:tcW w:w="1814" w:type="pct"/>
            <w:tcBorders>
              <w:left w:val="single" w:sz="12" w:space="0" w:color="auto"/>
            </w:tcBorders>
            <w:shd w:val="clear" w:color="auto" w:fill="auto"/>
            <w:vAlign w:val="center"/>
          </w:tcPr>
          <w:p w14:paraId="74F96EA1" w14:textId="77777777" w:rsidR="00B97D28" w:rsidRPr="00FF53DB" w:rsidRDefault="00B97D28" w:rsidP="00313BC1">
            <w:pPr>
              <w:spacing w:after="0"/>
              <w:rPr>
                <w:rFonts w:ascii="Arial" w:hAnsi="Arial" w:cs="Arial"/>
                <w:b/>
                <w:sz w:val="20"/>
                <w:szCs w:val="20"/>
              </w:rPr>
            </w:pPr>
            <w:r w:rsidRPr="00FF53DB">
              <w:rPr>
                <w:rFonts w:ascii="Arial" w:hAnsi="Arial" w:cs="Arial"/>
                <w:b/>
                <w:sz w:val="20"/>
                <w:szCs w:val="20"/>
              </w:rPr>
              <w:t>EUR/HUF éves átlag</w:t>
            </w:r>
          </w:p>
        </w:tc>
        <w:tc>
          <w:tcPr>
            <w:tcW w:w="432" w:type="pct"/>
            <w:shd w:val="clear" w:color="auto" w:fill="auto"/>
            <w:vAlign w:val="center"/>
          </w:tcPr>
          <w:p w14:paraId="201603F6"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309,24</w:t>
            </w:r>
          </w:p>
        </w:tc>
        <w:tc>
          <w:tcPr>
            <w:tcW w:w="432" w:type="pct"/>
            <w:shd w:val="clear" w:color="auto" w:fill="auto"/>
            <w:vAlign w:val="center"/>
          </w:tcPr>
          <w:p w14:paraId="07A2B662"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318,78</w:t>
            </w:r>
          </w:p>
        </w:tc>
        <w:tc>
          <w:tcPr>
            <w:tcW w:w="432" w:type="pct"/>
            <w:shd w:val="clear" w:color="auto" w:fill="auto"/>
            <w:vAlign w:val="center"/>
          </w:tcPr>
          <w:p w14:paraId="083B820E"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325,36</w:t>
            </w:r>
          </w:p>
        </w:tc>
        <w:tc>
          <w:tcPr>
            <w:tcW w:w="432" w:type="pct"/>
            <w:shd w:val="clear" w:color="auto" w:fill="FFFFFF" w:themeFill="background1"/>
            <w:vAlign w:val="center"/>
          </w:tcPr>
          <w:p w14:paraId="6DF90C41" w14:textId="77777777" w:rsidR="00B97D28" w:rsidRPr="00FF53DB" w:rsidRDefault="000D1818" w:rsidP="00313BC1">
            <w:pPr>
              <w:spacing w:after="0"/>
              <w:jc w:val="center"/>
              <w:rPr>
                <w:rFonts w:ascii="Arial" w:hAnsi="Arial" w:cs="Arial"/>
                <w:sz w:val="20"/>
                <w:szCs w:val="20"/>
              </w:rPr>
            </w:pPr>
            <w:r>
              <w:rPr>
                <w:rFonts w:ascii="Arial" w:hAnsi="Arial" w:cs="Arial"/>
                <w:sz w:val="20"/>
                <w:szCs w:val="20"/>
              </w:rPr>
              <w:t>359,00</w:t>
            </w:r>
          </w:p>
        </w:tc>
        <w:tc>
          <w:tcPr>
            <w:tcW w:w="487" w:type="pct"/>
            <w:shd w:val="clear" w:color="auto" w:fill="D9D9D9" w:themeFill="background1" w:themeFillShade="D9"/>
            <w:vAlign w:val="center"/>
          </w:tcPr>
          <w:p w14:paraId="06580A29" w14:textId="77777777" w:rsidR="00B97D28" w:rsidRPr="00FF53DB" w:rsidRDefault="00B825B8" w:rsidP="005E356F">
            <w:pPr>
              <w:spacing w:after="0"/>
              <w:jc w:val="center"/>
              <w:rPr>
                <w:rFonts w:ascii="Arial" w:hAnsi="Arial" w:cs="Arial"/>
                <w:color w:val="1D428A"/>
                <w:sz w:val="20"/>
                <w:szCs w:val="20"/>
              </w:rPr>
            </w:pPr>
            <w:r>
              <w:rPr>
                <w:rFonts w:ascii="Arial" w:hAnsi="Arial" w:cs="Arial"/>
                <w:color w:val="1D428A"/>
                <w:sz w:val="20"/>
                <w:szCs w:val="20"/>
              </w:rPr>
              <w:t>357,75</w:t>
            </w:r>
          </w:p>
        </w:tc>
        <w:tc>
          <w:tcPr>
            <w:tcW w:w="487" w:type="pct"/>
            <w:shd w:val="clear" w:color="auto" w:fill="D9D9D9" w:themeFill="background1" w:themeFillShade="D9"/>
            <w:vAlign w:val="center"/>
          </w:tcPr>
          <w:p w14:paraId="7A8A73C6" w14:textId="77777777" w:rsidR="00B97D28" w:rsidRPr="00FF53DB" w:rsidRDefault="00F226F2" w:rsidP="00313BC1">
            <w:pPr>
              <w:spacing w:after="0"/>
              <w:jc w:val="center"/>
              <w:rPr>
                <w:rFonts w:ascii="Arial" w:hAnsi="Arial" w:cs="Arial"/>
                <w:color w:val="1D428A"/>
                <w:sz w:val="20"/>
                <w:szCs w:val="20"/>
              </w:rPr>
            </w:pPr>
            <w:r>
              <w:rPr>
                <w:rFonts w:ascii="Arial" w:hAnsi="Arial" w:cs="Arial"/>
                <w:color w:val="1D428A"/>
                <w:sz w:val="20"/>
                <w:szCs w:val="20"/>
              </w:rPr>
              <w:t>357,90</w:t>
            </w:r>
          </w:p>
        </w:tc>
        <w:tc>
          <w:tcPr>
            <w:tcW w:w="484" w:type="pct"/>
            <w:tcBorders>
              <w:right w:val="single" w:sz="12" w:space="0" w:color="auto"/>
            </w:tcBorders>
            <w:shd w:val="clear" w:color="auto" w:fill="D9D9D9" w:themeFill="background1" w:themeFillShade="D9"/>
            <w:vAlign w:val="center"/>
          </w:tcPr>
          <w:p w14:paraId="2C886B91" w14:textId="77777777" w:rsidR="00B97D28" w:rsidRPr="00FF53DB" w:rsidRDefault="00F226F2" w:rsidP="00313BC1">
            <w:pPr>
              <w:spacing w:after="0"/>
              <w:jc w:val="center"/>
              <w:rPr>
                <w:rFonts w:ascii="Arial" w:hAnsi="Arial" w:cs="Arial"/>
                <w:color w:val="1D428A"/>
                <w:sz w:val="20"/>
                <w:szCs w:val="20"/>
              </w:rPr>
            </w:pPr>
            <w:r>
              <w:rPr>
                <w:rFonts w:ascii="Arial" w:hAnsi="Arial" w:cs="Arial"/>
                <w:color w:val="1D428A"/>
                <w:sz w:val="20"/>
                <w:szCs w:val="20"/>
              </w:rPr>
              <w:t>353,70</w:t>
            </w:r>
          </w:p>
        </w:tc>
      </w:tr>
      <w:tr w:rsidR="00B97D28" w:rsidRPr="00DF3958" w14:paraId="272CFC5B" w14:textId="77777777" w:rsidTr="00313BC1">
        <w:trPr>
          <w:cantSplit/>
          <w:trHeight w:val="278"/>
        </w:trPr>
        <w:tc>
          <w:tcPr>
            <w:tcW w:w="1814" w:type="pct"/>
            <w:tcBorders>
              <w:left w:val="single" w:sz="12" w:space="0" w:color="auto"/>
              <w:bottom w:val="single" w:sz="4" w:space="0" w:color="auto"/>
            </w:tcBorders>
            <w:shd w:val="clear" w:color="auto" w:fill="auto"/>
            <w:vAlign w:val="center"/>
          </w:tcPr>
          <w:p w14:paraId="1893055B" w14:textId="77777777" w:rsidR="00B97D28" w:rsidRPr="00FF53DB" w:rsidRDefault="00B97D28" w:rsidP="00313BC1">
            <w:pPr>
              <w:spacing w:after="0"/>
              <w:rPr>
                <w:rFonts w:ascii="Arial" w:hAnsi="Arial" w:cs="Arial"/>
                <w:b/>
                <w:sz w:val="20"/>
                <w:szCs w:val="20"/>
              </w:rPr>
            </w:pPr>
            <w:r w:rsidRPr="00FF53DB">
              <w:rPr>
                <w:rFonts w:ascii="Arial" w:hAnsi="Arial" w:cs="Arial"/>
                <w:b/>
                <w:sz w:val="20"/>
                <w:szCs w:val="20"/>
              </w:rPr>
              <w:t>USD/HUF év végi</w:t>
            </w:r>
          </w:p>
        </w:tc>
        <w:tc>
          <w:tcPr>
            <w:tcW w:w="432" w:type="pct"/>
            <w:tcBorders>
              <w:bottom w:val="single" w:sz="4" w:space="0" w:color="auto"/>
            </w:tcBorders>
            <w:shd w:val="clear" w:color="auto" w:fill="auto"/>
            <w:vAlign w:val="center"/>
          </w:tcPr>
          <w:p w14:paraId="5B413A91"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259,46</w:t>
            </w:r>
          </w:p>
        </w:tc>
        <w:tc>
          <w:tcPr>
            <w:tcW w:w="432" w:type="pct"/>
            <w:tcBorders>
              <w:bottom w:val="single" w:sz="4" w:space="0" w:color="auto"/>
            </w:tcBorders>
            <w:shd w:val="clear" w:color="auto" w:fill="auto"/>
            <w:vAlign w:val="center"/>
          </w:tcPr>
          <w:p w14:paraId="7070A397"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279,94</w:t>
            </w:r>
          </w:p>
        </w:tc>
        <w:tc>
          <w:tcPr>
            <w:tcW w:w="432" w:type="pct"/>
            <w:tcBorders>
              <w:bottom w:val="single" w:sz="4" w:space="0" w:color="auto"/>
            </w:tcBorders>
            <w:shd w:val="clear" w:color="auto" w:fill="auto"/>
            <w:vAlign w:val="center"/>
          </w:tcPr>
          <w:p w14:paraId="2C40CCAC"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294,74</w:t>
            </w:r>
          </w:p>
        </w:tc>
        <w:tc>
          <w:tcPr>
            <w:tcW w:w="432" w:type="pct"/>
            <w:tcBorders>
              <w:bottom w:val="single" w:sz="4" w:space="0" w:color="auto"/>
            </w:tcBorders>
            <w:shd w:val="clear" w:color="auto" w:fill="FFFFFF" w:themeFill="background1"/>
            <w:vAlign w:val="center"/>
          </w:tcPr>
          <w:p w14:paraId="4CF89CDA"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296,94</w:t>
            </w:r>
          </w:p>
        </w:tc>
        <w:tc>
          <w:tcPr>
            <w:tcW w:w="487" w:type="pct"/>
            <w:tcBorders>
              <w:bottom w:val="single" w:sz="4" w:space="0" w:color="auto"/>
            </w:tcBorders>
            <w:shd w:val="clear" w:color="auto" w:fill="D9D9D9" w:themeFill="background1" w:themeFillShade="D9"/>
            <w:vAlign w:val="center"/>
          </w:tcPr>
          <w:p w14:paraId="78A64423" w14:textId="77777777" w:rsidR="00B97D28" w:rsidRPr="00FF53DB" w:rsidRDefault="00B825B8" w:rsidP="00313BC1">
            <w:pPr>
              <w:spacing w:after="0"/>
              <w:jc w:val="center"/>
              <w:rPr>
                <w:rFonts w:ascii="Arial" w:hAnsi="Arial" w:cs="Arial"/>
                <w:color w:val="1D428A"/>
                <w:sz w:val="20"/>
                <w:szCs w:val="20"/>
              </w:rPr>
            </w:pPr>
            <w:r>
              <w:rPr>
                <w:rFonts w:ascii="Arial" w:hAnsi="Arial" w:cs="Arial"/>
                <w:color w:val="1D428A"/>
                <w:sz w:val="20"/>
                <w:szCs w:val="20"/>
              </w:rPr>
              <w:t>321,34</w:t>
            </w:r>
          </w:p>
        </w:tc>
        <w:tc>
          <w:tcPr>
            <w:tcW w:w="487" w:type="pct"/>
            <w:tcBorders>
              <w:bottom w:val="single" w:sz="4" w:space="0" w:color="auto"/>
            </w:tcBorders>
            <w:shd w:val="clear" w:color="auto" w:fill="D9D9D9" w:themeFill="background1" w:themeFillShade="D9"/>
            <w:vAlign w:val="center"/>
          </w:tcPr>
          <w:p w14:paraId="1D90F6F7" w14:textId="77777777" w:rsidR="00B97D28" w:rsidRPr="00FF53DB" w:rsidRDefault="00F226F2" w:rsidP="00313BC1">
            <w:pPr>
              <w:spacing w:after="0"/>
              <w:jc w:val="center"/>
              <w:rPr>
                <w:rFonts w:ascii="Arial" w:hAnsi="Arial" w:cs="Arial"/>
                <w:color w:val="1D428A"/>
                <w:sz w:val="20"/>
                <w:szCs w:val="20"/>
              </w:rPr>
            </w:pPr>
            <w:r>
              <w:rPr>
                <w:rFonts w:ascii="Arial" w:hAnsi="Arial" w:cs="Arial"/>
                <w:color w:val="1D428A"/>
                <w:sz w:val="20"/>
                <w:szCs w:val="20"/>
              </w:rPr>
              <w:t>315,90</w:t>
            </w:r>
          </w:p>
        </w:tc>
        <w:tc>
          <w:tcPr>
            <w:tcW w:w="484" w:type="pct"/>
            <w:tcBorders>
              <w:bottom w:val="single" w:sz="4" w:space="0" w:color="auto"/>
              <w:right w:val="single" w:sz="12" w:space="0" w:color="auto"/>
            </w:tcBorders>
            <w:shd w:val="clear" w:color="auto" w:fill="D9D9D9" w:themeFill="background1" w:themeFillShade="D9"/>
            <w:vAlign w:val="center"/>
          </w:tcPr>
          <w:p w14:paraId="5D5F2C22" w14:textId="77777777" w:rsidR="00B97D28" w:rsidRPr="00FF53DB" w:rsidRDefault="00F226F2" w:rsidP="00313BC1">
            <w:pPr>
              <w:spacing w:after="0"/>
              <w:jc w:val="center"/>
              <w:rPr>
                <w:rFonts w:ascii="Arial" w:hAnsi="Arial" w:cs="Arial"/>
                <w:color w:val="1D428A"/>
                <w:sz w:val="20"/>
                <w:szCs w:val="20"/>
              </w:rPr>
            </w:pPr>
            <w:r>
              <w:rPr>
                <w:rFonts w:ascii="Arial" w:hAnsi="Arial" w:cs="Arial"/>
                <w:color w:val="1D428A"/>
                <w:sz w:val="20"/>
                <w:szCs w:val="20"/>
              </w:rPr>
              <w:t>316,80</w:t>
            </w:r>
          </w:p>
        </w:tc>
      </w:tr>
      <w:tr w:rsidR="00B97D28" w:rsidRPr="00DF3958" w14:paraId="3F9CB074" w14:textId="77777777" w:rsidTr="00313BC1">
        <w:trPr>
          <w:cantSplit/>
          <w:trHeight w:val="278"/>
        </w:trPr>
        <w:tc>
          <w:tcPr>
            <w:tcW w:w="1814" w:type="pct"/>
            <w:tcBorders>
              <w:left w:val="single" w:sz="12" w:space="0" w:color="auto"/>
              <w:bottom w:val="single" w:sz="4" w:space="0" w:color="auto"/>
            </w:tcBorders>
            <w:shd w:val="clear" w:color="auto" w:fill="auto"/>
            <w:vAlign w:val="center"/>
          </w:tcPr>
          <w:p w14:paraId="03D9E709" w14:textId="77777777" w:rsidR="00B97D28" w:rsidRPr="00FF53DB" w:rsidRDefault="00B97D28" w:rsidP="00313BC1">
            <w:pPr>
              <w:spacing w:after="0"/>
              <w:rPr>
                <w:rFonts w:ascii="Arial" w:hAnsi="Arial" w:cs="Arial"/>
                <w:b/>
                <w:sz w:val="20"/>
                <w:szCs w:val="20"/>
              </w:rPr>
            </w:pPr>
            <w:r w:rsidRPr="00FF53DB">
              <w:rPr>
                <w:rFonts w:ascii="Arial" w:hAnsi="Arial" w:cs="Arial"/>
                <w:b/>
                <w:sz w:val="20"/>
                <w:szCs w:val="20"/>
              </w:rPr>
              <w:t>USD/HUF éves átlag</w:t>
            </w:r>
          </w:p>
        </w:tc>
        <w:tc>
          <w:tcPr>
            <w:tcW w:w="432" w:type="pct"/>
            <w:tcBorders>
              <w:bottom w:val="single" w:sz="4" w:space="0" w:color="auto"/>
            </w:tcBorders>
            <w:shd w:val="clear" w:color="auto" w:fill="auto"/>
            <w:vAlign w:val="center"/>
          </w:tcPr>
          <w:p w14:paraId="5980EBAE"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274,26</w:t>
            </w:r>
          </w:p>
        </w:tc>
        <w:tc>
          <w:tcPr>
            <w:tcW w:w="432" w:type="pct"/>
            <w:tcBorders>
              <w:bottom w:val="single" w:sz="4" w:space="0" w:color="auto"/>
            </w:tcBorders>
            <w:shd w:val="clear" w:color="auto" w:fill="auto"/>
            <w:vAlign w:val="center"/>
          </w:tcPr>
          <w:p w14:paraId="41DE60E1"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270,35</w:t>
            </w:r>
          </w:p>
        </w:tc>
        <w:tc>
          <w:tcPr>
            <w:tcW w:w="432" w:type="pct"/>
            <w:tcBorders>
              <w:bottom w:val="single" w:sz="4" w:space="0" w:color="auto"/>
            </w:tcBorders>
            <w:shd w:val="clear" w:color="auto" w:fill="auto"/>
            <w:vAlign w:val="center"/>
          </w:tcPr>
          <w:p w14:paraId="0B377C72"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290,69</w:t>
            </w:r>
          </w:p>
        </w:tc>
        <w:tc>
          <w:tcPr>
            <w:tcW w:w="432" w:type="pct"/>
            <w:tcBorders>
              <w:bottom w:val="single" w:sz="4" w:space="0" w:color="auto"/>
            </w:tcBorders>
            <w:shd w:val="clear" w:color="auto" w:fill="FFFFFF" w:themeFill="background1"/>
            <w:vAlign w:val="center"/>
          </w:tcPr>
          <w:p w14:paraId="6AADD9AF"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307,84</w:t>
            </w:r>
          </w:p>
        </w:tc>
        <w:tc>
          <w:tcPr>
            <w:tcW w:w="487" w:type="pct"/>
            <w:tcBorders>
              <w:bottom w:val="single" w:sz="4" w:space="0" w:color="auto"/>
            </w:tcBorders>
            <w:shd w:val="clear" w:color="auto" w:fill="D9D9D9" w:themeFill="background1" w:themeFillShade="D9"/>
            <w:vAlign w:val="center"/>
          </w:tcPr>
          <w:p w14:paraId="2A84F83A" w14:textId="77777777" w:rsidR="00B97D28" w:rsidRPr="00FF53DB" w:rsidRDefault="00B825B8" w:rsidP="00313BC1">
            <w:pPr>
              <w:spacing w:after="0"/>
              <w:jc w:val="center"/>
              <w:rPr>
                <w:rFonts w:ascii="Arial" w:hAnsi="Arial" w:cs="Arial"/>
                <w:color w:val="1D428A"/>
                <w:sz w:val="20"/>
                <w:szCs w:val="20"/>
              </w:rPr>
            </w:pPr>
            <w:r>
              <w:rPr>
                <w:rFonts w:ascii="Arial" w:hAnsi="Arial" w:cs="Arial"/>
                <w:color w:val="1D428A"/>
                <w:sz w:val="20"/>
                <w:szCs w:val="20"/>
              </w:rPr>
              <w:t>300,91</w:t>
            </w:r>
          </w:p>
        </w:tc>
        <w:tc>
          <w:tcPr>
            <w:tcW w:w="487" w:type="pct"/>
            <w:tcBorders>
              <w:bottom w:val="single" w:sz="4" w:space="0" w:color="auto"/>
            </w:tcBorders>
            <w:shd w:val="clear" w:color="auto" w:fill="D9D9D9" w:themeFill="background1" w:themeFillShade="D9"/>
            <w:vAlign w:val="center"/>
          </w:tcPr>
          <w:p w14:paraId="4A3380E4" w14:textId="77777777" w:rsidR="00B97D28" w:rsidRPr="00FF53DB" w:rsidRDefault="00F226F2" w:rsidP="00313BC1">
            <w:pPr>
              <w:spacing w:after="0"/>
              <w:jc w:val="center"/>
              <w:rPr>
                <w:rFonts w:ascii="Arial" w:hAnsi="Arial" w:cs="Arial"/>
                <w:color w:val="1D428A"/>
                <w:sz w:val="20"/>
                <w:szCs w:val="20"/>
              </w:rPr>
            </w:pPr>
            <w:r>
              <w:rPr>
                <w:rFonts w:ascii="Arial" w:hAnsi="Arial" w:cs="Arial"/>
                <w:color w:val="1D428A"/>
                <w:sz w:val="20"/>
                <w:szCs w:val="20"/>
              </w:rPr>
              <w:t>315,40</w:t>
            </w:r>
          </w:p>
        </w:tc>
        <w:tc>
          <w:tcPr>
            <w:tcW w:w="484" w:type="pct"/>
            <w:tcBorders>
              <w:bottom w:val="single" w:sz="4" w:space="0" w:color="auto"/>
              <w:right w:val="single" w:sz="12" w:space="0" w:color="auto"/>
            </w:tcBorders>
            <w:shd w:val="clear" w:color="auto" w:fill="D9D9D9" w:themeFill="background1" w:themeFillShade="D9"/>
            <w:vAlign w:val="center"/>
          </w:tcPr>
          <w:p w14:paraId="34E49108" w14:textId="77777777" w:rsidR="00B97D28" w:rsidRPr="00FF53DB" w:rsidRDefault="00F226F2" w:rsidP="00313BC1">
            <w:pPr>
              <w:spacing w:after="0"/>
              <w:jc w:val="center"/>
              <w:rPr>
                <w:rFonts w:ascii="Arial" w:hAnsi="Arial" w:cs="Arial"/>
                <w:color w:val="1D428A"/>
                <w:sz w:val="20"/>
                <w:szCs w:val="20"/>
              </w:rPr>
            </w:pPr>
            <w:r>
              <w:rPr>
                <w:rFonts w:ascii="Arial" w:hAnsi="Arial" w:cs="Arial"/>
                <w:color w:val="1D428A"/>
                <w:sz w:val="20"/>
                <w:szCs w:val="20"/>
              </w:rPr>
              <w:t>312,80</w:t>
            </w:r>
          </w:p>
        </w:tc>
      </w:tr>
      <w:tr w:rsidR="00B97D28" w:rsidRPr="00DF3958" w14:paraId="168DF7ED" w14:textId="77777777" w:rsidTr="00313BC1">
        <w:trPr>
          <w:cantSplit/>
          <w:trHeight w:val="278"/>
        </w:trPr>
        <w:tc>
          <w:tcPr>
            <w:tcW w:w="1814" w:type="pct"/>
            <w:tcBorders>
              <w:top w:val="single" w:sz="12" w:space="0" w:color="auto"/>
              <w:left w:val="single" w:sz="12" w:space="0" w:color="auto"/>
            </w:tcBorders>
            <w:shd w:val="clear" w:color="auto" w:fill="auto"/>
            <w:vAlign w:val="center"/>
          </w:tcPr>
          <w:p w14:paraId="792A3618" w14:textId="77777777" w:rsidR="00B97D28" w:rsidRPr="00FF53DB" w:rsidRDefault="00B97D28" w:rsidP="00313BC1">
            <w:pPr>
              <w:spacing w:after="0"/>
              <w:rPr>
                <w:rFonts w:ascii="Arial" w:hAnsi="Arial" w:cs="Arial"/>
                <w:b/>
                <w:sz w:val="20"/>
                <w:szCs w:val="20"/>
              </w:rPr>
            </w:pPr>
            <w:r w:rsidRPr="00FF53DB">
              <w:rPr>
                <w:rFonts w:ascii="Arial" w:hAnsi="Arial" w:cs="Arial"/>
                <w:b/>
                <w:sz w:val="20"/>
                <w:szCs w:val="20"/>
              </w:rPr>
              <w:t>MNB alapkamat év végi</w:t>
            </w:r>
          </w:p>
        </w:tc>
        <w:tc>
          <w:tcPr>
            <w:tcW w:w="432" w:type="pct"/>
            <w:tcBorders>
              <w:top w:val="single" w:sz="12" w:space="0" w:color="auto"/>
            </w:tcBorders>
            <w:shd w:val="clear" w:color="auto" w:fill="auto"/>
            <w:vAlign w:val="center"/>
          </w:tcPr>
          <w:p w14:paraId="636A1C65"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0,90%</w:t>
            </w:r>
          </w:p>
        </w:tc>
        <w:tc>
          <w:tcPr>
            <w:tcW w:w="432" w:type="pct"/>
            <w:tcBorders>
              <w:top w:val="single" w:sz="12" w:space="0" w:color="auto"/>
            </w:tcBorders>
            <w:shd w:val="clear" w:color="auto" w:fill="auto"/>
            <w:vAlign w:val="center"/>
          </w:tcPr>
          <w:p w14:paraId="78D03B42"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0,90%</w:t>
            </w:r>
          </w:p>
        </w:tc>
        <w:tc>
          <w:tcPr>
            <w:tcW w:w="432" w:type="pct"/>
            <w:tcBorders>
              <w:top w:val="single" w:sz="12" w:space="0" w:color="auto"/>
            </w:tcBorders>
            <w:shd w:val="clear" w:color="auto" w:fill="auto"/>
            <w:vAlign w:val="center"/>
          </w:tcPr>
          <w:p w14:paraId="677E5ABF"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0,90%</w:t>
            </w:r>
          </w:p>
        </w:tc>
        <w:tc>
          <w:tcPr>
            <w:tcW w:w="432" w:type="pct"/>
            <w:tcBorders>
              <w:top w:val="single" w:sz="12" w:space="0" w:color="auto"/>
            </w:tcBorders>
            <w:shd w:val="clear" w:color="auto" w:fill="FFFFFF" w:themeFill="background1"/>
            <w:vAlign w:val="center"/>
          </w:tcPr>
          <w:p w14:paraId="756C3051"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0,60%</w:t>
            </w:r>
          </w:p>
        </w:tc>
        <w:tc>
          <w:tcPr>
            <w:tcW w:w="487" w:type="pct"/>
            <w:tcBorders>
              <w:top w:val="single" w:sz="12" w:space="0" w:color="auto"/>
            </w:tcBorders>
            <w:shd w:val="clear" w:color="auto" w:fill="D9D9D9" w:themeFill="background1" w:themeFillShade="D9"/>
            <w:vAlign w:val="center"/>
          </w:tcPr>
          <w:p w14:paraId="528698F2" w14:textId="77777777" w:rsidR="00B97D28" w:rsidRPr="00FF53DB" w:rsidRDefault="00974EB2" w:rsidP="00313BC1">
            <w:pPr>
              <w:spacing w:after="0"/>
              <w:jc w:val="center"/>
              <w:rPr>
                <w:rFonts w:ascii="Arial" w:hAnsi="Arial" w:cs="Arial"/>
                <w:color w:val="1D428A"/>
                <w:sz w:val="20"/>
                <w:szCs w:val="20"/>
              </w:rPr>
            </w:pPr>
            <w:r>
              <w:rPr>
                <w:rFonts w:ascii="Arial" w:hAnsi="Arial" w:cs="Arial"/>
                <w:color w:val="1D428A"/>
                <w:sz w:val="20"/>
                <w:szCs w:val="20"/>
              </w:rPr>
              <w:t>2,4</w:t>
            </w:r>
            <w:r w:rsidR="00DE2974">
              <w:rPr>
                <w:rFonts w:ascii="Arial" w:hAnsi="Arial" w:cs="Arial"/>
                <w:color w:val="1D428A"/>
                <w:sz w:val="20"/>
                <w:szCs w:val="20"/>
              </w:rPr>
              <w:t>0</w:t>
            </w:r>
            <w:r w:rsidR="00B97D28" w:rsidRPr="00FF53DB">
              <w:rPr>
                <w:rFonts w:ascii="Arial" w:hAnsi="Arial" w:cs="Arial"/>
                <w:color w:val="1D428A"/>
                <w:sz w:val="20"/>
                <w:szCs w:val="20"/>
              </w:rPr>
              <w:t>%</w:t>
            </w:r>
          </w:p>
        </w:tc>
        <w:tc>
          <w:tcPr>
            <w:tcW w:w="487" w:type="pct"/>
            <w:tcBorders>
              <w:top w:val="single" w:sz="12" w:space="0" w:color="auto"/>
            </w:tcBorders>
            <w:shd w:val="clear" w:color="auto" w:fill="D9D9D9" w:themeFill="background1" w:themeFillShade="D9"/>
            <w:vAlign w:val="center"/>
          </w:tcPr>
          <w:p w14:paraId="10A67022" w14:textId="77777777" w:rsidR="00B97D28" w:rsidRPr="00FF53DB" w:rsidRDefault="006D5587" w:rsidP="00313BC1">
            <w:pPr>
              <w:spacing w:after="0"/>
              <w:jc w:val="center"/>
              <w:rPr>
                <w:rFonts w:ascii="Arial" w:hAnsi="Arial" w:cs="Arial"/>
                <w:color w:val="1D428A"/>
                <w:sz w:val="20"/>
                <w:szCs w:val="20"/>
              </w:rPr>
            </w:pPr>
            <w:r>
              <w:rPr>
                <w:rFonts w:ascii="Arial" w:hAnsi="Arial" w:cs="Arial"/>
                <w:color w:val="1D428A"/>
                <w:sz w:val="20"/>
                <w:szCs w:val="20"/>
              </w:rPr>
              <w:t>4,00</w:t>
            </w:r>
            <w:r w:rsidR="00B97D28" w:rsidRPr="00FF53DB">
              <w:rPr>
                <w:rFonts w:ascii="Arial" w:hAnsi="Arial" w:cs="Arial"/>
                <w:color w:val="1D428A"/>
                <w:sz w:val="20"/>
                <w:szCs w:val="20"/>
              </w:rPr>
              <w:t>%</w:t>
            </w:r>
          </w:p>
        </w:tc>
        <w:tc>
          <w:tcPr>
            <w:tcW w:w="484" w:type="pct"/>
            <w:tcBorders>
              <w:top w:val="single" w:sz="12" w:space="0" w:color="auto"/>
              <w:right w:val="single" w:sz="12" w:space="0" w:color="auto"/>
            </w:tcBorders>
            <w:shd w:val="clear" w:color="auto" w:fill="D9D9D9" w:themeFill="background1" w:themeFillShade="D9"/>
            <w:vAlign w:val="center"/>
          </w:tcPr>
          <w:p w14:paraId="5C287143" w14:textId="77777777" w:rsidR="00B97D28" w:rsidRPr="00FF53DB" w:rsidRDefault="00974EB2" w:rsidP="00313BC1">
            <w:pPr>
              <w:spacing w:after="0"/>
              <w:jc w:val="center"/>
              <w:rPr>
                <w:rFonts w:ascii="Arial" w:hAnsi="Arial" w:cs="Arial"/>
                <w:color w:val="1D428A"/>
                <w:sz w:val="20"/>
                <w:szCs w:val="20"/>
              </w:rPr>
            </w:pPr>
            <w:r>
              <w:rPr>
                <w:rFonts w:ascii="Arial" w:hAnsi="Arial" w:cs="Arial"/>
                <w:color w:val="1D428A"/>
                <w:sz w:val="20"/>
                <w:szCs w:val="20"/>
              </w:rPr>
              <w:t>3</w:t>
            </w:r>
            <w:r w:rsidR="000D1818">
              <w:rPr>
                <w:rFonts w:ascii="Arial" w:hAnsi="Arial" w:cs="Arial"/>
                <w:color w:val="1D428A"/>
                <w:sz w:val="20"/>
                <w:szCs w:val="20"/>
              </w:rPr>
              <w:t>,</w:t>
            </w:r>
            <w:r w:rsidR="006D5587">
              <w:rPr>
                <w:rFonts w:ascii="Arial" w:hAnsi="Arial" w:cs="Arial"/>
                <w:color w:val="1D428A"/>
                <w:sz w:val="20"/>
                <w:szCs w:val="20"/>
              </w:rPr>
              <w:t>5</w:t>
            </w:r>
            <w:r>
              <w:rPr>
                <w:rFonts w:ascii="Arial" w:hAnsi="Arial" w:cs="Arial"/>
                <w:color w:val="1D428A"/>
                <w:sz w:val="20"/>
                <w:szCs w:val="20"/>
              </w:rPr>
              <w:t>0</w:t>
            </w:r>
            <w:r w:rsidR="000D1818">
              <w:rPr>
                <w:rFonts w:ascii="Arial" w:hAnsi="Arial" w:cs="Arial"/>
                <w:color w:val="1D428A"/>
                <w:sz w:val="20"/>
                <w:szCs w:val="20"/>
              </w:rPr>
              <w:t>%</w:t>
            </w:r>
          </w:p>
        </w:tc>
      </w:tr>
      <w:tr w:rsidR="00B97D28" w:rsidRPr="00DF3958" w14:paraId="222CD0BD" w14:textId="77777777" w:rsidTr="00313BC1">
        <w:trPr>
          <w:cantSplit/>
          <w:trHeight w:val="278"/>
        </w:trPr>
        <w:tc>
          <w:tcPr>
            <w:tcW w:w="1814" w:type="pct"/>
            <w:tcBorders>
              <w:left w:val="single" w:sz="12" w:space="0" w:color="auto"/>
              <w:bottom w:val="single" w:sz="4" w:space="0" w:color="auto"/>
            </w:tcBorders>
            <w:shd w:val="clear" w:color="auto" w:fill="auto"/>
            <w:vAlign w:val="center"/>
          </w:tcPr>
          <w:p w14:paraId="5F6CF7BE" w14:textId="77777777" w:rsidR="00B97D28" w:rsidRPr="00FF53DB" w:rsidRDefault="00B97D28" w:rsidP="00313BC1">
            <w:pPr>
              <w:spacing w:after="0"/>
              <w:rPr>
                <w:rFonts w:ascii="Arial" w:hAnsi="Arial" w:cs="Arial"/>
                <w:b/>
                <w:sz w:val="20"/>
                <w:szCs w:val="20"/>
              </w:rPr>
            </w:pPr>
            <w:r w:rsidRPr="00FF53DB">
              <w:rPr>
                <w:rFonts w:ascii="Arial" w:hAnsi="Arial" w:cs="Arial"/>
                <w:b/>
                <w:sz w:val="20"/>
                <w:szCs w:val="20"/>
              </w:rPr>
              <w:t>EKB alapkamat év végi</w:t>
            </w:r>
          </w:p>
        </w:tc>
        <w:tc>
          <w:tcPr>
            <w:tcW w:w="432" w:type="pct"/>
            <w:tcBorders>
              <w:bottom w:val="single" w:sz="4" w:space="0" w:color="auto"/>
            </w:tcBorders>
            <w:shd w:val="clear" w:color="auto" w:fill="auto"/>
            <w:vAlign w:val="center"/>
          </w:tcPr>
          <w:p w14:paraId="72691A26"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0,00%</w:t>
            </w:r>
          </w:p>
        </w:tc>
        <w:tc>
          <w:tcPr>
            <w:tcW w:w="432" w:type="pct"/>
            <w:tcBorders>
              <w:bottom w:val="single" w:sz="4" w:space="0" w:color="auto"/>
            </w:tcBorders>
            <w:shd w:val="clear" w:color="auto" w:fill="auto"/>
            <w:vAlign w:val="center"/>
          </w:tcPr>
          <w:p w14:paraId="451D13BF"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0,00%</w:t>
            </w:r>
          </w:p>
        </w:tc>
        <w:tc>
          <w:tcPr>
            <w:tcW w:w="432" w:type="pct"/>
            <w:tcBorders>
              <w:bottom w:val="single" w:sz="4" w:space="0" w:color="auto"/>
            </w:tcBorders>
            <w:shd w:val="clear" w:color="auto" w:fill="auto"/>
            <w:vAlign w:val="center"/>
          </w:tcPr>
          <w:p w14:paraId="078B6E9E"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0,00%</w:t>
            </w:r>
          </w:p>
        </w:tc>
        <w:tc>
          <w:tcPr>
            <w:tcW w:w="432" w:type="pct"/>
            <w:tcBorders>
              <w:bottom w:val="single" w:sz="4" w:space="0" w:color="auto"/>
            </w:tcBorders>
            <w:shd w:val="clear" w:color="auto" w:fill="FFFFFF" w:themeFill="background1"/>
            <w:vAlign w:val="center"/>
          </w:tcPr>
          <w:p w14:paraId="0B1F49EA"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0,00%</w:t>
            </w:r>
          </w:p>
        </w:tc>
        <w:tc>
          <w:tcPr>
            <w:tcW w:w="487" w:type="pct"/>
            <w:tcBorders>
              <w:bottom w:val="single" w:sz="4" w:space="0" w:color="auto"/>
            </w:tcBorders>
            <w:shd w:val="clear" w:color="auto" w:fill="D9D9D9" w:themeFill="background1" w:themeFillShade="D9"/>
            <w:vAlign w:val="center"/>
          </w:tcPr>
          <w:p w14:paraId="4A63576B" w14:textId="77777777" w:rsidR="00B97D28" w:rsidRPr="00FF53DB" w:rsidRDefault="00B97D28" w:rsidP="00313BC1">
            <w:pPr>
              <w:spacing w:after="0"/>
              <w:jc w:val="center"/>
              <w:rPr>
                <w:rFonts w:ascii="Arial" w:hAnsi="Arial" w:cs="Arial"/>
                <w:color w:val="1D428A"/>
                <w:sz w:val="20"/>
                <w:szCs w:val="20"/>
              </w:rPr>
            </w:pPr>
            <w:r w:rsidRPr="00FF53DB">
              <w:rPr>
                <w:rFonts w:ascii="Arial" w:hAnsi="Arial" w:cs="Arial"/>
                <w:color w:val="1D428A"/>
                <w:sz w:val="20"/>
                <w:szCs w:val="20"/>
              </w:rPr>
              <w:t>0,00%</w:t>
            </w:r>
          </w:p>
        </w:tc>
        <w:tc>
          <w:tcPr>
            <w:tcW w:w="487" w:type="pct"/>
            <w:tcBorders>
              <w:bottom w:val="single" w:sz="4" w:space="0" w:color="auto"/>
            </w:tcBorders>
            <w:shd w:val="clear" w:color="auto" w:fill="D9D9D9" w:themeFill="background1" w:themeFillShade="D9"/>
            <w:vAlign w:val="center"/>
          </w:tcPr>
          <w:p w14:paraId="601D93AA" w14:textId="77777777" w:rsidR="00B97D28" w:rsidRPr="00FF53DB" w:rsidRDefault="00B97D28" w:rsidP="00313BC1">
            <w:pPr>
              <w:spacing w:after="0"/>
              <w:jc w:val="center"/>
              <w:rPr>
                <w:rFonts w:ascii="Arial" w:hAnsi="Arial" w:cs="Arial"/>
                <w:color w:val="1D428A"/>
                <w:sz w:val="20"/>
                <w:szCs w:val="20"/>
              </w:rPr>
            </w:pPr>
            <w:r w:rsidRPr="00FF53DB">
              <w:rPr>
                <w:rFonts w:ascii="Arial" w:hAnsi="Arial" w:cs="Arial"/>
                <w:color w:val="1D428A"/>
                <w:sz w:val="20"/>
                <w:szCs w:val="20"/>
              </w:rPr>
              <w:t>0,00%</w:t>
            </w:r>
          </w:p>
        </w:tc>
        <w:tc>
          <w:tcPr>
            <w:tcW w:w="484" w:type="pct"/>
            <w:tcBorders>
              <w:bottom w:val="single" w:sz="4" w:space="0" w:color="auto"/>
              <w:right w:val="single" w:sz="12" w:space="0" w:color="auto"/>
            </w:tcBorders>
            <w:shd w:val="clear" w:color="auto" w:fill="D9D9D9" w:themeFill="background1" w:themeFillShade="D9"/>
            <w:vAlign w:val="center"/>
          </w:tcPr>
          <w:p w14:paraId="69B6BAE5" w14:textId="77777777" w:rsidR="00B97D28" w:rsidRPr="00FF53DB" w:rsidRDefault="009B1ACD" w:rsidP="00313BC1">
            <w:pPr>
              <w:spacing w:after="0"/>
              <w:jc w:val="center"/>
              <w:rPr>
                <w:rFonts w:ascii="Arial" w:hAnsi="Arial" w:cs="Arial"/>
                <w:color w:val="1D428A"/>
                <w:sz w:val="20"/>
                <w:szCs w:val="20"/>
              </w:rPr>
            </w:pPr>
            <w:r>
              <w:rPr>
                <w:rFonts w:ascii="Arial" w:hAnsi="Arial" w:cs="Arial"/>
                <w:color w:val="1D428A"/>
                <w:sz w:val="20"/>
                <w:szCs w:val="20"/>
              </w:rPr>
              <w:t>0,00%</w:t>
            </w:r>
          </w:p>
        </w:tc>
      </w:tr>
      <w:tr w:rsidR="00B97D28" w:rsidRPr="00DF3958" w14:paraId="725A729D" w14:textId="77777777" w:rsidTr="00313BC1">
        <w:trPr>
          <w:cantSplit/>
          <w:trHeight w:val="278"/>
        </w:trPr>
        <w:tc>
          <w:tcPr>
            <w:tcW w:w="1814" w:type="pct"/>
            <w:tcBorders>
              <w:left w:val="single" w:sz="12" w:space="0" w:color="auto"/>
              <w:bottom w:val="single" w:sz="12" w:space="0" w:color="auto"/>
            </w:tcBorders>
            <w:shd w:val="clear" w:color="auto" w:fill="auto"/>
            <w:vAlign w:val="center"/>
          </w:tcPr>
          <w:p w14:paraId="2C50AB91" w14:textId="77777777" w:rsidR="00B97D28" w:rsidRPr="00FF53DB" w:rsidRDefault="00B97D28" w:rsidP="00313BC1">
            <w:pPr>
              <w:spacing w:after="0"/>
              <w:rPr>
                <w:rFonts w:ascii="Arial" w:hAnsi="Arial" w:cs="Arial"/>
                <w:b/>
                <w:sz w:val="20"/>
                <w:szCs w:val="20"/>
              </w:rPr>
            </w:pPr>
            <w:r w:rsidRPr="00FF53DB">
              <w:rPr>
                <w:rFonts w:ascii="Arial" w:hAnsi="Arial" w:cs="Arial"/>
                <w:b/>
                <w:sz w:val="20"/>
                <w:szCs w:val="20"/>
              </w:rPr>
              <w:t>FED alapkamat év végi</w:t>
            </w:r>
          </w:p>
        </w:tc>
        <w:tc>
          <w:tcPr>
            <w:tcW w:w="432" w:type="pct"/>
            <w:tcBorders>
              <w:bottom w:val="single" w:sz="12" w:space="0" w:color="auto"/>
            </w:tcBorders>
            <w:shd w:val="clear" w:color="auto" w:fill="auto"/>
            <w:vAlign w:val="center"/>
          </w:tcPr>
          <w:p w14:paraId="2DD2A967" w14:textId="77777777" w:rsidR="00B97D28" w:rsidRPr="00310A33" w:rsidRDefault="00B97D28" w:rsidP="00313BC1">
            <w:pPr>
              <w:spacing w:after="0"/>
              <w:jc w:val="center"/>
              <w:rPr>
                <w:rFonts w:ascii="Arial" w:hAnsi="Arial" w:cs="Arial"/>
                <w:sz w:val="20"/>
                <w:szCs w:val="20"/>
              </w:rPr>
            </w:pPr>
            <w:r w:rsidRPr="00310A33">
              <w:rPr>
                <w:rFonts w:ascii="Arial" w:hAnsi="Arial" w:cs="Arial"/>
                <w:sz w:val="20"/>
                <w:szCs w:val="20"/>
              </w:rPr>
              <w:t>1,50%</w:t>
            </w:r>
          </w:p>
        </w:tc>
        <w:tc>
          <w:tcPr>
            <w:tcW w:w="432" w:type="pct"/>
            <w:tcBorders>
              <w:bottom w:val="single" w:sz="12" w:space="0" w:color="auto"/>
            </w:tcBorders>
            <w:shd w:val="clear" w:color="auto" w:fill="auto"/>
            <w:vAlign w:val="center"/>
          </w:tcPr>
          <w:p w14:paraId="05B99216" w14:textId="77777777" w:rsidR="00B97D28" w:rsidRPr="00310A33" w:rsidRDefault="00B97D28" w:rsidP="00313BC1">
            <w:pPr>
              <w:spacing w:after="0"/>
              <w:jc w:val="center"/>
              <w:rPr>
                <w:rFonts w:ascii="Arial" w:hAnsi="Arial" w:cs="Arial"/>
                <w:sz w:val="20"/>
                <w:szCs w:val="20"/>
              </w:rPr>
            </w:pPr>
            <w:r w:rsidRPr="00310A33">
              <w:rPr>
                <w:rFonts w:ascii="Arial" w:hAnsi="Arial" w:cs="Arial"/>
                <w:sz w:val="20"/>
                <w:szCs w:val="20"/>
              </w:rPr>
              <w:t>2,50%</w:t>
            </w:r>
          </w:p>
        </w:tc>
        <w:tc>
          <w:tcPr>
            <w:tcW w:w="432" w:type="pct"/>
            <w:tcBorders>
              <w:bottom w:val="single" w:sz="12" w:space="0" w:color="auto"/>
            </w:tcBorders>
            <w:shd w:val="clear" w:color="auto" w:fill="auto"/>
            <w:vAlign w:val="center"/>
          </w:tcPr>
          <w:p w14:paraId="3B261C47" w14:textId="77777777" w:rsidR="00B97D28" w:rsidRPr="00310A33" w:rsidRDefault="00B97D28" w:rsidP="00313BC1">
            <w:pPr>
              <w:spacing w:after="0"/>
              <w:jc w:val="center"/>
              <w:rPr>
                <w:rFonts w:ascii="Arial" w:hAnsi="Arial" w:cs="Arial"/>
                <w:sz w:val="20"/>
                <w:szCs w:val="20"/>
              </w:rPr>
            </w:pPr>
            <w:r w:rsidRPr="00310A33">
              <w:rPr>
                <w:rFonts w:ascii="Arial" w:hAnsi="Arial" w:cs="Arial"/>
                <w:sz w:val="20"/>
                <w:szCs w:val="20"/>
              </w:rPr>
              <w:t>1,75%</w:t>
            </w:r>
          </w:p>
        </w:tc>
        <w:tc>
          <w:tcPr>
            <w:tcW w:w="432" w:type="pct"/>
            <w:tcBorders>
              <w:bottom w:val="single" w:sz="12" w:space="0" w:color="auto"/>
            </w:tcBorders>
            <w:shd w:val="clear" w:color="auto" w:fill="FFFFFF" w:themeFill="background1"/>
            <w:vAlign w:val="center"/>
          </w:tcPr>
          <w:p w14:paraId="401791CE" w14:textId="77777777" w:rsidR="00B97D28" w:rsidRPr="00310A33" w:rsidRDefault="00B97D28" w:rsidP="00313BC1">
            <w:pPr>
              <w:spacing w:after="0"/>
              <w:jc w:val="center"/>
              <w:rPr>
                <w:rFonts w:ascii="Arial" w:hAnsi="Arial" w:cs="Arial"/>
                <w:sz w:val="20"/>
                <w:szCs w:val="20"/>
              </w:rPr>
            </w:pPr>
            <w:r w:rsidRPr="00310A33">
              <w:rPr>
                <w:rFonts w:ascii="Arial" w:hAnsi="Arial" w:cs="Arial"/>
                <w:sz w:val="20"/>
                <w:szCs w:val="20"/>
              </w:rPr>
              <w:t>0,25%</w:t>
            </w:r>
          </w:p>
        </w:tc>
        <w:tc>
          <w:tcPr>
            <w:tcW w:w="487" w:type="pct"/>
            <w:tcBorders>
              <w:bottom w:val="single" w:sz="12" w:space="0" w:color="auto"/>
            </w:tcBorders>
            <w:shd w:val="clear" w:color="auto" w:fill="D9D9D9" w:themeFill="background1" w:themeFillShade="D9"/>
            <w:vAlign w:val="center"/>
          </w:tcPr>
          <w:p w14:paraId="634166A6" w14:textId="77777777" w:rsidR="00B97D28" w:rsidRPr="00310A33" w:rsidRDefault="00B97D28" w:rsidP="00313BC1">
            <w:pPr>
              <w:spacing w:after="0"/>
              <w:jc w:val="center"/>
              <w:rPr>
                <w:rFonts w:ascii="Arial" w:hAnsi="Arial" w:cs="Arial"/>
                <w:color w:val="1D428A"/>
                <w:sz w:val="20"/>
                <w:szCs w:val="20"/>
              </w:rPr>
            </w:pPr>
            <w:r w:rsidRPr="00310A33">
              <w:rPr>
                <w:rFonts w:ascii="Arial" w:hAnsi="Arial" w:cs="Arial"/>
                <w:color w:val="1D428A"/>
                <w:sz w:val="20"/>
                <w:szCs w:val="20"/>
              </w:rPr>
              <w:t>0-0,25%</w:t>
            </w:r>
          </w:p>
        </w:tc>
        <w:tc>
          <w:tcPr>
            <w:tcW w:w="487" w:type="pct"/>
            <w:tcBorders>
              <w:bottom w:val="single" w:sz="12" w:space="0" w:color="auto"/>
            </w:tcBorders>
            <w:shd w:val="clear" w:color="auto" w:fill="D9D9D9" w:themeFill="background1" w:themeFillShade="D9"/>
            <w:vAlign w:val="center"/>
          </w:tcPr>
          <w:p w14:paraId="5F0BCDD6" w14:textId="77777777" w:rsidR="00B97D28" w:rsidRPr="00310A33" w:rsidRDefault="00B97D28" w:rsidP="005E356F">
            <w:pPr>
              <w:spacing w:after="0"/>
              <w:jc w:val="center"/>
              <w:rPr>
                <w:rFonts w:ascii="Arial" w:hAnsi="Arial" w:cs="Arial"/>
                <w:color w:val="1D428A"/>
                <w:sz w:val="20"/>
                <w:szCs w:val="20"/>
              </w:rPr>
            </w:pPr>
            <w:r w:rsidRPr="009B1ACD">
              <w:rPr>
                <w:rFonts w:ascii="Arial" w:hAnsi="Arial" w:cs="Arial"/>
                <w:color w:val="1D428A"/>
                <w:sz w:val="16"/>
                <w:szCs w:val="20"/>
              </w:rPr>
              <w:t>0</w:t>
            </w:r>
            <w:r w:rsidR="009B1ACD" w:rsidRPr="009B1ACD">
              <w:rPr>
                <w:rFonts w:ascii="Arial" w:hAnsi="Arial" w:cs="Arial"/>
                <w:color w:val="1D428A"/>
                <w:sz w:val="16"/>
                <w:szCs w:val="20"/>
              </w:rPr>
              <w:t>,</w:t>
            </w:r>
            <w:r w:rsidR="004248D0">
              <w:rPr>
                <w:rFonts w:ascii="Arial" w:hAnsi="Arial" w:cs="Arial"/>
                <w:color w:val="1D428A"/>
                <w:sz w:val="16"/>
                <w:szCs w:val="20"/>
              </w:rPr>
              <w:t>75-1,0</w:t>
            </w:r>
            <w:r w:rsidRPr="009B1ACD">
              <w:rPr>
                <w:rFonts w:ascii="Arial" w:hAnsi="Arial" w:cs="Arial"/>
                <w:color w:val="1D428A"/>
                <w:sz w:val="16"/>
                <w:szCs w:val="20"/>
              </w:rPr>
              <w:t>%</w:t>
            </w:r>
          </w:p>
        </w:tc>
        <w:tc>
          <w:tcPr>
            <w:tcW w:w="484" w:type="pct"/>
            <w:tcBorders>
              <w:bottom w:val="single" w:sz="12" w:space="0" w:color="auto"/>
              <w:right w:val="single" w:sz="12" w:space="0" w:color="auto"/>
            </w:tcBorders>
            <w:shd w:val="clear" w:color="auto" w:fill="D9D9D9" w:themeFill="background1" w:themeFillShade="D9"/>
            <w:vAlign w:val="center"/>
          </w:tcPr>
          <w:p w14:paraId="62E47B48" w14:textId="77777777" w:rsidR="00B97D28" w:rsidRPr="00310A33" w:rsidRDefault="009B1ACD" w:rsidP="005E356F">
            <w:pPr>
              <w:spacing w:after="0"/>
              <w:jc w:val="center"/>
              <w:rPr>
                <w:rFonts w:ascii="Arial" w:hAnsi="Arial" w:cs="Arial"/>
                <w:color w:val="1D428A"/>
                <w:sz w:val="20"/>
                <w:szCs w:val="20"/>
              </w:rPr>
            </w:pPr>
            <w:r>
              <w:rPr>
                <w:rFonts w:ascii="Arial" w:hAnsi="Arial" w:cs="Arial"/>
                <w:color w:val="1D428A"/>
                <w:sz w:val="16"/>
                <w:szCs w:val="20"/>
              </w:rPr>
              <w:t>1,</w:t>
            </w:r>
            <w:r w:rsidR="005E356F">
              <w:rPr>
                <w:rFonts w:ascii="Arial" w:hAnsi="Arial" w:cs="Arial"/>
                <w:color w:val="1D428A"/>
                <w:sz w:val="16"/>
                <w:szCs w:val="20"/>
              </w:rPr>
              <w:t>5</w:t>
            </w:r>
            <w:r>
              <w:rPr>
                <w:rFonts w:ascii="Arial" w:hAnsi="Arial" w:cs="Arial"/>
                <w:color w:val="1D428A"/>
                <w:sz w:val="16"/>
                <w:szCs w:val="20"/>
              </w:rPr>
              <w:t>-1,</w:t>
            </w:r>
            <w:r w:rsidR="005E356F">
              <w:rPr>
                <w:rFonts w:ascii="Arial" w:hAnsi="Arial" w:cs="Arial"/>
                <w:color w:val="1D428A"/>
                <w:sz w:val="16"/>
                <w:szCs w:val="20"/>
              </w:rPr>
              <w:t>75</w:t>
            </w:r>
            <w:r w:rsidR="000D1818" w:rsidRPr="00310A33">
              <w:rPr>
                <w:rFonts w:ascii="Arial" w:hAnsi="Arial" w:cs="Arial"/>
                <w:color w:val="1D428A"/>
                <w:sz w:val="16"/>
                <w:szCs w:val="20"/>
              </w:rPr>
              <w:t>%</w:t>
            </w:r>
          </w:p>
        </w:tc>
      </w:tr>
      <w:tr w:rsidR="00B97D28" w:rsidRPr="00DF3958" w14:paraId="7075B0FD" w14:textId="77777777" w:rsidTr="00313BC1">
        <w:trPr>
          <w:cantSplit/>
          <w:trHeight w:val="278"/>
        </w:trPr>
        <w:tc>
          <w:tcPr>
            <w:tcW w:w="1814" w:type="pct"/>
            <w:tcBorders>
              <w:top w:val="single" w:sz="12" w:space="0" w:color="auto"/>
              <w:left w:val="single" w:sz="12" w:space="0" w:color="auto"/>
            </w:tcBorders>
            <w:shd w:val="clear" w:color="auto" w:fill="auto"/>
            <w:vAlign w:val="center"/>
          </w:tcPr>
          <w:p w14:paraId="12EBDBBC" w14:textId="77777777" w:rsidR="00B97D28" w:rsidRPr="00FF53DB" w:rsidRDefault="00B97D28" w:rsidP="00313BC1">
            <w:pPr>
              <w:spacing w:after="0"/>
              <w:rPr>
                <w:rFonts w:ascii="Arial" w:hAnsi="Arial" w:cs="Arial"/>
                <w:b/>
                <w:sz w:val="20"/>
                <w:szCs w:val="20"/>
              </w:rPr>
            </w:pPr>
            <w:r w:rsidRPr="00FF53DB">
              <w:rPr>
                <w:rFonts w:ascii="Arial" w:hAnsi="Arial" w:cs="Arial"/>
                <w:b/>
                <w:sz w:val="20"/>
                <w:szCs w:val="20"/>
              </w:rPr>
              <w:t>3-hónapos BUBOR év végi</w:t>
            </w:r>
          </w:p>
        </w:tc>
        <w:tc>
          <w:tcPr>
            <w:tcW w:w="432" w:type="pct"/>
            <w:tcBorders>
              <w:top w:val="single" w:sz="12" w:space="0" w:color="auto"/>
            </w:tcBorders>
            <w:shd w:val="clear" w:color="auto" w:fill="auto"/>
            <w:vAlign w:val="center"/>
          </w:tcPr>
          <w:p w14:paraId="7D5987F2"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0,03%</w:t>
            </w:r>
          </w:p>
        </w:tc>
        <w:tc>
          <w:tcPr>
            <w:tcW w:w="432" w:type="pct"/>
            <w:tcBorders>
              <w:top w:val="single" w:sz="12" w:space="0" w:color="auto"/>
            </w:tcBorders>
            <w:shd w:val="clear" w:color="auto" w:fill="auto"/>
            <w:vAlign w:val="center"/>
          </w:tcPr>
          <w:p w14:paraId="6EC14825"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0,13%</w:t>
            </w:r>
          </w:p>
        </w:tc>
        <w:tc>
          <w:tcPr>
            <w:tcW w:w="432" w:type="pct"/>
            <w:tcBorders>
              <w:top w:val="single" w:sz="12" w:space="0" w:color="auto"/>
            </w:tcBorders>
            <w:shd w:val="clear" w:color="auto" w:fill="auto"/>
            <w:vAlign w:val="center"/>
          </w:tcPr>
          <w:p w14:paraId="07F9AFC0"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0,16%</w:t>
            </w:r>
          </w:p>
        </w:tc>
        <w:tc>
          <w:tcPr>
            <w:tcW w:w="432" w:type="pct"/>
            <w:tcBorders>
              <w:top w:val="single" w:sz="12" w:space="0" w:color="auto"/>
            </w:tcBorders>
            <w:shd w:val="clear" w:color="auto" w:fill="FFFFFF" w:themeFill="background1"/>
            <w:vAlign w:val="center"/>
          </w:tcPr>
          <w:p w14:paraId="10D8196B"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0,75%</w:t>
            </w:r>
          </w:p>
        </w:tc>
        <w:tc>
          <w:tcPr>
            <w:tcW w:w="487" w:type="pct"/>
            <w:tcBorders>
              <w:top w:val="single" w:sz="12" w:space="0" w:color="auto"/>
            </w:tcBorders>
            <w:shd w:val="clear" w:color="auto" w:fill="D9D9D9" w:themeFill="background1" w:themeFillShade="D9"/>
            <w:vAlign w:val="center"/>
          </w:tcPr>
          <w:p w14:paraId="4D53C7FB" w14:textId="77777777" w:rsidR="00B97D28" w:rsidRPr="00FF53DB" w:rsidRDefault="006C7421" w:rsidP="00313BC1">
            <w:pPr>
              <w:spacing w:after="0"/>
              <w:jc w:val="center"/>
              <w:rPr>
                <w:rFonts w:ascii="Arial" w:hAnsi="Arial" w:cs="Arial"/>
                <w:color w:val="1D428A"/>
                <w:sz w:val="20"/>
                <w:szCs w:val="20"/>
              </w:rPr>
            </w:pPr>
            <w:r>
              <w:rPr>
                <w:rFonts w:ascii="Arial" w:hAnsi="Arial" w:cs="Arial"/>
                <w:color w:val="1D428A"/>
                <w:sz w:val="20"/>
                <w:szCs w:val="20"/>
              </w:rPr>
              <w:t>4,21</w:t>
            </w:r>
            <w:r w:rsidR="00B97D28" w:rsidRPr="00FF53DB">
              <w:rPr>
                <w:rFonts w:ascii="Arial" w:hAnsi="Arial" w:cs="Arial"/>
                <w:color w:val="1D428A"/>
                <w:sz w:val="20"/>
                <w:szCs w:val="20"/>
              </w:rPr>
              <w:t>%</w:t>
            </w:r>
          </w:p>
        </w:tc>
        <w:tc>
          <w:tcPr>
            <w:tcW w:w="487" w:type="pct"/>
            <w:tcBorders>
              <w:top w:val="single" w:sz="12" w:space="0" w:color="auto"/>
            </w:tcBorders>
            <w:shd w:val="clear" w:color="auto" w:fill="D9D9D9" w:themeFill="background1" w:themeFillShade="D9"/>
            <w:vAlign w:val="center"/>
          </w:tcPr>
          <w:p w14:paraId="222BC52C" w14:textId="77777777" w:rsidR="00B97D28" w:rsidRPr="00FF53DB" w:rsidRDefault="005C393A" w:rsidP="00313BC1">
            <w:pPr>
              <w:spacing w:after="0"/>
              <w:jc w:val="center"/>
              <w:rPr>
                <w:rFonts w:ascii="Arial" w:hAnsi="Arial" w:cs="Arial"/>
                <w:color w:val="1D428A"/>
                <w:sz w:val="20"/>
                <w:szCs w:val="20"/>
              </w:rPr>
            </w:pPr>
            <w:r>
              <w:rPr>
                <w:rFonts w:ascii="Arial" w:hAnsi="Arial" w:cs="Arial"/>
                <w:color w:val="1D428A"/>
                <w:sz w:val="20"/>
                <w:szCs w:val="20"/>
              </w:rPr>
              <w:t>4,70</w:t>
            </w:r>
            <w:r w:rsidR="00B97D28" w:rsidRPr="00FF53DB">
              <w:rPr>
                <w:rFonts w:ascii="Arial" w:hAnsi="Arial" w:cs="Arial"/>
                <w:color w:val="1D428A"/>
                <w:sz w:val="20"/>
                <w:szCs w:val="20"/>
              </w:rPr>
              <w:t>%</w:t>
            </w:r>
          </w:p>
        </w:tc>
        <w:tc>
          <w:tcPr>
            <w:tcW w:w="484" w:type="pct"/>
            <w:tcBorders>
              <w:top w:val="single" w:sz="12" w:space="0" w:color="auto"/>
              <w:right w:val="single" w:sz="12" w:space="0" w:color="auto"/>
            </w:tcBorders>
            <w:shd w:val="clear" w:color="auto" w:fill="D9D9D9" w:themeFill="background1" w:themeFillShade="D9"/>
            <w:vAlign w:val="center"/>
          </w:tcPr>
          <w:p w14:paraId="0437EC6C" w14:textId="77777777" w:rsidR="00B97D28" w:rsidRPr="00FF53DB" w:rsidRDefault="005C393A" w:rsidP="00313BC1">
            <w:pPr>
              <w:spacing w:after="0"/>
              <w:jc w:val="center"/>
              <w:rPr>
                <w:rFonts w:ascii="Arial" w:hAnsi="Arial" w:cs="Arial"/>
                <w:color w:val="1D428A"/>
                <w:sz w:val="20"/>
                <w:szCs w:val="20"/>
              </w:rPr>
            </w:pPr>
            <w:r>
              <w:rPr>
                <w:rFonts w:ascii="Arial" w:hAnsi="Arial" w:cs="Arial"/>
                <w:color w:val="1D428A"/>
                <w:sz w:val="20"/>
                <w:szCs w:val="20"/>
              </w:rPr>
              <w:t>4,45</w:t>
            </w:r>
            <w:r w:rsidR="000D1818">
              <w:rPr>
                <w:rFonts w:ascii="Arial" w:hAnsi="Arial" w:cs="Arial"/>
                <w:color w:val="1D428A"/>
                <w:sz w:val="20"/>
                <w:szCs w:val="20"/>
              </w:rPr>
              <w:t>%</w:t>
            </w:r>
          </w:p>
        </w:tc>
      </w:tr>
      <w:tr w:rsidR="00B97D28" w:rsidRPr="00DF3958" w14:paraId="0CCDE18D" w14:textId="77777777" w:rsidTr="00313BC1">
        <w:trPr>
          <w:cantSplit/>
          <w:trHeight w:val="278"/>
        </w:trPr>
        <w:tc>
          <w:tcPr>
            <w:tcW w:w="1814" w:type="pct"/>
            <w:tcBorders>
              <w:left w:val="single" w:sz="12" w:space="0" w:color="auto"/>
              <w:bottom w:val="single" w:sz="4" w:space="0" w:color="auto"/>
            </w:tcBorders>
            <w:shd w:val="clear" w:color="auto" w:fill="auto"/>
            <w:vAlign w:val="center"/>
          </w:tcPr>
          <w:p w14:paraId="6E13DE3B" w14:textId="77777777" w:rsidR="00B97D28" w:rsidRPr="00FF53DB" w:rsidRDefault="00B97D28" w:rsidP="00313BC1">
            <w:pPr>
              <w:spacing w:after="0"/>
              <w:rPr>
                <w:rFonts w:ascii="Arial" w:hAnsi="Arial" w:cs="Arial"/>
                <w:b/>
                <w:sz w:val="20"/>
                <w:szCs w:val="20"/>
              </w:rPr>
            </w:pPr>
            <w:r w:rsidRPr="00FF53DB">
              <w:rPr>
                <w:rFonts w:ascii="Arial" w:hAnsi="Arial" w:cs="Arial"/>
                <w:b/>
                <w:sz w:val="20"/>
                <w:szCs w:val="20"/>
              </w:rPr>
              <w:t>3-hónapos EURIBOR év végi</w:t>
            </w:r>
          </w:p>
        </w:tc>
        <w:tc>
          <w:tcPr>
            <w:tcW w:w="432" w:type="pct"/>
            <w:tcBorders>
              <w:bottom w:val="single" w:sz="4" w:space="0" w:color="auto"/>
            </w:tcBorders>
            <w:shd w:val="clear" w:color="auto" w:fill="auto"/>
            <w:vAlign w:val="center"/>
          </w:tcPr>
          <w:p w14:paraId="0B41753F"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-0,33%</w:t>
            </w:r>
          </w:p>
        </w:tc>
        <w:tc>
          <w:tcPr>
            <w:tcW w:w="432" w:type="pct"/>
            <w:tcBorders>
              <w:bottom w:val="single" w:sz="4" w:space="0" w:color="auto"/>
            </w:tcBorders>
            <w:shd w:val="clear" w:color="auto" w:fill="auto"/>
            <w:vAlign w:val="center"/>
          </w:tcPr>
          <w:p w14:paraId="693BB672"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-0,31%</w:t>
            </w:r>
          </w:p>
        </w:tc>
        <w:tc>
          <w:tcPr>
            <w:tcW w:w="432" w:type="pct"/>
            <w:tcBorders>
              <w:bottom w:val="single" w:sz="4" w:space="0" w:color="auto"/>
            </w:tcBorders>
            <w:shd w:val="clear" w:color="auto" w:fill="auto"/>
            <w:vAlign w:val="center"/>
          </w:tcPr>
          <w:p w14:paraId="32D314F9"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-0,38%</w:t>
            </w:r>
          </w:p>
        </w:tc>
        <w:tc>
          <w:tcPr>
            <w:tcW w:w="432" w:type="pct"/>
            <w:tcBorders>
              <w:bottom w:val="single" w:sz="4" w:space="0" w:color="auto"/>
            </w:tcBorders>
            <w:shd w:val="clear" w:color="auto" w:fill="FFFFFF" w:themeFill="background1"/>
            <w:vAlign w:val="center"/>
          </w:tcPr>
          <w:p w14:paraId="66D85AF6"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-0,55%</w:t>
            </w:r>
          </w:p>
        </w:tc>
        <w:tc>
          <w:tcPr>
            <w:tcW w:w="487" w:type="pct"/>
            <w:tcBorders>
              <w:bottom w:val="single" w:sz="4" w:space="0" w:color="auto"/>
            </w:tcBorders>
            <w:shd w:val="clear" w:color="auto" w:fill="D9D9D9" w:themeFill="background1" w:themeFillShade="D9"/>
            <w:vAlign w:val="center"/>
          </w:tcPr>
          <w:p w14:paraId="15268CA6" w14:textId="77777777" w:rsidR="00B97D28" w:rsidRPr="00FF53DB" w:rsidRDefault="00B97D28" w:rsidP="00313BC1">
            <w:pPr>
              <w:spacing w:after="0"/>
              <w:jc w:val="center"/>
              <w:rPr>
                <w:rFonts w:ascii="Arial" w:hAnsi="Arial" w:cs="Arial"/>
                <w:color w:val="1D428A"/>
                <w:sz w:val="20"/>
                <w:szCs w:val="20"/>
              </w:rPr>
            </w:pPr>
            <w:r w:rsidRPr="00FF53DB">
              <w:rPr>
                <w:rFonts w:ascii="Arial" w:hAnsi="Arial" w:cs="Arial"/>
                <w:color w:val="1D428A"/>
                <w:sz w:val="20"/>
                <w:szCs w:val="20"/>
              </w:rPr>
              <w:t>-0,</w:t>
            </w:r>
            <w:r w:rsidR="004248D0">
              <w:rPr>
                <w:rFonts w:ascii="Arial" w:hAnsi="Arial" w:cs="Arial"/>
                <w:color w:val="1D428A"/>
                <w:sz w:val="20"/>
                <w:szCs w:val="20"/>
              </w:rPr>
              <w:t>57</w:t>
            </w:r>
            <w:r w:rsidRPr="00FF53DB">
              <w:rPr>
                <w:rFonts w:ascii="Arial" w:hAnsi="Arial" w:cs="Arial"/>
                <w:color w:val="1D428A"/>
                <w:sz w:val="20"/>
                <w:szCs w:val="20"/>
              </w:rPr>
              <w:t>%</w:t>
            </w:r>
          </w:p>
        </w:tc>
        <w:tc>
          <w:tcPr>
            <w:tcW w:w="487" w:type="pct"/>
            <w:tcBorders>
              <w:bottom w:val="single" w:sz="4" w:space="0" w:color="auto"/>
            </w:tcBorders>
            <w:shd w:val="clear" w:color="auto" w:fill="D9D9D9" w:themeFill="background1" w:themeFillShade="D9"/>
            <w:vAlign w:val="center"/>
          </w:tcPr>
          <w:p w14:paraId="02EE8AC2" w14:textId="77777777" w:rsidR="00B97D28" w:rsidRPr="00FF53DB" w:rsidRDefault="00B97D28" w:rsidP="00313BC1">
            <w:pPr>
              <w:spacing w:after="0"/>
              <w:jc w:val="center"/>
              <w:rPr>
                <w:rFonts w:ascii="Arial" w:hAnsi="Arial" w:cs="Arial"/>
                <w:color w:val="1D428A"/>
                <w:sz w:val="20"/>
                <w:szCs w:val="20"/>
              </w:rPr>
            </w:pPr>
            <w:r w:rsidRPr="00FF53DB">
              <w:rPr>
                <w:rFonts w:ascii="Arial" w:hAnsi="Arial" w:cs="Arial"/>
                <w:color w:val="1D428A"/>
                <w:sz w:val="20"/>
                <w:szCs w:val="20"/>
              </w:rPr>
              <w:t>-0,4</w:t>
            </w:r>
            <w:r w:rsidR="005C393A">
              <w:rPr>
                <w:rFonts w:ascii="Arial" w:hAnsi="Arial" w:cs="Arial"/>
                <w:color w:val="1D428A"/>
                <w:sz w:val="20"/>
                <w:szCs w:val="20"/>
              </w:rPr>
              <w:t>0</w:t>
            </w:r>
            <w:r w:rsidRPr="00FF53DB">
              <w:rPr>
                <w:rFonts w:ascii="Arial" w:hAnsi="Arial" w:cs="Arial"/>
                <w:color w:val="1D428A"/>
                <w:sz w:val="20"/>
                <w:szCs w:val="20"/>
              </w:rPr>
              <w:t>%</w:t>
            </w:r>
          </w:p>
        </w:tc>
        <w:tc>
          <w:tcPr>
            <w:tcW w:w="484" w:type="pct"/>
            <w:tcBorders>
              <w:bottom w:val="single" w:sz="4" w:space="0" w:color="auto"/>
              <w:right w:val="single" w:sz="12" w:space="0" w:color="auto"/>
            </w:tcBorders>
            <w:shd w:val="clear" w:color="auto" w:fill="D9D9D9" w:themeFill="background1" w:themeFillShade="D9"/>
            <w:vAlign w:val="center"/>
          </w:tcPr>
          <w:p w14:paraId="144DEEC6" w14:textId="77777777" w:rsidR="00B97D28" w:rsidRPr="00FF53DB" w:rsidRDefault="005C393A" w:rsidP="005C393A">
            <w:pPr>
              <w:spacing w:after="0"/>
              <w:jc w:val="center"/>
              <w:rPr>
                <w:rFonts w:ascii="Arial" w:hAnsi="Arial" w:cs="Arial"/>
                <w:color w:val="1D428A"/>
                <w:sz w:val="20"/>
                <w:szCs w:val="20"/>
              </w:rPr>
            </w:pPr>
            <w:r>
              <w:rPr>
                <w:rFonts w:ascii="Arial" w:hAnsi="Arial" w:cs="Arial"/>
                <w:color w:val="1D428A"/>
                <w:sz w:val="20"/>
                <w:szCs w:val="20"/>
              </w:rPr>
              <w:t>-0,25</w:t>
            </w:r>
            <w:r w:rsidR="009B1ACD">
              <w:rPr>
                <w:rFonts w:ascii="Arial" w:hAnsi="Arial" w:cs="Arial"/>
                <w:color w:val="1D428A"/>
                <w:sz w:val="20"/>
                <w:szCs w:val="20"/>
              </w:rPr>
              <w:t>%</w:t>
            </w:r>
          </w:p>
        </w:tc>
      </w:tr>
      <w:tr w:rsidR="00B97D28" w:rsidRPr="00DF3958" w14:paraId="6F4C4168" w14:textId="77777777" w:rsidTr="00313BC1">
        <w:trPr>
          <w:cantSplit/>
          <w:trHeight w:val="278"/>
        </w:trPr>
        <w:tc>
          <w:tcPr>
            <w:tcW w:w="1814" w:type="pct"/>
            <w:tcBorders>
              <w:left w:val="single" w:sz="12" w:space="0" w:color="auto"/>
              <w:bottom w:val="single" w:sz="12" w:space="0" w:color="auto"/>
            </w:tcBorders>
            <w:shd w:val="clear" w:color="auto" w:fill="auto"/>
            <w:vAlign w:val="center"/>
          </w:tcPr>
          <w:p w14:paraId="51528A81" w14:textId="77777777" w:rsidR="00B97D28" w:rsidRPr="00FF53DB" w:rsidRDefault="00B97D28" w:rsidP="00313BC1">
            <w:pPr>
              <w:spacing w:after="0"/>
              <w:rPr>
                <w:rFonts w:ascii="Arial" w:hAnsi="Arial" w:cs="Arial"/>
                <w:b/>
                <w:sz w:val="20"/>
                <w:szCs w:val="20"/>
              </w:rPr>
            </w:pPr>
            <w:r w:rsidRPr="00FF53DB">
              <w:rPr>
                <w:rFonts w:ascii="Arial" w:hAnsi="Arial" w:cs="Arial"/>
                <w:b/>
                <w:sz w:val="20"/>
                <w:szCs w:val="20"/>
              </w:rPr>
              <w:t>3-hónapos USD LIBOR év végi</w:t>
            </w:r>
          </w:p>
        </w:tc>
        <w:tc>
          <w:tcPr>
            <w:tcW w:w="432" w:type="pct"/>
            <w:tcBorders>
              <w:bottom w:val="single" w:sz="12" w:space="0" w:color="auto"/>
            </w:tcBorders>
            <w:shd w:val="clear" w:color="auto" w:fill="auto"/>
            <w:vAlign w:val="center"/>
          </w:tcPr>
          <w:p w14:paraId="66985E1D"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1,69%</w:t>
            </w:r>
          </w:p>
        </w:tc>
        <w:tc>
          <w:tcPr>
            <w:tcW w:w="432" w:type="pct"/>
            <w:tcBorders>
              <w:bottom w:val="single" w:sz="12" w:space="0" w:color="auto"/>
            </w:tcBorders>
            <w:shd w:val="clear" w:color="auto" w:fill="auto"/>
            <w:vAlign w:val="center"/>
          </w:tcPr>
          <w:p w14:paraId="7E5F63E9"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2,81%</w:t>
            </w:r>
          </w:p>
        </w:tc>
        <w:tc>
          <w:tcPr>
            <w:tcW w:w="432" w:type="pct"/>
            <w:tcBorders>
              <w:bottom w:val="single" w:sz="12" w:space="0" w:color="auto"/>
            </w:tcBorders>
            <w:shd w:val="clear" w:color="auto" w:fill="auto"/>
            <w:vAlign w:val="center"/>
          </w:tcPr>
          <w:p w14:paraId="2C88D8A2"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1,91%</w:t>
            </w:r>
          </w:p>
        </w:tc>
        <w:tc>
          <w:tcPr>
            <w:tcW w:w="432" w:type="pct"/>
            <w:tcBorders>
              <w:bottom w:val="single" w:sz="12" w:space="0" w:color="auto"/>
            </w:tcBorders>
            <w:shd w:val="clear" w:color="auto" w:fill="FFFFFF" w:themeFill="background1"/>
            <w:vAlign w:val="center"/>
          </w:tcPr>
          <w:p w14:paraId="18EB836A"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0,24%</w:t>
            </w:r>
          </w:p>
        </w:tc>
        <w:tc>
          <w:tcPr>
            <w:tcW w:w="487" w:type="pct"/>
            <w:tcBorders>
              <w:bottom w:val="single" w:sz="12" w:space="0" w:color="auto"/>
            </w:tcBorders>
            <w:shd w:val="clear" w:color="auto" w:fill="D9D9D9" w:themeFill="background1" w:themeFillShade="D9"/>
            <w:vAlign w:val="center"/>
          </w:tcPr>
          <w:p w14:paraId="1E1D34B4" w14:textId="77777777" w:rsidR="00B97D28" w:rsidRPr="00FF53DB" w:rsidRDefault="00B97D28" w:rsidP="00313BC1">
            <w:pPr>
              <w:spacing w:after="0"/>
              <w:jc w:val="center"/>
              <w:rPr>
                <w:rFonts w:ascii="Arial" w:hAnsi="Arial" w:cs="Arial"/>
                <w:color w:val="1D428A"/>
                <w:sz w:val="20"/>
                <w:szCs w:val="20"/>
              </w:rPr>
            </w:pPr>
            <w:r w:rsidRPr="00FF53DB">
              <w:rPr>
                <w:rFonts w:ascii="Arial" w:hAnsi="Arial" w:cs="Arial"/>
                <w:color w:val="1D428A"/>
                <w:sz w:val="20"/>
                <w:szCs w:val="20"/>
              </w:rPr>
              <w:t>0,</w:t>
            </w:r>
            <w:r w:rsidR="004248D0">
              <w:rPr>
                <w:rFonts w:ascii="Arial" w:hAnsi="Arial" w:cs="Arial"/>
                <w:color w:val="1D428A"/>
                <w:sz w:val="20"/>
                <w:szCs w:val="20"/>
              </w:rPr>
              <w:t>21</w:t>
            </w:r>
            <w:r w:rsidRPr="00FF53DB">
              <w:rPr>
                <w:rFonts w:ascii="Arial" w:hAnsi="Arial" w:cs="Arial"/>
                <w:color w:val="1D428A"/>
                <w:sz w:val="20"/>
                <w:szCs w:val="20"/>
              </w:rPr>
              <w:t>%</w:t>
            </w:r>
          </w:p>
        </w:tc>
        <w:tc>
          <w:tcPr>
            <w:tcW w:w="487" w:type="pct"/>
            <w:tcBorders>
              <w:bottom w:val="single" w:sz="12" w:space="0" w:color="auto"/>
            </w:tcBorders>
            <w:shd w:val="clear" w:color="auto" w:fill="D9D9D9" w:themeFill="background1" w:themeFillShade="D9"/>
            <w:vAlign w:val="center"/>
          </w:tcPr>
          <w:p w14:paraId="617BA3E5" w14:textId="77777777" w:rsidR="00B97D28" w:rsidRPr="00FF53DB" w:rsidRDefault="00B97D28" w:rsidP="00313BC1">
            <w:pPr>
              <w:spacing w:after="0"/>
              <w:jc w:val="center"/>
              <w:rPr>
                <w:rFonts w:ascii="Arial" w:hAnsi="Arial" w:cs="Arial"/>
                <w:color w:val="1D428A"/>
                <w:sz w:val="20"/>
                <w:szCs w:val="20"/>
              </w:rPr>
            </w:pPr>
            <w:r w:rsidRPr="00FF53DB">
              <w:rPr>
                <w:rFonts w:ascii="Arial" w:hAnsi="Arial" w:cs="Arial"/>
                <w:color w:val="1D428A"/>
                <w:sz w:val="20"/>
                <w:szCs w:val="20"/>
              </w:rPr>
              <w:t>0,</w:t>
            </w:r>
            <w:r w:rsidR="005C393A">
              <w:rPr>
                <w:rFonts w:ascii="Arial" w:hAnsi="Arial" w:cs="Arial"/>
                <w:color w:val="1D428A"/>
                <w:sz w:val="20"/>
                <w:szCs w:val="20"/>
              </w:rPr>
              <w:t>85</w:t>
            </w:r>
            <w:r w:rsidRPr="00FF53DB">
              <w:rPr>
                <w:rFonts w:ascii="Arial" w:hAnsi="Arial" w:cs="Arial"/>
                <w:color w:val="1D428A"/>
                <w:sz w:val="20"/>
                <w:szCs w:val="20"/>
              </w:rPr>
              <w:t>%</w:t>
            </w:r>
          </w:p>
        </w:tc>
        <w:tc>
          <w:tcPr>
            <w:tcW w:w="484" w:type="pct"/>
            <w:tcBorders>
              <w:bottom w:val="single" w:sz="12" w:space="0" w:color="auto"/>
              <w:right w:val="single" w:sz="12" w:space="0" w:color="auto"/>
            </w:tcBorders>
            <w:shd w:val="clear" w:color="auto" w:fill="D9D9D9" w:themeFill="background1" w:themeFillShade="D9"/>
            <w:vAlign w:val="center"/>
          </w:tcPr>
          <w:p w14:paraId="5F4B8578" w14:textId="77777777" w:rsidR="00B97D28" w:rsidRPr="00FF53DB" w:rsidRDefault="005C393A" w:rsidP="00313BC1">
            <w:pPr>
              <w:spacing w:after="0"/>
              <w:jc w:val="center"/>
              <w:rPr>
                <w:rFonts w:ascii="Arial" w:hAnsi="Arial" w:cs="Arial"/>
                <w:color w:val="1D428A"/>
                <w:sz w:val="20"/>
                <w:szCs w:val="20"/>
              </w:rPr>
            </w:pPr>
            <w:r>
              <w:rPr>
                <w:rFonts w:ascii="Arial" w:hAnsi="Arial" w:cs="Arial"/>
                <w:color w:val="1D428A"/>
                <w:sz w:val="20"/>
                <w:szCs w:val="20"/>
              </w:rPr>
              <w:t>1,55</w:t>
            </w:r>
            <w:r w:rsidR="009B1ACD">
              <w:rPr>
                <w:rFonts w:ascii="Arial" w:hAnsi="Arial" w:cs="Arial"/>
                <w:color w:val="1D428A"/>
                <w:sz w:val="20"/>
                <w:szCs w:val="20"/>
              </w:rPr>
              <w:t>%</w:t>
            </w:r>
          </w:p>
        </w:tc>
      </w:tr>
      <w:tr w:rsidR="00B97D28" w:rsidRPr="00DF3958" w14:paraId="5FA42FA1" w14:textId="77777777" w:rsidTr="00313BC1">
        <w:trPr>
          <w:cantSplit/>
          <w:trHeight w:val="278"/>
        </w:trPr>
        <w:tc>
          <w:tcPr>
            <w:tcW w:w="1814" w:type="pct"/>
            <w:tcBorders>
              <w:top w:val="single" w:sz="12" w:space="0" w:color="auto"/>
              <w:left w:val="single" w:sz="12" w:space="0" w:color="auto"/>
              <w:bottom w:val="single" w:sz="4" w:space="0" w:color="auto"/>
            </w:tcBorders>
            <w:shd w:val="clear" w:color="auto" w:fill="auto"/>
            <w:vAlign w:val="center"/>
          </w:tcPr>
          <w:p w14:paraId="5B761370" w14:textId="77777777" w:rsidR="00B97D28" w:rsidRPr="00FF53DB" w:rsidRDefault="00B97D28" w:rsidP="00313BC1">
            <w:pPr>
              <w:spacing w:after="0"/>
              <w:rPr>
                <w:rFonts w:ascii="Arial" w:hAnsi="Arial" w:cs="Arial"/>
                <w:b/>
                <w:sz w:val="20"/>
                <w:szCs w:val="20"/>
              </w:rPr>
            </w:pPr>
            <w:r w:rsidRPr="00FF53DB">
              <w:rPr>
                <w:rFonts w:ascii="Arial" w:hAnsi="Arial" w:cs="Arial"/>
                <w:b/>
                <w:sz w:val="20"/>
                <w:szCs w:val="20"/>
              </w:rPr>
              <w:t>5-éves ÁKK ref. hozam év végi</w:t>
            </w:r>
          </w:p>
        </w:tc>
        <w:tc>
          <w:tcPr>
            <w:tcW w:w="432" w:type="pct"/>
            <w:tcBorders>
              <w:top w:val="single" w:sz="12" w:space="0" w:color="auto"/>
              <w:bottom w:val="single" w:sz="4" w:space="0" w:color="auto"/>
            </w:tcBorders>
            <w:shd w:val="clear" w:color="auto" w:fill="auto"/>
            <w:vAlign w:val="center"/>
          </w:tcPr>
          <w:p w14:paraId="5BD495D0"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1,20%</w:t>
            </w:r>
          </w:p>
        </w:tc>
        <w:tc>
          <w:tcPr>
            <w:tcW w:w="432" w:type="pct"/>
            <w:tcBorders>
              <w:top w:val="single" w:sz="12" w:space="0" w:color="auto"/>
              <w:bottom w:val="single" w:sz="4" w:space="0" w:color="auto"/>
            </w:tcBorders>
            <w:shd w:val="clear" w:color="auto" w:fill="auto"/>
            <w:vAlign w:val="center"/>
          </w:tcPr>
          <w:p w14:paraId="05843C82"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2,48%</w:t>
            </w:r>
          </w:p>
        </w:tc>
        <w:tc>
          <w:tcPr>
            <w:tcW w:w="432" w:type="pct"/>
            <w:tcBorders>
              <w:top w:val="single" w:sz="12" w:space="0" w:color="auto"/>
              <w:bottom w:val="single" w:sz="4" w:space="0" w:color="auto"/>
            </w:tcBorders>
            <w:shd w:val="clear" w:color="auto" w:fill="auto"/>
            <w:vAlign w:val="center"/>
          </w:tcPr>
          <w:p w14:paraId="3D1208F0"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1,17%</w:t>
            </w:r>
          </w:p>
        </w:tc>
        <w:tc>
          <w:tcPr>
            <w:tcW w:w="432" w:type="pct"/>
            <w:tcBorders>
              <w:top w:val="single" w:sz="12" w:space="0" w:color="auto"/>
              <w:bottom w:val="single" w:sz="4" w:space="0" w:color="auto"/>
            </w:tcBorders>
            <w:shd w:val="clear" w:color="auto" w:fill="FFFFFF" w:themeFill="background1"/>
            <w:vAlign w:val="center"/>
          </w:tcPr>
          <w:p w14:paraId="77EDC47D"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1,42%</w:t>
            </w:r>
          </w:p>
        </w:tc>
        <w:tc>
          <w:tcPr>
            <w:tcW w:w="487" w:type="pct"/>
            <w:tcBorders>
              <w:top w:val="single" w:sz="12" w:space="0" w:color="auto"/>
              <w:bottom w:val="single" w:sz="4" w:space="0" w:color="auto"/>
            </w:tcBorders>
            <w:shd w:val="clear" w:color="auto" w:fill="D9D9D9" w:themeFill="background1" w:themeFillShade="D9"/>
            <w:vAlign w:val="center"/>
          </w:tcPr>
          <w:p w14:paraId="7797DF6D" w14:textId="77777777" w:rsidR="00B97D28" w:rsidRPr="00FF53DB" w:rsidRDefault="00282B54" w:rsidP="003856CE">
            <w:pPr>
              <w:spacing w:after="0"/>
              <w:jc w:val="center"/>
              <w:rPr>
                <w:rFonts w:ascii="Arial" w:hAnsi="Arial" w:cs="Arial"/>
                <w:color w:val="1D428A"/>
                <w:sz w:val="20"/>
                <w:szCs w:val="20"/>
              </w:rPr>
            </w:pPr>
            <w:r>
              <w:rPr>
                <w:rFonts w:ascii="Arial" w:hAnsi="Arial" w:cs="Arial"/>
                <w:color w:val="1D428A"/>
                <w:sz w:val="20"/>
                <w:szCs w:val="20"/>
              </w:rPr>
              <w:t>4,35</w:t>
            </w:r>
            <w:r w:rsidR="00B97D28" w:rsidRPr="00FF53DB">
              <w:rPr>
                <w:rFonts w:ascii="Arial" w:hAnsi="Arial" w:cs="Arial"/>
                <w:color w:val="1D428A"/>
                <w:sz w:val="20"/>
                <w:szCs w:val="20"/>
              </w:rPr>
              <w:t>%</w:t>
            </w:r>
          </w:p>
        </w:tc>
        <w:tc>
          <w:tcPr>
            <w:tcW w:w="487" w:type="pct"/>
            <w:tcBorders>
              <w:top w:val="single" w:sz="12" w:space="0" w:color="auto"/>
              <w:bottom w:val="single" w:sz="4" w:space="0" w:color="auto"/>
            </w:tcBorders>
            <w:shd w:val="clear" w:color="auto" w:fill="D9D9D9" w:themeFill="background1" w:themeFillShade="D9"/>
            <w:vAlign w:val="center"/>
          </w:tcPr>
          <w:p w14:paraId="186347B8" w14:textId="77777777" w:rsidR="00B97D28" w:rsidRPr="00FF53DB" w:rsidRDefault="005C393A" w:rsidP="00313BC1">
            <w:pPr>
              <w:spacing w:after="0"/>
              <w:jc w:val="center"/>
              <w:rPr>
                <w:rFonts w:ascii="Arial" w:hAnsi="Arial" w:cs="Arial"/>
                <w:color w:val="1D428A"/>
                <w:sz w:val="20"/>
                <w:szCs w:val="20"/>
              </w:rPr>
            </w:pPr>
            <w:r>
              <w:rPr>
                <w:rFonts w:ascii="Arial" w:hAnsi="Arial" w:cs="Arial"/>
                <w:color w:val="1D428A"/>
                <w:sz w:val="20"/>
                <w:szCs w:val="20"/>
              </w:rPr>
              <w:t>4,70</w:t>
            </w:r>
            <w:r w:rsidR="00B97D28" w:rsidRPr="00FF53DB">
              <w:rPr>
                <w:rFonts w:ascii="Arial" w:hAnsi="Arial" w:cs="Arial"/>
                <w:color w:val="1D428A"/>
                <w:sz w:val="20"/>
                <w:szCs w:val="20"/>
              </w:rPr>
              <w:t>%</w:t>
            </w:r>
          </w:p>
        </w:tc>
        <w:tc>
          <w:tcPr>
            <w:tcW w:w="484" w:type="pct"/>
            <w:tcBorders>
              <w:top w:val="single" w:sz="12" w:space="0" w:color="auto"/>
              <w:bottom w:val="single" w:sz="4" w:space="0" w:color="auto"/>
              <w:right w:val="single" w:sz="12" w:space="0" w:color="auto"/>
            </w:tcBorders>
            <w:shd w:val="clear" w:color="auto" w:fill="D9D9D9" w:themeFill="background1" w:themeFillShade="D9"/>
            <w:vAlign w:val="center"/>
          </w:tcPr>
          <w:p w14:paraId="33C31FB5" w14:textId="77777777" w:rsidR="00B97D28" w:rsidRPr="00FF53DB" w:rsidRDefault="005C393A" w:rsidP="00B95A35">
            <w:pPr>
              <w:spacing w:after="0"/>
              <w:jc w:val="center"/>
              <w:rPr>
                <w:rFonts w:ascii="Arial" w:hAnsi="Arial" w:cs="Arial"/>
                <w:color w:val="1D428A"/>
                <w:sz w:val="20"/>
                <w:szCs w:val="20"/>
              </w:rPr>
            </w:pPr>
            <w:r>
              <w:rPr>
                <w:rFonts w:ascii="Arial" w:hAnsi="Arial" w:cs="Arial"/>
                <w:color w:val="1D428A"/>
                <w:sz w:val="20"/>
                <w:szCs w:val="20"/>
              </w:rPr>
              <w:t>4,2</w:t>
            </w:r>
            <w:r w:rsidR="00282B54">
              <w:rPr>
                <w:rFonts w:ascii="Arial" w:hAnsi="Arial" w:cs="Arial"/>
                <w:color w:val="1D428A"/>
                <w:sz w:val="20"/>
                <w:szCs w:val="20"/>
              </w:rPr>
              <w:t>0</w:t>
            </w:r>
            <w:r w:rsidR="009B1ACD">
              <w:rPr>
                <w:rFonts w:ascii="Arial" w:hAnsi="Arial" w:cs="Arial"/>
                <w:color w:val="1D428A"/>
                <w:sz w:val="20"/>
                <w:szCs w:val="20"/>
              </w:rPr>
              <w:t>%</w:t>
            </w:r>
          </w:p>
        </w:tc>
      </w:tr>
      <w:tr w:rsidR="00B97D28" w:rsidRPr="00DF3958" w14:paraId="11954CDB" w14:textId="77777777" w:rsidTr="00313BC1">
        <w:trPr>
          <w:cantSplit/>
          <w:trHeight w:val="278"/>
        </w:trPr>
        <w:tc>
          <w:tcPr>
            <w:tcW w:w="1814" w:type="pct"/>
            <w:tcBorders>
              <w:left w:val="single" w:sz="12" w:space="0" w:color="auto"/>
              <w:bottom w:val="single" w:sz="12" w:space="0" w:color="auto"/>
            </w:tcBorders>
            <w:shd w:val="clear" w:color="auto" w:fill="auto"/>
            <w:vAlign w:val="center"/>
          </w:tcPr>
          <w:p w14:paraId="38C41B44" w14:textId="77777777" w:rsidR="00B97D28" w:rsidRPr="00FF53DB" w:rsidRDefault="00B97D28" w:rsidP="00313BC1">
            <w:pPr>
              <w:spacing w:after="0"/>
              <w:rPr>
                <w:rFonts w:ascii="Arial" w:hAnsi="Arial" w:cs="Arial"/>
                <w:b/>
                <w:sz w:val="20"/>
                <w:szCs w:val="20"/>
              </w:rPr>
            </w:pPr>
            <w:r w:rsidRPr="00FF53DB">
              <w:rPr>
                <w:rFonts w:ascii="Arial" w:hAnsi="Arial" w:cs="Arial"/>
                <w:b/>
                <w:sz w:val="20"/>
                <w:szCs w:val="20"/>
              </w:rPr>
              <w:t>10-éves ÁKK ref. hozam év végi</w:t>
            </w:r>
          </w:p>
        </w:tc>
        <w:tc>
          <w:tcPr>
            <w:tcW w:w="432" w:type="pct"/>
            <w:tcBorders>
              <w:bottom w:val="single" w:sz="12" w:space="0" w:color="auto"/>
            </w:tcBorders>
            <w:shd w:val="clear" w:color="auto" w:fill="auto"/>
            <w:vAlign w:val="center"/>
          </w:tcPr>
          <w:p w14:paraId="5656C922"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2,20%</w:t>
            </w:r>
          </w:p>
        </w:tc>
        <w:tc>
          <w:tcPr>
            <w:tcW w:w="432" w:type="pct"/>
            <w:tcBorders>
              <w:bottom w:val="single" w:sz="12" w:space="0" w:color="auto"/>
            </w:tcBorders>
            <w:shd w:val="clear" w:color="auto" w:fill="auto"/>
            <w:vAlign w:val="center"/>
          </w:tcPr>
          <w:p w14:paraId="5A6EF77D"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2,99%</w:t>
            </w:r>
          </w:p>
        </w:tc>
        <w:tc>
          <w:tcPr>
            <w:tcW w:w="432" w:type="pct"/>
            <w:tcBorders>
              <w:bottom w:val="single" w:sz="12" w:space="0" w:color="auto"/>
            </w:tcBorders>
            <w:shd w:val="clear" w:color="auto" w:fill="auto"/>
            <w:vAlign w:val="center"/>
          </w:tcPr>
          <w:p w14:paraId="6E1963F4"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2,01%</w:t>
            </w:r>
          </w:p>
        </w:tc>
        <w:tc>
          <w:tcPr>
            <w:tcW w:w="432" w:type="pct"/>
            <w:tcBorders>
              <w:bottom w:val="single" w:sz="12" w:space="0" w:color="auto"/>
            </w:tcBorders>
            <w:shd w:val="clear" w:color="auto" w:fill="FFFFFF" w:themeFill="background1"/>
            <w:vAlign w:val="center"/>
          </w:tcPr>
          <w:p w14:paraId="5F1C76E8"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2,17%</w:t>
            </w:r>
          </w:p>
        </w:tc>
        <w:tc>
          <w:tcPr>
            <w:tcW w:w="487" w:type="pct"/>
            <w:tcBorders>
              <w:bottom w:val="single" w:sz="12" w:space="0" w:color="auto"/>
            </w:tcBorders>
            <w:shd w:val="clear" w:color="auto" w:fill="D9D9D9" w:themeFill="background1" w:themeFillShade="D9"/>
            <w:vAlign w:val="center"/>
          </w:tcPr>
          <w:p w14:paraId="620A9871" w14:textId="77777777" w:rsidR="00B97D28" w:rsidRPr="00FF53DB" w:rsidRDefault="00282B54" w:rsidP="00313BC1">
            <w:pPr>
              <w:spacing w:after="0"/>
              <w:jc w:val="center"/>
              <w:rPr>
                <w:rFonts w:ascii="Arial" w:hAnsi="Arial" w:cs="Arial"/>
                <w:color w:val="1D428A"/>
                <w:sz w:val="20"/>
                <w:szCs w:val="20"/>
              </w:rPr>
            </w:pPr>
            <w:r>
              <w:rPr>
                <w:rFonts w:ascii="Arial" w:hAnsi="Arial" w:cs="Arial"/>
                <w:color w:val="1D428A"/>
                <w:sz w:val="20"/>
                <w:szCs w:val="20"/>
              </w:rPr>
              <w:t>4,51</w:t>
            </w:r>
            <w:r w:rsidR="00B97D28" w:rsidRPr="00FF53DB">
              <w:rPr>
                <w:rFonts w:ascii="Arial" w:hAnsi="Arial" w:cs="Arial"/>
                <w:color w:val="1D428A"/>
                <w:sz w:val="20"/>
                <w:szCs w:val="20"/>
              </w:rPr>
              <w:t>%</w:t>
            </w:r>
          </w:p>
        </w:tc>
        <w:tc>
          <w:tcPr>
            <w:tcW w:w="487" w:type="pct"/>
            <w:tcBorders>
              <w:bottom w:val="single" w:sz="12" w:space="0" w:color="auto"/>
            </w:tcBorders>
            <w:shd w:val="clear" w:color="auto" w:fill="D9D9D9" w:themeFill="background1" w:themeFillShade="D9"/>
            <w:vAlign w:val="center"/>
          </w:tcPr>
          <w:p w14:paraId="4B87120C" w14:textId="77777777" w:rsidR="00B97D28" w:rsidRPr="00FF53DB" w:rsidRDefault="005C393A" w:rsidP="00313BC1">
            <w:pPr>
              <w:spacing w:after="0"/>
              <w:jc w:val="center"/>
              <w:rPr>
                <w:rFonts w:ascii="Arial" w:hAnsi="Arial" w:cs="Arial"/>
                <w:color w:val="1D428A"/>
                <w:sz w:val="20"/>
                <w:szCs w:val="20"/>
              </w:rPr>
            </w:pPr>
            <w:r>
              <w:rPr>
                <w:rFonts w:ascii="Arial" w:hAnsi="Arial" w:cs="Arial"/>
                <w:color w:val="1D428A"/>
                <w:sz w:val="20"/>
                <w:szCs w:val="20"/>
              </w:rPr>
              <w:t>4,95</w:t>
            </w:r>
            <w:r w:rsidR="00B97D28" w:rsidRPr="00FF53DB">
              <w:rPr>
                <w:rFonts w:ascii="Arial" w:hAnsi="Arial" w:cs="Arial"/>
                <w:color w:val="1D428A"/>
                <w:sz w:val="20"/>
                <w:szCs w:val="20"/>
              </w:rPr>
              <w:t>%</w:t>
            </w:r>
          </w:p>
        </w:tc>
        <w:tc>
          <w:tcPr>
            <w:tcW w:w="484" w:type="pct"/>
            <w:tcBorders>
              <w:bottom w:val="single" w:sz="12" w:space="0" w:color="auto"/>
              <w:right w:val="single" w:sz="12" w:space="0" w:color="auto"/>
            </w:tcBorders>
            <w:shd w:val="clear" w:color="auto" w:fill="D9D9D9" w:themeFill="background1" w:themeFillShade="D9"/>
            <w:vAlign w:val="center"/>
          </w:tcPr>
          <w:p w14:paraId="17CC3EE3" w14:textId="77777777" w:rsidR="00B97D28" w:rsidRPr="00FF53DB" w:rsidRDefault="005C393A" w:rsidP="004B3C89">
            <w:pPr>
              <w:spacing w:after="0"/>
              <w:jc w:val="center"/>
              <w:rPr>
                <w:rFonts w:ascii="Arial" w:hAnsi="Arial" w:cs="Arial"/>
                <w:color w:val="1D428A"/>
                <w:sz w:val="20"/>
                <w:szCs w:val="20"/>
              </w:rPr>
            </w:pPr>
            <w:r>
              <w:rPr>
                <w:rFonts w:ascii="Arial" w:hAnsi="Arial" w:cs="Arial"/>
                <w:color w:val="1D428A"/>
                <w:sz w:val="20"/>
                <w:szCs w:val="20"/>
              </w:rPr>
              <w:t>4,35</w:t>
            </w:r>
            <w:r w:rsidR="009B1ACD">
              <w:rPr>
                <w:rFonts w:ascii="Arial" w:hAnsi="Arial" w:cs="Arial"/>
                <w:color w:val="1D428A"/>
                <w:sz w:val="20"/>
                <w:szCs w:val="20"/>
              </w:rPr>
              <w:t>%</w:t>
            </w:r>
          </w:p>
        </w:tc>
      </w:tr>
      <w:tr w:rsidR="00B97D28" w:rsidRPr="00DF3958" w14:paraId="56C04103" w14:textId="77777777" w:rsidTr="00313BC1">
        <w:trPr>
          <w:cantSplit/>
          <w:trHeight w:val="278"/>
        </w:trPr>
        <w:tc>
          <w:tcPr>
            <w:tcW w:w="1814" w:type="pct"/>
            <w:tcBorders>
              <w:top w:val="single" w:sz="12" w:space="0" w:color="auto"/>
              <w:left w:val="single" w:sz="12" w:space="0" w:color="auto"/>
              <w:bottom w:val="single" w:sz="12" w:space="0" w:color="auto"/>
            </w:tcBorders>
            <w:shd w:val="clear" w:color="auto" w:fill="auto"/>
            <w:vAlign w:val="center"/>
          </w:tcPr>
          <w:p w14:paraId="27B21E7D" w14:textId="77777777" w:rsidR="00B97D28" w:rsidRPr="00FF53DB" w:rsidRDefault="00B97D28" w:rsidP="00313BC1">
            <w:pPr>
              <w:spacing w:after="0"/>
              <w:rPr>
                <w:rFonts w:ascii="Arial" w:hAnsi="Arial" w:cs="Arial"/>
                <w:b/>
                <w:sz w:val="20"/>
                <w:szCs w:val="20"/>
              </w:rPr>
            </w:pPr>
            <w:r w:rsidRPr="00FF53DB">
              <w:rPr>
                <w:rFonts w:ascii="Arial" w:hAnsi="Arial" w:cs="Arial"/>
                <w:b/>
                <w:sz w:val="20"/>
                <w:szCs w:val="20"/>
              </w:rPr>
              <w:t>5-éves magyar CDS-felár év végi</w:t>
            </w:r>
          </w:p>
        </w:tc>
        <w:tc>
          <w:tcPr>
            <w:tcW w:w="432" w:type="pct"/>
            <w:tcBorders>
              <w:top w:val="single" w:sz="12" w:space="0" w:color="auto"/>
              <w:bottom w:val="single" w:sz="12" w:space="0" w:color="auto"/>
            </w:tcBorders>
            <w:shd w:val="clear" w:color="auto" w:fill="auto"/>
            <w:vAlign w:val="center"/>
          </w:tcPr>
          <w:p w14:paraId="77486C56"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87bp</w:t>
            </w:r>
          </w:p>
        </w:tc>
        <w:tc>
          <w:tcPr>
            <w:tcW w:w="432" w:type="pct"/>
            <w:tcBorders>
              <w:top w:val="single" w:sz="12" w:space="0" w:color="auto"/>
              <w:bottom w:val="single" w:sz="12" w:space="0" w:color="auto"/>
            </w:tcBorders>
            <w:shd w:val="clear" w:color="auto" w:fill="auto"/>
            <w:vAlign w:val="center"/>
          </w:tcPr>
          <w:p w14:paraId="307111A9"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89bp</w:t>
            </w:r>
          </w:p>
        </w:tc>
        <w:tc>
          <w:tcPr>
            <w:tcW w:w="432" w:type="pct"/>
            <w:tcBorders>
              <w:top w:val="single" w:sz="12" w:space="0" w:color="auto"/>
              <w:bottom w:val="single" w:sz="12" w:space="0" w:color="auto"/>
            </w:tcBorders>
            <w:shd w:val="clear" w:color="auto" w:fill="auto"/>
            <w:vAlign w:val="center"/>
          </w:tcPr>
          <w:p w14:paraId="7CBF41F4" w14:textId="77777777" w:rsidR="00B97D28" w:rsidRPr="00FF53DB" w:rsidRDefault="00B97D28" w:rsidP="00313BC1">
            <w:pPr>
              <w:spacing w:after="0"/>
              <w:jc w:val="center"/>
              <w:rPr>
                <w:rFonts w:ascii="Arial" w:hAnsi="Arial" w:cs="Arial"/>
                <w:sz w:val="20"/>
                <w:szCs w:val="20"/>
              </w:rPr>
            </w:pPr>
            <w:r w:rsidRPr="00FF53DB">
              <w:rPr>
                <w:rFonts w:ascii="Arial" w:hAnsi="Arial" w:cs="Arial"/>
                <w:sz w:val="20"/>
                <w:szCs w:val="20"/>
              </w:rPr>
              <w:t>71bp</w:t>
            </w:r>
          </w:p>
        </w:tc>
        <w:tc>
          <w:tcPr>
            <w:tcW w:w="432" w:type="pct"/>
            <w:tcBorders>
              <w:top w:val="single" w:sz="12" w:space="0" w:color="auto"/>
              <w:bottom w:val="single" w:sz="12" w:space="0" w:color="auto"/>
            </w:tcBorders>
            <w:shd w:val="clear" w:color="auto" w:fill="FFFFFF" w:themeFill="background1"/>
            <w:vAlign w:val="center"/>
          </w:tcPr>
          <w:p w14:paraId="50522B5F" w14:textId="77777777" w:rsidR="00B97D28" w:rsidRPr="00FF53DB" w:rsidRDefault="00B97D28" w:rsidP="00313BC1">
            <w:pPr>
              <w:spacing w:after="0"/>
              <w:jc w:val="center"/>
              <w:rPr>
                <w:rFonts w:ascii="Arial" w:hAnsi="Arial" w:cs="Arial"/>
                <w:color w:val="1D428A"/>
                <w:sz w:val="20"/>
                <w:szCs w:val="20"/>
              </w:rPr>
            </w:pPr>
            <w:r w:rsidRPr="00FF53DB">
              <w:rPr>
                <w:rFonts w:ascii="Arial" w:hAnsi="Arial" w:cs="Arial"/>
                <w:sz w:val="20"/>
                <w:szCs w:val="20"/>
              </w:rPr>
              <w:t>60bp</w:t>
            </w:r>
          </w:p>
        </w:tc>
        <w:tc>
          <w:tcPr>
            <w:tcW w:w="487" w:type="pct"/>
            <w:tcBorders>
              <w:top w:val="single" w:sz="12" w:space="0" w:color="auto"/>
              <w:bottom w:val="single" w:sz="12" w:space="0" w:color="auto"/>
            </w:tcBorders>
            <w:shd w:val="clear" w:color="auto" w:fill="D9D9D9" w:themeFill="background1" w:themeFillShade="D9"/>
            <w:vAlign w:val="center"/>
          </w:tcPr>
          <w:p w14:paraId="7B56AD8E" w14:textId="77777777" w:rsidR="00B97D28" w:rsidRPr="00FF53DB" w:rsidRDefault="004248D0" w:rsidP="005E356F">
            <w:pPr>
              <w:spacing w:after="0"/>
              <w:jc w:val="center"/>
              <w:rPr>
                <w:rFonts w:ascii="Arial" w:hAnsi="Arial" w:cs="Arial"/>
                <w:color w:val="1D428A"/>
                <w:sz w:val="20"/>
                <w:szCs w:val="20"/>
              </w:rPr>
            </w:pPr>
            <w:r>
              <w:rPr>
                <w:rFonts w:ascii="Arial" w:hAnsi="Arial" w:cs="Arial"/>
                <w:color w:val="1D428A"/>
                <w:sz w:val="20"/>
                <w:szCs w:val="20"/>
              </w:rPr>
              <w:t>45</w:t>
            </w:r>
            <w:r w:rsidR="00B97D28" w:rsidRPr="00FF53DB">
              <w:rPr>
                <w:rFonts w:ascii="Arial" w:hAnsi="Arial" w:cs="Arial"/>
                <w:color w:val="1D428A"/>
                <w:sz w:val="20"/>
                <w:szCs w:val="20"/>
              </w:rPr>
              <w:t>bp</w:t>
            </w:r>
          </w:p>
        </w:tc>
        <w:tc>
          <w:tcPr>
            <w:tcW w:w="487" w:type="pct"/>
            <w:tcBorders>
              <w:top w:val="single" w:sz="12" w:space="0" w:color="auto"/>
              <w:bottom w:val="single" w:sz="12" w:space="0" w:color="auto"/>
            </w:tcBorders>
            <w:shd w:val="clear" w:color="auto" w:fill="D9D9D9" w:themeFill="background1" w:themeFillShade="D9"/>
            <w:vAlign w:val="center"/>
          </w:tcPr>
          <w:p w14:paraId="474D1CD1" w14:textId="77777777" w:rsidR="00B97D28" w:rsidRPr="00FF53DB" w:rsidRDefault="005C393A" w:rsidP="005E356F">
            <w:pPr>
              <w:spacing w:after="0"/>
              <w:jc w:val="center"/>
              <w:rPr>
                <w:rFonts w:ascii="Arial" w:hAnsi="Arial" w:cs="Arial"/>
                <w:color w:val="1D428A"/>
                <w:sz w:val="20"/>
                <w:szCs w:val="20"/>
              </w:rPr>
            </w:pPr>
            <w:r>
              <w:rPr>
                <w:rFonts w:ascii="Arial" w:hAnsi="Arial" w:cs="Arial"/>
                <w:color w:val="1D428A"/>
                <w:sz w:val="20"/>
                <w:szCs w:val="20"/>
              </w:rPr>
              <w:t>48</w:t>
            </w:r>
            <w:r w:rsidR="00B97D28" w:rsidRPr="00FF53DB">
              <w:rPr>
                <w:rFonts w:ascii="Arial" w:hAnsi="Arial" w:cs="Arial"/>
                <w:color w:val="1D428A"/>
                <w:sz w:val="20"/>
                <w:szCs w:val="20"/>
              </w:rPr>
              <w:t>bp</w:t>
            </w:r>
          </w:p>
        </w:tc>
        <w:tc>
          <w:tcPr>
            <w:tcW w:w="484" w:type="pct"/>
            <w:tcBorders>
              <w:top w:val="single" w:sz="12" w:space="0" w:color="auto"/>
              <w:bottom w:val="single" w:sz="12" w:space="0" w:color="auto"/>
              <w:right w:val="single" w:sz="12" w:space="0" w:color="auto"/>
            </w:tcBorders>
            <w:shd w:val="clear" w:color="auto" w:fill="D9D9D9" w:themeFill="background1" w:themeFillShade="D9"/>
            <w:vAlign w:val="center"/>
          </w:tcPr>
          <w:p w14:paraId="74575E0E" w14:textId="77777777" w:rsidR="00B97D28" w:rsidRPr="00FF53DB" w:rsidRDefault="005C393A" w:rsidP="00313BC1">
            <w:pPr>
              <w:spacing w:after="0"/>
              <w:jc w:val="center"/>
              <w:rPr>
                <w:rFonts w:ascii="Arial" w:hAnsi="Arial" w:cs="Arial"/>
                <w:color w:val="1D428A"/>
                <w:sz w:val="20"/>
                <w:szCs w:val="20"/>
              </w:rPr>
            </w:pPr>
            <w:r>
              <w:rPr>
                <w:rFonts w:ascii="Arial" w:hAnsi="Arial" w:cs="Arial"/>
                <w:color w:val="1D428A"/>
                <w:sz w:val="20"/>
                <w:szCs w:val="20"/>
              </w:rPr>
              <w:t>45</w:t>
            </w:r>
            <w:r w:rsidR="009B1ACD">
              <w:rPr>
                <w:rFonts w:ascii="Arial" w:hAnsi="Arial" w:cs="Arial"/>
                <w:color w:val="1D428A"/>
                <w:sz w:val="20"/>
                <w:szCs w:val="20"/>
              </w:rPr>
              <w:t>bp</w:t>
            </w:r>
          </w:p>
        </w:tc>
      </w:tr>
    </w:tbl>
    <w:p w14:paraId="288AE8BB" w14:textId="77777777" w:rsidR="00CC3DBA" w:rsidRPr="004E02A0" w:rsidRDefault="005C518C" w:rsidP="004E02A0">
      <w:pPr>
        <w:spacing w:before="60" w:after="120" w:line="360" w:lineRule="auto"/>
        <w:rPr>
          <w:rFonts w:cs="Arial"/>
          <w:i/>
          <w:sz w:val="16"/>
          <w:szCs w:val="20"/>
        </w:rPr>
      </w:pPr>
      <w:r w:rsidRPr="00074D6C">
        <w:rPr>
          <w:rFonts w:cs="Arial"/>
          <w:i/>
          <w:sz w:val="16"/>
          <w:szCs w:val="20"/>
        </w:rPr>
        <w:lastRenderedPageBreak/>
        <w:t xml:space="preserve">*Tartalmazza a közvetlen külföldi tőkebefektetéseken belüli egyéb tőke állományát **Forrás: KSH, Eurostat, </w:t>
      </w:r>
      <w:r>
        <w:rPr>
          <w:rFonts w:cs="Arial"/>
          <w:i/>
          <w:sz w:val="16"/>
          <w:szCs w:val="20"/>
        </w:rPr>
        <w:t xml:space="preserve">MNB, </w:t>
      </w:r>
      <w:proofErr w:type="spellStart"/>
      <w:r w:rsidRPr="00074D6C">
        <w:rPr>
          <w:rFonts w:cs="Arial"/>
          <w:i/>
          <w:sz w:val="16"/>
          <w:szCs w:val="20"/>
        </w:rPr>
        <w:t>Bloomberg</w:t>
      </w:r>
      <w:proofErr w:type="spellEnd"/>
    </w:p>
    <w:p w14:paraId="740F2333" w14:textId="77777777" w:rsidR="005C518C" w:rsidRPr="00A21219" w:rsidRDefault="004E02A0" w:rsidP="00F90BB0">
      <w:pPr>
        <w:pStyle w:val="Cmtbank"/>
      </w:pPr>
      <w:r>
        <w:t>I</w:t>
      </w:r>
      <w:r w:rsidR="005C518C">
        <w:t>I</w:t>
      </w:r>
      <w:r w:rsidR="005C518C" w:rsidRPr="003536D7">
        <w:t>. RÉSZLETES MAKROGAZDASÁGI ÁTTEKINTÉS MAGYARORSZÁGRÓL</w:t>
      </w:r>
    </w:p>
    <w:p w14:paraId="03C6507F" w14:textId="77777777" w:rsidR="005C518C" w:rsidRPr="003536D7" w:rsidRDefault="005C518C" w:rsidP="00316464">
      <w:pPr>
        <w:pStyle w:val="Alcmtbank"/>
      </w:pPr>
      <w:r w:rsidRPr="003536D7">
        <w:t xml:space="preserve">Gazdasági növekedés </w:t>
      </w:r>
    </w:p>
    <w:p w14:paraId="6A0ABA14" w14:textId="77777777" w:rsidR="005B1DD6" w:rsidRDefault="002E37E6" w:rsidP="00F90BB0">
      <w:pPr>
        <w:spacing w:after="120" w:line="360" w:lineRule="auto"/>
        <w:jc w:val="both"/>
        <w:rPr>
          <w:rFonts w:ascii="Arial" w:hAnsi="Arial" w:cs="Arial"/>
          <w:b/>
          <w:sz w:val="20"/>
          <w:szCs w:val="20"/>
        </w:rPr>
      </w:pPr>
      <w:r w:rsidRPr="002E37E6">
        <w:rPr>
          <w:rFonts w:ascii="Arial" w:hAnsi="Arial" w:cs="Arial"/>
          <w:b/>
          <w:sz w:val="20"/>
          <w:szCs w:val="20"/>
        </w:rPr>
        <w:t>6,1</w:t>
      </w:r>
      <w:r w:rsidR="0006793D" w:rsidRPr="0006793D">
        <w:rPr>
          <w:rFonts w:ascii="Arial" w:hAnsi="Arial" w:cs="Arial"/>
          <w:b/>
          <w:sz w:val="20"/>
          <w:szCs w:val="20"/>
        </w:rPr>
        <w:t xml:space="preserve">%-kal </w:t>
      </w:r>
      <w:r>
        <w:rPr>
          <w:rFonts w:ascii="Arial" w:hAnsi="Arial" w:cs="Arial"/>
          <w:b/>
          <w:sz w:val="20"/>
          <w:szCs w:val="20"/>
        </w:rPr>
        <w:t>nőtt</w:t>
      </w:r>
      <w:r w:rsidR="0006793D" w:rsidRPr="0006793D">
        <w:rPr>
          <w:rFonts w:ascii="Arial" w:hAnsi="Arial" w:cs="Arial"/>
          <w:b/>
          <w:sz w:val="20"/>
          <w:szCs w:val="20"/>
        </w:rPr>
        <w:t xml:space="preserve"> a hazai GDP </w:t>
      </w:r>
      <w:r w:rsidR="0006793D" w:rsidRPr="0006793D">
        <w:rPr>
          <w:rFonts w:ascii="Arial" w:hAnsi="Arial" w:cs="Arial"/>
          <w:sz w:val="20"/>
          <w:szCs w:val="20"/>
        </w:rPr>
        <w:t xml:space="preserve">a </w:t>
      </w:r>
      <w:r w:rsidRPr="002E37E6">
        <w:rPr>
          <w:rFonts w:ascii="Arial" w:hAnsi="Arial" w:cs="Arial"/>
          <w:sz w:val="20"/>
          <w:szCs w:val="20"/>
        </w:rPr>
        <w:t xml:space="preserve">harmadik negyedévben az egy évvel ezelőttihez, míg </w:t>
      </w:r>
      <w:r w:rsidR="0006793D" w:rsidRPr="0006793D">
        <w:rPr>
          <w:rFonts w:ascii="Arial" w:hAnsi="Arial" w:cs="Arial"/>
          <w:sz w:val="20"/>
          <w:szCs w:val="20"/>
        </w:rPr>
        <w:t>szezonálisan és munkanappal kiigazítva</w:t>
      </w:r>
      <w:r>
        <w:rPr>
          <w:rFonts w:ascii="Arial" w:hAnsi="Arial" w:cs="Arial"/>
          <w:b/>
          <w:sz w:val="20"/>
          <w:szCs w:val="20"/>
        </w:rPr>
        <w:t xml:space="preserve"> 0</w:t>
      </w:r>
      <w:r w:rsidR="0006793D" w:rsidRPr="0006793D">
        <w:rPr>
          <w:rFonts w:ascii="Arial" w:hAnsi="Arial" w:cs="Arial"/>
          <w:b/>
          <w:sz w:val="20"/>
          <w:szCs w:val="20"/>
        </w:rPr>
        <w:t>,7%-kal bőv</w:t>
      </w:r>
      <w:r w:rsidR="00D048A9">
        <w:rPr>
          <w:rFonts w:ascii="Arial" w:hAnsi="Arial" w:cs="Arial"/>
          <w:b/>
          <w:sz w:val="20"/>
          <w:szCs w:val="20"/>
        </w:rPr>
        <w:t>ült az előző negyedévhez képest, ami az első háromnegyed évben 7,1%-os bővülést eredményezett.</w:t>
      </w:r>
      <w:r w:rsidR="0006793D" w:rsidRPr="0006793D">
        <w:rPr>
          <w:rFonts w:ascii="Arial" w:hAnsi="Arial" w:cs="Arial"/>
          <w:b/>
          <w:sz w:val="20"/>
          <w:szCs w:val="20"/>
        </w:rPr>
        <w:t xml:space="preserve"> </w:t>
      </w:r>
      <w:r w:rsidR="00807007" w:rsidRPr="00FE7C6B">
        <w:rPr>
          <w:rFonts w:ascii="Arial" w:hAnsi="Arial" w:cs="Arial"/>
          <w:b/>
          <w:sz w:val="20"/>
        </w:rPr>
        <w:t xml:space="preserve">A járvány előtti szintet </w:t>
      </w:r>
      <w:r w:rsidR="00807007">
        <w:rPr>
          <w:rFonts w:ascii="Arial" w:hAnsi="Arial" w:cs="Arial"/>
          <w:b/>
          <w:sz w:val="20"/>
        </w:rPr>
        <w:t>a GDP mintegy 0,7 százalékponttal meghaladta a harmadik</w:t>
      </w:r>
      <w:r w:rsidR="00807007" w:rsidRPr="00FE7C6B">
        <w:rPr>
          <w:rFonts w:ascii="Arial" w:hAnsi="Arial" w:cs="Arial"/>
          <w:b/>
          <w:sz w:val="20"/>
        </w:rPr>
        <w:t xml:space="preserve"> negyedévben</w:t>
      </w:r>
      <w:r w:rsidR="00807007">
        <w:rPr>
          <w:rFonts w:ascii="Arial" w:hAnsi="Arial" w:cs="Arial"/>
          <w:b/>
          <w:sz w:val="20"/>
        </w:rPr>
        <w:t xml:space="preserve">. </w:t>
      </w:r>
      <w:r w:rsidR="00B50754" w:rsidRPr="00B50754">
        <w:rPr>
          <w:rFonts w:ascii="Arial" w:hAnsi="Arial" w:cs="Arial"/>
          <w:sz w:val="20"/>
        </w:rPr>
        <w:t>A növekedést érdemben visszafogta chip- és más alkatrészek hiánya miatt akadozó járműgyártás, enélkül a növekedés akár másfél százalékponttal magasabb is lehetett volna. Amennyiben stabilizálódnának a beszállítói láncok, az ipari termelés élesen felpattanhatna a meglevő robosztus rendelésállománynak köszönhetően. A növekedést szintén lassíthatta, hogy a hazai gazdaságban a keleti vakcina beszerzéseknek köszönhetően korábban kerülhetett sor a korlátozások feloldására, így az érintett ágazatok már a korábbi negyedévekben elkezdhették a kilábalást.</w:t>
      </w:r>
    </w:p>
    <w:p w14:paraId="389175F8" w14:textId="77777777" w:rsidR="005C518C" w:rsidRPr="00FD658E" w:rsidRDefault="00A13160" w:rsidP="00F90BB0">
      <w:pPr>
        <w:spacing w:after="120" w:line="360" w:lineRule="auto"/>
        <w:jc w:val="both"/>
        <w:rPr>
          <w:rFonts w:ascii="Arial" w:hAnsi="Arial" w:cs="Arial"/>
          <w:sz w:val="20"/>
          <w:szCs w:val="20"/>
        </w:rPr>
      </w:pPr>
      <w:r>
        <w:rPr>
          <w:rFonts w:ascii="Arial" w:hAnsi="Arial" w:cs="Arial"/>
          <w:b/>
          <w:sz w:val="20"/>
        </w:rPr>
        <w:t xml:space="preserve">A vártnál kedvezőtlenebb harmadik negyedéves GDP adatok, </w:t>
      </w:r>
      <w:r w:rsidRPr="00196BBA">
        <w:rPr>
          <w:rFonts w:ascii="Arial" w:hAnsi="Arial" w:cs="Arial"/>
          <w:sz w:val="20"/>
        </w:rPr>
        <w:t>valamint</w:t>
      </w:r>
      <w:r>
        <w:rPr>
          <w:rFonts w:ascii="Arial" w:hAnsi="Arial" w:cs="Arial"/>
          <w:b/>
          <w:sz w:val="20"/>
        </w:rPr>
        <w:t xml:space="preserve"> </w:t>
      </w:r>
      <w:r>
        <w:rPr>
          <w:rFonts w:ascii="Arial" w:hAnsi="Arial" w:cs="Arial"/>
          <w:sz w:val="20"/>
        </w:rPr>
        <w:t>az ipari termelést és a járműgyártást visszafogó akut alkatrész- és félvezetőhiány</w:t>
      </w:r>
      <w:r w:rsidRPr="00196BBA">
        <w:rPr>
          <w:rFonts w:ascii="Arial" w:hAnsi="Arial" w:cs="Arial"/>
          <w:sz w:val="20"/>
        </w:rPr>
        <w:t xml:space="preserve"> miatt a</w:t>
      </w:r>
      <w:r>
        <w:rPr>
          <w:rFonts w:ascii="Arial" w:hAnsi="Arial" w:cs="Arial"/>
          <w:b/>
          <w:sz w:val="20"/>
        </w:rPr>
        <w:t xml:space="preserve"> GDP</w:t>
      </w:r>
      <w:r w:rsidRPr="00703845">
        <w:rPr>
          <w:rFonts w:ascii="Arial" w:hAnsi="Arial" w:cs="Arial"/>
          <w:b/>
          <w:sz w:val="20"/>
        </w:rPr>
        <w:t xml:space="preserve"> </w:t>
      </w:r>
      <w:r>
        <w:rPr>
          <w:rFonts w:ascii="Arial" w:hAnsi="Arial" w:cs="Arial"/>
          <w:b/>
          <w:sz w:val="20"/>
        </w:rPr>
        <w:t>2021. évi növekedési prognózisunkat</w:t>
      </w:r>
      <w:r w:rsidRPr="00703845">
        <w:rPr>
          <w:rFonts w:ascii="Arial" w:hAnsi="Arial" w:cs="Arial"/>
          <w:b/>
          <w:sz w:val="20"/>
        </w:rPr>
        <w:t xml:space="preserve"> </w:t>
      </w:r>
      <w:r>
        <w:rPr>
          <w:rFonts w:ascii="Arial" w:hAnsi="Arial" w:cs="Arial"/>
          <w:b/>
          <w:sz w:val="20"/>
        </w:rPr>
        <w:t>6,9</w:t>
      </w:r>
      <w:r w:rsidRPr="00703845">
        <w:rPr>
          <w:rFonts w:ascii="Arial" w:hAnsi="Arial" w:cs="Arial"/>
          <w:b/>
          <w:sz w:val="20"/>
        </w:rPr>
        <w:t>%-</w:t>
      </w:r>
      <w:proofErr w:type="spellStart"/>
      <w:r w:rsidRPr="00703845">
        <w:rPr>
          <w:rFonts w:ascii="Arial" w:hAnsi="Arial" w:cs="Arial"/>
          <w:b/>
          <w:sz w:val="20"/>
        </w:rPr>
        <w:t>ra</w:t>
      </w:r>
      <w:proofErr w:type="spellEnd"/>
      <w:r w:rsidRPr="00703845">
        <w:rPr>
          <w:rFonts w:ascii="Arial" w:hAnsi="Arial" w:cs="Arial"/>
          <w:b/>
          <w:sz w:val="20"/>
        </w:rPr>
        <w:t xml:space="preserve"> </w:t>
      </w:r>
      <w:r>
        <w:rPr>
          <w:rFonts w:ascii="Arial" w:hAnsi="Arial" w:cs="Arial"/>
          <w:b/>
          <w:sz w:val="20"/>
        </w:rPr>
        <w:t>csökkentettük</w:t>
      </w:r>
      <w:r w:rsidRPr="00703845">
        <w:rPr>
          <w:rFonts w:ascii="Arial" w:hAnsi="Arial" w:cs="Arial"/>
          <w:sz w:val="20"/>
        </w:rPr>
        <w:t xml:space="preserve"> a korábbi </w:t>
      </w:r>
      <w:r>
        <w:rPr>
          <w:rFonts w:ascii="Arial" w:hAnsi="Arial" w:cs="Arial"/>
          <w:sz w:val="20"/>
        </w:rPr>
        <w:t>8</w:t>
      </w:r>
      <w:r w:rsidRPr="00703845">
        <w:rPr>
          <w:rFonts w:ascii="Arial" w:hAnsi="Arial" w:cs="Arial"/>
          <w:sz w:val="20"/>
        </w:rPr>
        <w:t>%-os várakozásunkról</w:t>
      </w:r>
      <w:r>
        <w:rPr>
          <w:rFonts w:ascii="Arial" w:hAnsi="Arial" w:cs="Arial"/>
          <w:sz w:val="20"/>
        </w:rPr>
        <w:t xml:space="preserve">, </w:t>
      </w:r>
      <w:r w:rsidRPr="00F87412">
        <w:rPr>
          <w:rFonts w:ascii="Arial" w:hAnsi="Arial" w:cs="Arial"/>
          <w:b/>
          <w:sz w:val="20"/>
        </w:rPr>
        <w:t>az idei évi növekedési előrejelzésünket pedig 6%-</w:t>
      </w:r>
      <w:proofErr w:type="spellStart"/>
      <w:r w:rsidRPr="00F87412">
        <w:rPr>
          <w:rFonts w:ascii="Arial" w:hAnsi="Arial" w:cs="Arial"/>
          <w:b/>
          <w:sz w:val="20"/>
        </w:rPr>
        <w:t>ra</w:t>
      </w:r>
      <w:proofErr w:type="spellEnd"/>
      <w:r w:rsidRPr="00F87412">
        <w:rPr>
          <w:rFonts w:ascii="Arial" w:hAnsi="Arial" w:cs="Arial"/>
          <w:b/>
          <w:sz w:val="20"/>
        </w:rPr>
        <w:t xml:space="preserve"> a korábbi</w:t>
      </w:r>
      <w:r>
        <w:rPr>
          <w:rFonts w:ascii="Arial" w:hAnsi="Arial" w:cs="Arial"/>
          <w:sz w:val="20"/>
        </w:rPr>
        <w:t xml:space="preserve"> </w:t>
      </w:r>
      <w:r>
        <w:rPr>
          <w:rFonts w:ascii="Arial" w:hAnsi="Arial" w:cs="Arial"/>
          <w:b/>
          <w:sz w:val="20"/>
        </w:rPr>
        <w:t>7%-</w:t>
      </w:r>
      <w:proofErr w:type="spellStart"/>
      <w:r>
        <w:rPr>
          <w:rFonts w:ascii="Arial" w:hAnsi="Arial" w:cs="Arial"/>
          <w:b/>
          <w:sz w:val="20"/>
        </w:rPr>
        <w:t>ról</w:t>
      </w:r>
      <w:proofErr w:type="spellEnd"/>
      <w:r w:rsidRPr="00703845">
        <w:rPr>
          <w:rFonts w:ascii="Arial" w:hAnsi="Arial" w:cs="Arial"/>
          <w:sz w:val="20"/>
        </w:rPr>
        <w:t>.</w:t>
      </w:r>
      <w:r>
        <w:rPr>
          <w:rFonts w:ascii="Arial" w:hAnsi="Arial" w:cs="Arial"/>
          <w:sz w:val="20"/>
        </w:rPr>
        <w:t xml:space="preserve"> </w:t>
      </w:r>
      <w:r w:rsidR="005C518C" w:rsidRPr="00FD658E">
        <w:rPr>
          <w:rFonts w:ascii="Arial" w:hAnsi="Arial" w:cs="Arial"/>
          <w:sz w:val="20"/>
          <w:szCs w:val="20"/>
        </w:rPr>
        <w:t xml:space="preserve"> </w:t>
      </w:r>
    </w:p>
    <w:p w14:paraId="3F6789BB" w14:textId="77777777" w:rsidR="005C518C" w:rsidRPr="00F618C4" w:rsidRDefault="00E13734" w:rsidP="00F90BB0">
      <w:pPr>
        <w:spacing w:after="120" w:line="360" w:lineRule="auto"/>
        <w:jc w:val="both"/>
        <w:rPr>
          <w:rFonts w:ascii="Arial" w:hAnsi="Arial" w:cs="Arial"/>
          <w:sz w:val="20"/>
          <w:szCs w:val="20"/>
        </w:rPr>
      </w:pPr>
      <w:r w:rsidRPr="00E13734">
        <w:rPr>
          <w:rFonts w:ascii="Arial" w:hAnsi="Arial" w:cs="Arial"/>
          <w:b/>
          <w:sz w:val="20"/>
        </w:rPr>
        <w:t>Az ipari termelés</w:t>
      </w:r>
      <w:r w:rsidRPr="00E13734">
        <w:rPr>
          <w:rFonts w:ascii="Arial" w:hAnsi="Arial" w:cs="Arial"/>
          <w:sz w:val="20"/>
        </w:rPr>
        <w:t xml:space="preserve"> a járműgyártást és részben a számítógép, elektronikai termék gyártását sújtó </w:t>
      </w:r>
      <w:r w:rsidRPr="00E13734">
        <w:rPr>
          <w:rFonts w:ascii="Arial" w:hAnsi="Arial" w:cs="Arial"/>
          <w:b/>
          <w:sz w:val="20"/>
        </w:rPr>
        <w:t>chip- és alkatrészhiány</w:t>
      </w:r>
      <w:r w:rsidRPr="00E13734">
        <w:rPr>
          <w:rFonts w:ascii="Arial" w:hAnsi="Arial" w:cs="Arial"/>
          <w:sz w:val="20"/>
        </w:rPr>
        <w:t xml:space="preserve"> miatt a harmadik negyedévben 2%-kal csökkent az előző negyedévhez képest,</w:t>
      </w:r>
      <w:r>
        <w:rPr>
          <w:rFonts w:ascii="Arial" w:hAnsi="Arial" w:cs="Arial"/>
          <w:sz w:val="20"/>
        </w:rPr>
        <w:t xml:space="preserve"> é</w:t>
      </w:r>
      <w:r w:rsidRPr="00E13734">
        <w:rPr>
          <w:rFonts w:ascii="Arial" w:hAnsi="Arial" w:cs="Arial"/>
          <w:sz w:val="20"/>
        </w:rPr>
        <w:t>ves alapon a második negyedévi 40%-os nö</w:t>
      </w:r>
      <w:r>
        <w:rPr>
          <w:rFonts w:ascii="Arial" w:hAnsi="Arial" w:cs="Arial"/>
          <w:sz w:val="20"/>
        </w:rPr>
        <w:t>vekedés után alig 3%-kal bővült</w:t>
      </w:r>
      <w:r w:rsidRPr="00E13734">
        <w:rPr>
          <w:rFonts w:ascii="Arial" w:hAnsi="Arial" w:cs="Arial"/>
          <w:sz w:val="20"/>
        </w:rPr>
        <w:t xml:space="preserve">. Az építőipar negyedéves </w:t>
      </w:r>
      <w:r>
        <w:rPr>
          <w:rFonts w:ascii="Arial" w:hAnsi="Arial" w:cs="Arial"/>
          <w:sz w:val="20"/>
        </w:rPr>
        <w:t>alapon mintegy 2,7%-kal bővült</w:t>
      </w:r>
      <w:r w:rsidRPr="00E13734">
        <w:rPr>
          <w:rFonts w:ascii="Arial" w:hAnsi="Arial" w:cs="Arial"/>
          <w:sz w:val="20"/>
        </w:rPr>
        <w:t>, míg éves összehasonlításban 13,5%-</w:t>
      </w:r>
      <w:proofErr w:type="spellStart"/>
      <w:r>
        <w:rPr>
          <w:rFonts w:ascii="Arial" w:hAnsi="Arial" w:cs="Arial"/>
          <w:sz w:val="20"/>
        </w:rPr>
        <w:t>ról</w:t>
      </w:r>
      <w:proofErr w:type="spellEnd"/>
      <w:r>
        <w:rPr>
          <w:rFonts w:ascii="Arial" w:hAnsi="Arial" w:cs="Arial"/>
          <w:sz w:val="20"/>
        </w:rPr>
        <w:t xml:space="preserve"> 16%-</w:t>
      </w:r>
      <w:proofErr w:type="spellStart"/>
      <w:r>
        <w:rPr>
          <w:rFonts w:ascii="Arial" w:hAnsi="Arial" w:cs="Arial"/>
          <w:sz w:val="20"/>
        </w:rPr>
        <w:t>ra</w:t>
      </w:r>
      <w:proofErr w:type="spellEnd"/>
      <w:r>
        <w:rPr>
          <w:rFonts w:ascii="Arial" w:hAnsi="Arial" w:cs="Arial"/>
          <w:sz w:val="20"/>
        </w:rPr>
        <w:t xml:space="preserve"> gyorsult a növekedés</w:t>
      </w:r>
      <w:r w:rsidRPr="00E13734">
        <w:rPr>
          <w:rFonts w:ascii="Arial" w:hAnsi="Arial" w:cs="Arial"/>
          <w:sz w:val="20"/>
        </w:rPr>
        <w:t xml:space="preserve">. A </w:t>
      </w:r>
      <w:r w:rsidRPr="00E13734">
        <w:rPr>
          <w:rFonts w:ascii="Arial" w:hAnsi="Arial" w:cs="Arial"/>
          <w:b/>
          <w:sz w:val="20"/>
        </w:rPr>
        <w:t>szolgáltatások</w:t>
      </w:r>
      <w:r w:rsidRPr="00E13734">
        <w:rPr>
          <w:rFonts w:ascii="Arial" w:hAnsi="Arial" w:cs="Arial"/>
          <w:sz w:val="20"/>
        </w:rPr>
        <w:t xml:space="preserve"> azonban érdemben javultak, mivel a második negyedévben még részlegesen érvényben voltak a korlátozások, amelyeket fokozatosan a </w:t>
      </w:r>
      <w:r w:rsidRPr="00E13734">
        <w:rPr>
          <w:rFonts w:ascii="Arial" w:hAnsi="Arial" w:cs="Arial"/>
          <w:b/>
          <w:sz w:val="20"/>
        </w:rPr>
        <w:t>harmadik negyedév elejére enyhítettek</w:t>
      </w:r>
      <w:r w:rsidRPr="00E13734">
        <w:rPr>
          <w:rFonts w:ascii="Arial" w:hAnsi="Arial" w:cs="Arial"/>
          <w:sz w:val="20"/>
        </w:rPr>
        <w:t>, ezért a legtöbb szolgáltatói ágazat meredeken felpattanhatott. Az is támogatta a kedvező teljesítményt, hogy a tavaly szeptemberben elrendelt határzár helyett idén jelentős nemzetközi események, konferenciák, kiállítások is húzhatták a növekedést. A kiskereskedelmi forgalom 1,2%-kal bővült a második negyedévhez képest, ugyanakkor az éves alapú növekedés 7,3%-</w:t>
      </w:r>
      <w:proofErr w:type="spellStart"/>
      <w:r w:rsidRPr="00E13734">
        <w:rPr>
          <w:rFonts w:ascii="Arial" w:hAnsi="Arial" w:cs="Arial"/>
          <w:sz w:val="20"/>
        </w:rPr>
        <w:t>ról</w:t>
      </w:r>
      <w:proofErr w:type="spellEnd"/>
      <w:r w:rsidRPr="00E13734">
        <w:rPr>
          <w:rFonts w:ascii="Arial" w:hAnsi="Arial" w:cs="Arial"/>
          <w:sz w:val="20"/>
        </w:rPr>
        <w:t xml:space="preserve"> 4,3%-</w:t>
      </w:r>
      <w:proofErr w:type="spellStart"/>
      <w:r w:rsidRPr="00E13734">
        <w:rPr>
          <w:rFonts w:ascii="Arial" w:hAnsi="Arial" w:cs="Arial"/>
          <w:sz w:val="20"/>
        </w:rPr>
        <w:t>ra</w:t>
      </w:r>
      <w:proofErr w:type="spellEnd"/>
      <w:r w:rsidRPr="00E13734">
        <w:rPr>
          <w:rFonts w:ascii="Arial" w:hAnsi="Arial" w:cs="Arial"/>
          <w:sz w:val="20"/>
        </w:rPr>
        <w:t xml:space="preserve"> mérséklődött. A harmadik negyedévben 23,5%-kal nőtt a vendéglátás árbevétele az egy évvel, míg 53,6%-kal az előző negyedévvel korábbihoz képest. A harmadik negyedévben 20,1%-kal nőtt a vendégéjszakák száma az előző évihez, míg 278,4%-k</w:t>
      </w:r>
      <w:r w:rsidR="00976DA0">
        <w:rPr>
          <w:rFonts w:ascii="Arial" w:hAnsi="Arial" w:cs="Arial"/>
          <w:sz w:val="20"/>
        </w:rPr>
        <w:t>al az előző negyedévihez képest</w:t>
      </w:r>
      <w:r w:rsidRPr="00E13734">
        <w:rPr>
          <w:rFonts w:ascii="Arial" w:hAnsi="Arial" w:cs="Arial"/>
          <w:sz w:val="20"/>
        </w:rPr>
        <w:t xml:space="preserve">. A kereskedelem, vendéglátás, javítás ágazatok összesen 8,1%-kal növelték teljesítményüket. A harmadik negyedévben 139%-kal nőtt a légi utasforgalom az egy évvel ezelőttihez, míg 348%-kal a második negyedévhez képest. A személyszállítás többi formája is jelentősen növekedhetett, így a szállítási ágaztok 12,4%-os növekedést mutattak. Folytatódott a dinamikus növekedés az </w:t>
      </w:r>
      <w:proofErr w:type="spellStart"/>
      <w:r w:rsidRPr="00E13734">
        <w:rPr>
          <w:rFonts w:ascii="Arial" w:hAnsi="Arial" w:cs="Arial"/>
          <w:sz w:val="20"/>
        </w:rPr>
        <w:t>infokommunikáció</w:t>
      </w:r>
      <w:proofErr w:type="spellEnd"/>
      <w:r w:rsidRPr="00E13734">
        <w:rPr>
          <w:rFonts w:ascii="Arial" w:hAnsi="Arial" w:cs="Arial"/>
          <w:sz w:val="20"/>
        </w:rPr>
        <w:t xml:space="preserve"> ágazatokban (15,2%) is, csakúgy, mint a pénzügy, biztosítási szektorban (6,3%). A szakmai, tudományos, műszaki, </w:t>
      </w:r>
      <w:r w:rsidRPr="00E13734">
        <w:rPr>
          <w:rFonts w:ascii="Arial" w:hAnsi="Arial" w:cs="Arial"/>
          <w:sz w:val="20"/>
        </w:rPr>
        <w:lastRenderedPageBreak/>
        <w:t>adminisztratív ágazatok (8,7%), valamint a szabadidős, sport, kulturális stb. tevékenységek (6,5%) is impozáns teljesítményt nyújtottak. Így döntően a szolgáltatói ágazatok felpattanása, folytatódó helyreállása határozta meg a harmadik negyedévet.</w:t>
      </w:r>
      <w:r w:rsidR="005808F8">
        <w:rPr>
          <w:rFonts w:ascii="Arial" w:hAnsi="Arial" w:cs="Arial"/>
          <w:sz w:val="20"/>
        </w:rPr>
        <w:t xml:space="preserve"> </w:t>
      </w:r>
    </w:p>
    <w:p w14:paraId="021B8E39" w14:textId="77777777" w:rsidR="004910F1" w:rsidRDefault="002B0836" w:rsidP="00F90BB0">
      <w:pPr>
        <w:spacing w:after="120" w:line="360" w:lineRule="auto"/>
        <w:jc w:val="both"/>
        <w:rPr>
          <w:rFonts w:ascii="Arial" w:hAnsi="Arial" w:cs="Arial"/>
          <w:sz w:val="20"/>
          <w:szCs w:val="20"/>
        </w:rPr>
      </w:pPr>
      <w:r>
        <w:rPr>
          <w:rFonts w:ascii="Arial" w:hAnsi="Arial" w:cs="Arial"/>
          <w:sz w:val="20"/>
          <w:szCs w:val="20"/>
        </w:rPr>
        <w:t>A</w:t>
      </w:r>
      <w:r w:rsidR="00327593" w:rsidRPr="00327593">
        <w:rPr>
          <w:rFonts w:ascii="Arial" w:hAnsi="Arial" w:cs="Arial"/>
          <w:sz w:val="20"/>
          <w:szCs w:val="20"/>
        </w:rPr>
        <w:t xml:space="preserve">z iparban </w:t>
      </w:r>
      <w:r w:rsidR="00796121">
        <w:rPr>
          <w:rFonts w:ascii="Arial" w:hAnsi="Arial" w:cs="Arial"/>
          <w:sz w:val="20"/>
          <w:szCs w:val="20"/>
        </w:rPr>
        <w:t>a következő hónapokban</w:t>
      </w:r>
      <w:r w:rsidR="00327593" w:rsidRPr="00327593">
        <w:rPr>
          <w:rFonts w:ascii="Arial" w:hAnsi="Arial" w:cs="Arial"/>
          <w:sz w:val="20"/>
          <w:szCs w:val="20"/>
        </w:rPr>
        <w:t xml:space="preserve"> a </w:t>
      </w:r>
      <w:r w:rsidR="00327593" w:rsidRPr="00AC3BF1">
        <w:rPr>
          <w:rFonts w:ascii="Arial" w:hAnsi="Arial" w:cs="Arial"/>
          <w:b/>
          <w:sz w:val="20"/>
          <w:szCs w:val="20"/>
        </w:rPr>
        <w:t>chiphiány miatt</w:t>
      </w:r>
      <w:r w:rsidR="00647C9F" w:rsidRPr="00AC3BF1">
        <w:rPr>
          <w:rFonts w:ascii="Arial" w:hAnsi="Arial" w:cs="Arial"/>
          <w:b/>
          <w:sz w:val="20"/>
          <w:szCs w:val="20"/>
        </w:rPr>
        <w:t xml:space="preserve"> többször</w:t>
      </w:r>
      <w:r w:rsidR="00327593" w:rsidRPr="00AC3BF1">
        <w:rPr>
          <w:rFonts w:ascii="Arial" w:hAnsi="Arial" w:cs="Arial"/>
          <w:b/>
          <w:sz w:val="20"/>
          <w:szCs w:val="20"/>
        </w:rPr>
        <w:t xml:space="preserve"> leálló autógyárak</w:t>
      </w:r>
      <w:r w:rsidR="002A6C25">
        <w:rPr>
          <w:rFonts w:ascii="Arial" w:hAnsi="Arial" w:cs="Arial"/>
          <w:sz w:val="20"/>
          <w:szCs w:val="20"/>
        </w:rPr>
        <w:t xml:space="preserve"> </w:t>
      </w:r>
      <w:r w:rsidR="00796121">
        <w:rPr>
          <w:rFonts w:ascii="Arial" w:hAnsi="Arial" w:cs="Arial"/>
          <w:sz w:val="20"/>
          <w:szCs w:val="20"/>
        </w:rPr>
        <w:t xml:space="preserve">továbbra is </w:t>
      </w:r>
      <w:r w:rsidR="00647C9F">
        <w:rPr>
          <w:rFonts w:ascii="Arial" w:hAnsi="Arial" w:cs="Arial"/>
          <w:sz w:val="20"/>
          <w:szCs w:val="20"/>
        </w:rPr>
        <w:t>fékez</w:t>
      </w:r>
      <w:r w:rsidR="00796121">
        <w:rPr>
          <w:rFonts w:ascii="Arial" w:hAnsi="Arial" w:cs="Arial"/>
          <w:sz w:val="20"/>
          <w:szCs w:val="20"/>
        </w:rPr>
        <w:t>het</w:t>
      </w:r>
      <w:r w:rsidR="00647C9F">
        <w:rPr>
          <w:rFonts w:ascii="Arial" w:hAnsi="Arial" w:cs="Arial"/>
          <w:sz w:val="20"/>
          <w:szCs w:val="20"/>
        </w:rPr>
        <w:t>ik a növekedést</w:t>
      </w:r>
      <w:r w:rsidR="00327593" w:rsidRPr="00327593">
        <w:rPr>
          <w:rFonts w:ascii="Arial" w:hAnsi="Arial" w:cs="Arial"/>
          <w:sz w:val="20"/>
          <w:szCs w:val="20"/>
        </w:rPr>
        <w:t>, azonban a</w:t>
      </w:r>
      <w:r w:rsidR="00647C9F">
        <w:rPr>
          <w:rFonts w:ascii="Arial" w:hAnsi="Arial" w:cs="Arial"/>
          <w:sz w:val="20"/>
          <w:szCs w:val="20"/>
        </w:rPr>
        <w:t xml:space="preserve"> </w:t>
      </w:r>
      <w:r w:rsidR="00647C9F" w:rsidRPr="00AC3BF1">
        <w:rPr>
          <w:rFonts w:ascii="Arial" w:hAnsi="Arial" w:cs="Arial"/>
          <w:b/>
          <w:sz w:val="20"/>
          <w:szCs w:val="20"/>
        </w:rPr>
        <w:t>jelentős rendelésállomány</w:t>
      </w:r>
      <w:r w:rsidR="00327593" w:rsidRPr="00327593">
        <w:rPr>
          <w:rFonts w:ascii="Arial" w:hAnsi="Arial" w:cs="Arial"/>
          <w:sz w:val="20"/>
          <w:szCs w:val="20"/>
        </w:rPr>
        <w:t>,</w:t>
      </w:r>
      <w:r w:rsidR="005866F0">
        <w:rPr>
          <w:rFonts w:ascii="Arial" w:hAnsi="Arial" w:cs="Arial"/>
          <w:sz w:val="20"/>
          <w:szCs w:val="20"/>
        </w:rPr>
        <w:t xml:space="preserve"> valamint</w:t>
      </w:r>
      <w:r w:rsidR="00327593" w:rsidRPr="00327593">
        <w:rPr>
          <w:rFonts w:ascii="Arial" w:hAnsi="Arial" w:cs="Arial"/>
          <w:sz w:val="20"/>
          <w:szCs w:val="20"/>
        </w:rPr>
        <w:t xml:space="preserve"> az </w:t>
      </w:r>
      <w:r w:rsidR="00327593" w:rsidRPr="00AC3BF1">
        <w:rPr>
          <w:rFonts w:ascii="Arial" w:hAnsi="Arial" w:cs="Arial"/>
          <w:b/>
          <w:sz w:val="20"/>
          <w:szCs w:val="20"/>
        </w:rPr>
        <w:t>új ka</w:t>
      </w:r>
      <w:r w:rsidR="005107A7" w:rsidRPr="00AC3BF1">
        <w:rPr>
          <w:rFonts w:ascii="Arial" w:hAnsi="Arial" w:cs="Arial"/>
          <w:b/>
          <w:sz w:val="20"/>
          <w:szCs w:val="20"/>
        </w:rPr>
        <w:t>pacitások</w:t>
      </w:r>
      <w:r w:rsidR="005107A7">
        <w:rPr>
          <w:rFonts w:ascii="Arial" w:hAnsi="Arial" w:cs="Arial"/>
          <w:sz w:val="20"/>
          <w:szCs w:val="20"/>
        </w:rPr>
        <w:t xml:space="preserve"> üzembe helyezése</w:t>
      </w:r>
      <w:r w:rsidR="005866F0">
        <w:rPr>
          <w:rFonts w:ascii="Arial" w:hAnsi="Arial" w:cs="Arial"/>
          <w:sz w:val="20"/>
          <w:szCs w:val="20"/>
        </w:rPr>
        <w:t xml:space="preserve"> ezt ellensúlyozhatja.</w:t>
      </w:r>
      <w:r w:rsidR="00796121">
        <w:rPr>
          <w:rFonts w:ascii="Arial" w:hAnsi="Arial" w:cs="Arial"/>
          <w:sz w:val="20"/>
          <w:szCs w:val="20"/>
        </w:rPr>
        <w:t xml:space="preserve"> Egyes előrejelzések szerint </w:t>
      </w:r>
      <w:r w:rsidR="00796121" w:rsidRPr="00AC3BF1">
        <w:rPr>
          <w:rFonts w:ascii="Arial" w:hAnsi="Arial" w:cs="Arial"/>
          <w:b/>
          <w:sz w:val="20"/>
          <w:szCs w:val="20"/>
        </w:rPr>
        <w:t>az év során fokozatosan enyhülhet a félvezetőhiány</w:t>
      </w:r>
      <w:r w:rsidR="00796121">
        <w:rPr>
          <w:rFonts w:ascii="Arial" w:hAnsi="Arial" w:cs="Arial"/>
          <w:sz w:val="20"/>
          <w:szCs w:val="20"/>
        </w:rPr>
        <w:t>.</w:t>
      </w:r>
      <w:r w:rsidR="005107A7">
        <w:rPr>
          <w:rFonts w:ascii="Arial" w:hAnsi="Arial" w:cs="Arial"/>
          <w:sz w:val="20"/>
          <w:szCs w:val="20"/>
        </w:rPr>
        <w:t xml:space="preserve"> </w:t>
      </w:r>
      <w:r w:rsidR="005866F0">
        <w:rPr>
          <w:rFonts w:ascii="Arial" w:hAnsi="Arial" w:cs="Arial"/>
          <w:sz w:val="20"/>
          <w:szCs w:val="20"/>
        </w:rPr>
        <w:t>A</w:t>
      </w:r>
      <w:r w:rsidR="00327593" w:rsidRPr="00327593">
        <w:rPr>
          <w:rFonts w:ascii="Arial" w:hAnsi="Arial" w:cs="Arial"/>
          <w:sz w:val="20"/>
          <w:szCs w:val="20"/>
        </w:rPr>
        <w:t xml:space="preserve">z </w:t>
      </w:r>
      <w:r w:rsidR="00327593" w:rsidRPr="00AC3BF1">
        <w:rPr>
          <w:rFonts w:ascii="Arial" w:hAnsi="Arial" w:cs="Arial"/>
          <w:b/>
          <w:sz w:val="20"/>
          <w:szCs w:val="20"/>
        </w:rPr>
        <w:t>építőiparban</w:t>
      </w:r>
      <w:r w:rsidR="00327593" w:rsidRPr="00327593">
        <w:rPr>
          <w:rFonts w:ascii="Arial" w:hAnsi="Arial" w:cs="Arial"/>
          <w:sz w:val="20"/>
          <w:szCs w:val="20"/>
        </w:rPr>
        <w:t xml:space="preserve"> a lakásfelújítások, lakásépítések, állami, valamint uniós források</w:t>
      </w:r>
      <w:r w:rsidR="002A6C25">
        <w:rPr>
          <w:rFonts w:ascii="Arial" w:hAnsi="Arial" w:cs="Arial"/>
          <w:sz w:val="20"/>
          <w:szCs w:val="20"/>
        </w:rPr>
        <w:t xml:space="preserve">ból finanszírozott </w:t>
      </w:r>
      <w:proofErr w:type="gramStart"/>
      <w:r w:rsidR="002A6C25">
        <w:rPr>
          <w:rFonts w:ascii="Arial" w:hAnsi="Arial" w:cs="Arial"/>
          <w:sz w:val="20"/>
          <w:szCs w:val="20"/>
        </w:rPr>
        <w:t>beruházások</w:t>
      </w:r>
      <w:r w:rsidR="00327593" w:rsidRPr="00327593">
        <w:rPr>
          <w:rFonts w:ascii="Arial" w:hAnsi="Arial" w:cs="Arial"/>
          <w:sz w:val="20"/>
          <w:szCs w:val="20"/>
        </w:rPr>
        <w:t>,</w:t>
      </w:r>
      <w:proofErr w:type="gramEnd"/>
      <w:r w:rsidR="00327593" w:rsidRPr="00327593">
        <w:rPr>
          <w:rFonts w:ascii="Arial" w:hAnsi="Arial" w:cs="Arial"/>
          <w:sz w:val="20"/>
          <w:szCs w:val="20"/>
        </w:rPr>
        <w:t xml:space="preserve"> és az ipari beruházási boom </w:t>
      </w:r>
      <w:r w:rsidR="005866F0">
        <w:rPr>
          <w:rFonts w:ascii="Arial" w:hAnsi="Arial" w:cs="Arial"/>
          <w:sz w:val="20"/>
          <w:szCs w:val="20"/>
        </w:rPr>
        <w:t>ad lendületet, azonban az építőanyagárak elszállása, egyes építőanyagok hiánya, szállítási nehézségek az építőiparban is okoznak fennakadásokat</w:t>
      </w:r>
      <w:r w:rsidR="00327593" w:rsidRPr="00327593">
        <w:rPr>
          <w:rFonts w:ascii="Arial" w:hAnsi="Arial" w:cs="Arial"/>
          <w:sz w:val="20"/>
          <w:szCs w:val="20"/>
        </w:rPr>
        <w:t xml:space="preserve">. A járvány miatti korlátozások által érintett szektorok kilábalása </w:t>
      </w:r>
      <w:r w:rsidR="0041025D">
        <w:rPr>
          <w:rFonts w:ascii="Arial" w:hAnsi="Arial" w:cs="Arial"/>
          <w:sz w:val="20"/>
          <w:szCs w:val="20"/>
        </w:rPr>
        <w:t>az újabb hullám</w:t>
      </w:r>
      <w:r w:rsidR="00796121">
        <w:rPr>
          <w:rFonts w:ascii="Arial" w:hAnsi="Arial" w:cs="Arial"/>
          <w:sz w:val="20"/>
          <w:szCs w:val="20"/>
        </w:rPr>
        <w:t>(ok)</w:t>
      </w:r>
      <w:r w:rsidR="0041025D">
        <w:rPr>
          <w:rFonts w:ascii="Arial" w:hAnsi="Arial" w:cs="Arial"/>
          <w:sz w:val="20"/>
          <w:szCs w:val="20"/>
        </w:rPr>
        <w:t xml:space="preserve"> súlyosságától</w:t>
      </w:r>
      <w:r w:rsidR="00327593">
        <w:rPr>
          <w:rFonts w:ascii="Arial" w:hAnsi="Arial" w:cs="Arial"/>
          <w:sz w:val="20"/>
          <w:szCs w:val="20"/>
        </w:rPr>
        <w:t xml:space="preserve"> függ</w:t>
      </w:r>
      <w:r w:rsidR="00327593" w:rsidRPr="00327593">
        <w:rPr>
          <w:rFonts w:ascii="Arial" w:hAnsi="Arial" w:cs="Arial"/>
          <w:sz w:val="20"/>
          <w:szCs w:val="20"/>
        </w:rPr>
        <w:t xml:space="preserve">, </w:t>
      </w:r>
      <w:r w:rsidR="00327593" w:rsidRPr="00AC3BF1">
        <w:rPr>
          <w:rFonts w:ascii="Arial" w:hAnsi="Arial" w:cs="Arial"/>
          <w:b/>
          <w:sz w:val="20"/>
          <w:szCs w:val="20"/>
        </w:rPr>
        <w:t xml:space="preserve">a belföldi turizmus, vendéglátás és szabadidős tevékenységek </w:t>
      </w:r>
      <w:r w:rsidR="004910F1" w:rsidRPr="00AC3BF1">
        <w:rPr>
          <w:rFonts w:ascii="Arial" w:hAnsi="Arial" w:cs="Arial"/>
          <w:b/>
          <w:sz w:val="20"/>
          <w:szCs w:val="20"/>
        </w:rPr>
        <w:t xml:space="preserve">területén </w:t>
      </w:r>
      <w:r w:rsidR="00327593" w:rsidRPr="00AC3BF1">
        <w:rPr>
          <w:rFonts w:ascii="Arial" w:hAnsi="Arial" w:cs="Arial"/>
          <w:b/>
          <w:sz w:val="20"/>
          <w:szCs w:val="20"/>
        </w:rPr>
        <w:t>a</w:t>
      </w:r>
      <w:r w:rsidR="00796121" w:rsidRPr="00AC3BF1">
        <w:rPr>
          <w:rFonts w:ascii="Arial" w:hAnsi="Arial" w:cs="Arial"/>
          <w:b/>
          <w:sz w:val="20"/>
          <w:szCs w:val="20"/>
        </w:rPr>
        <w:t>zonban</w:t>
      </w:r>
      <w:r w:rsidR="00327593" w:rsidRPr="00AC3BF1">
        <w:rPr>
          <w:rFonts w:ascii="Arial" w:hAnsi="Arial" w:cs="Arial"/>
          <w:b/>
          <w:sz w:val="20"/>
          <w:szCs w:val="20"/>
        </w:rPr>
        <w:t xml:space="preserve"> </w:t>
      </w:r>
      <w:r w:rsidR="004910F1" w:rsidRPr="00AC3BF1">
        <w:rPr>
          <w:rFonts w:ascii="Arial" w:hAnsi="Arial" w:cs="Arial"/>
          <w:b/>
          <w:sz w:val="20"/>
          <w:szCs w:val="20"/>
        </w:rPr>
        <w:t>folytatódhat a helyreállás</w:t>
      </w:r>
      <w:r w:rsidR="00327593" w:rsidRPr="00AC3BF1">
        <w:rPr>
          <w:rFonts w:ascii="Arial" w:hAnsi="Arial" w:cs="Arial"/>
          <w:b/>
          <w:sz w:val="20"/>
          <w:szCs w:val="20"/>
        </w:rPr>
        <w:t>.</w:t>
      </w:r>
      <w:r w:rsidR="00327593" w:rsidRPr="00327593">
        <w:rPr>
          <w:rFonts w:ascii="Arial" w:hAnsi="Arial" w:cs="Arial"/>
          <w:sz w:val="20"/>
          <w:szCs w:val="20"/>
        </w:rPr>
        <w:t xml:space="preserve"> Az európai oltási folyamat </w:t>
      </w:r>
      <w:r w:rsidR="00E73382">
        <w:rPr>
          <w:rFonts w:ascii="Arial" w:hAnsi="Arial" w:cs="Arial"/>
          <w:sz w:val="20"/>
          <w:szCs w:val="20"/>
        </w:rPr>
        <w:t>gyorsulása és a járványhelyzet</w:t>
      </w:r>
      <w:r w:rsidR="00CA72A1">
        <w:rPr>
          <w:rFonts w:ascii="Arial" w:hAnsi="Arial" w:cs="Arial"/>
          <w:sz w:val="20"/>
          <w:szCs w:val="20"/>
        </w:rPr>
        <w:t xml:space="preserve"> meredek javulása lehetővé tette</w:t>
      </w:r>
      <w:r w:rsidR="00E73382">
        <w:rPr>
          <w:rFonts w:ascii="Arial" w:hAnsi="Arial" w:cs="Arial"/>
          <w:sz w:val="20"/>
          <w:szCs w:val="20"/>
        </w:rPr>
        <w:t xml:space="preserve"> a </w:t>
      </w:r>
      <w:r w:rsidR="00E73382" w:rsidRPr="00AC3BF1">
        <w:rPr>
          <w:rFonts w:ascii="Arial" w:hAnsi="Arial" w:cs="Arial"/>
          <w:b/>
          <w:sz w:val="20"/>
          <w:szCs w:val="20"/>
        </w:rPr>
        <w:t>fokozatos nyitást</w:t>
      </w:r>
      <w:r w:rsidR="004910F1">
        <w:rPr>
          <w:rFonts w:ascii="Arial" w:hAnsi="Arial" w:cs="Arial"/>
          <w:sz w:val="20"/>
          <w:szCs w:val="20"/>
        </w:rPr>
        <w:t>, ezzel szemben a negyedik/ötödik hullámok ellen e</w:t>
      </w:r>
      <w:r w:rsidR="00684EB1">
        <w:rPr>
          <w:rFonts w:ascii="Arial" w:hAnsi="Arial" w:cs="Arial"/>
          <w:sz w:val="20"/>
          <w:szCs w:val="20"/>
        </w:rPr>
        <w:t>g</w:t>
      </w:r>
      <w:r w:rsidR="004910F1">
        <w:rPr>
          <w:rFonts w:ascii="Arial" w:hAnsi="Arial" w:cs="Arial"/>
          <w:sz w:val="20"/>
          <w:szCs w:val="20"/>
        </w:rPr>
        <w:t>y</w:t>
      </w:r>
      <w:r w:rsidR="00684EB1">
        <w:rPr>
          <w:rFonts w:ascii="Arial" w:hAnsi="Arial" w:cs="Arial"/>
          <w:sz w:val="20"/>
          <w:szCs w:val="20"/>
        </w:rPr>
        <w:t>es országokban újabb korlátozásokat vezettek be</w:t>
      </w:r>
      <w:r w:rsidR="00E73382">
        <w:rPr>
          <w:rFonts w:ascii="Arial" w:hAnsi="Arial" w:cs="Arial"/>
          <w:sz w:val="20"/>
          <w:szCs w:val="20"/>
        </w:rPr>
        <w:t xml:space="preserve">. </w:t>
      </w:r>
      <w:r w:rsidR="00531466" w:rsidRPr="00531466">
        <w:rPr>
          <w:rFonts w:ascii="Arial" w:hAnsi="Arial" w:cs="Arial"/>
          <w:sz w:val="20"/>
          <w:szCs w:val="20"/>
        </w:rPr>
        <w:t xml:space="preserve">A kilábalás, </w:t>
      </w:r>
      <w:r w:rsidR="00531466" w:rsidRPr="00AC3BF1">
        <w:rPr>
          <w:rFonts w:ascii="Arial" w:hAnsi="Arial" w:cs="Arial"/>
          <w:b/>
          <w:sz w:val="20"/>
          <w:szCs w:val="20"/>
        </w:rPr>
        <w:t>a GDP helyreállása korántsem egyenletes</w:t>
      </w:r>
      <w:r w:rsidR="00531466" w:rsidRPr="00531466">
        <w:rPr>
          <w:rFonts w:ascii="Arial" w:hAnsi="Arial" w:cs="Arial"/>
          <w:sz w:val="20"/>
          <w:szCs w:val="20"/>
        </w:rPr>
        <w:t xml:space="preserve">, egyes ágazatok (élen az </w:t>
      </w:r>
      <w:proofErr w:type="spellStart"/>
      <w:r w:rsidR="00531466" w:rsidRPr="00531466">
        <w:rPr>
          <w:rFonts w:ascii="Arial" w:hAnsi="Arial" w:cs="Arial"/>
          <w:sz w:val="20"/>
          <w:szCs w:val="20"/>
        </w:rPr>
        <w:t>infokommunikációval</w:t>
      </w:r>
      <w:proofErr w:type="spellEnd"/>
      <w:r w:rsidR="00531466" w:rsidRPr="00531466">
        <w:rPr>
          <w:rFonts w:ascii="Arial" w:hAnsi="Arial" w:cs="Arial"/>
          <w:sz w:val="20"/>
          <w:szCs w:val="20"/>
        </w:rPr>
        <w:t xml:space="preserve">) már </w:t>
      </w:r>
      <w:r w:rsidR="00E65EC5">
        <w:rPr>
          <w:rFonts w:ascii="Arial" w:hAnsi="Arial" w:cs="Arial"/>
          <w:sz w:val="20"/>
          <w:szCs w:val="20"/>
        </w:rPr>
        <w:t>jóval</w:t>
      </w:r>
      <w:r w:rsidR="00531466" w:rsidRPr="00531466">
        <w:rPr>
          <w:rFonts w:ascii="Arial" w:hAnsi="Arial" w:cs="Arial"/>
          <w:sz w:val="20"/>
          <w:szCs w:val="20"/>
        </w:rPr>
        <w:t xml:space="preserve"> meghaladják a járvány előtti szintet, az idegenforgalomhoz, rendezvényszervezéshez kapcsolódó szolgáltatások ugyanakkor még elmaradnak. </w:t>
      </w:r>
      <w:r w:rsidR="00531466" w:rsidRPr="004910F1">
        <w:rPr>
          <w:rFonts w:ascii="Arial" w:hAnsi="Arial" w:cs="Arial"/>
          <w:b/>
          <w:sz w:val="20"/>
          <w:szCs w:val="20"/>
        </w:rPr>
        <w:t>A delta</w:t>
      </w:r>
      <w:r w:rsidR="004910F1" w:rsidRPr="004910F1">
        <w:rPr>
          <w:rFonts w:ascii="Arial" w:hAnsi="Arial" w:cs="Arial"/>
          <w:b/>
          <w:sz w:val="20"/>
          <w:szCs w:val="20"/>
        </w:rPr>
        <w:t xml:space="preserve"> és az omikron</w:t>
      </w:r>
      <w:r w:rsidR="00531466" w:rsidRPr="004910F1">
        <w:rPr>
          <w:rFonts w:ascii="Arial" w:hAnsi="Arial" w:cs="Arial"/>
          <w:b/>
          <w:sz w:val="20"/>
          <w:szCs w:val="20"/>
        </w:rPr>
        <w:t xml:space="preserve"> variáns ugyan egyértelmű kockázatot </w:t>
      </w:r>
      <w:r w:rsidR="00531466" w:rsidRPr="00531466">
        <w:rPr>
          <w:rFonts w:ascii="Arial" w:hAnsi="Arial" w:cs="Arial"/>
          <w:sz w:val="20"/>
          <w:szCs w:val="20"/>
        </w:rPr>
        <w:t xml:space="preserve">jelent, azonban ezen ágazatok folytathatják a helyreállást, ami még </w:t>
      </w:r>
      <w:r w:rsidR="004910F1">
        <w:rPr>
          <w:rFonts w:ascii="Arial" w:hAnsi="Arial" w:cs="Arial"/>
          <w:sz w:val="20"/>
          <w:szCs w:val="20"/>
        </w:rPr>
        <w:t>a következő évekre</w:t>
      </w:r>
      <w:r w:rsidR="00531466" w:rsidRPr="00531466">
        <w:rPr>
          <w:rFonts w:ascii="Arial" w:hAnsi="Arial" w:cs="Arial"/>
          <w:sz w:val="20"/>
          <w:szCs w:val="20"/>
        </w:rPr>
        <w:t xml:space="preserve"> is áthúzódik (</w:t>
      </w:r>
      <w:r w:rsidR="00684EB1">
        <w:rPr>
          <w:rFonts w:ascii="Arial" w:hAnsi="Arial" w:cs="Arial"/>
          <w:sz w:val="20"/>
          <w:szCs w:val="20"/>
        </w:rPr>
        <w:t>a tavalyi</w:t>
      </w:r>
      <w:r w:rsidR="00531466" w:rsidRPr="00531466">
        <w:rPr>
          <w:rFonts w:ascii="Arial" w:hAnsi="Arial" w:cs="Arial"/>
          <w:sz w:val="20"/>
          <w:szCs w:val="20"/>
        </w:rPr>
        <w:t xml:space="preserve"> első és részben második negyedéves korlátozások miatt egyes ágazatokban még mély lesz a bázis </w:t>
      </w:r>
      <w:r w:rsidR="00684EB1">
        <w:rPr>
          <w:rFonts w:ascii="Arial" w:hAnsi="Arial" w:cs="Arial"/>
          <w:sz w:val="20"/>
          <w:szCs w:val="20"/>
        </w:rPr>
        <w:t>az idei</w:t>
      </w:r>
      <w:r w:rsidR="00531466" w:rsidRPr="00531466">
        <w:rPr>
          <w:rFonts w:ascii="Arial" w:hAnsi="Arial" w:cs="Arial"/>
          <w:sz w:val="20"/>
          <w:szCs w:val="20"/>
        </w:rPr>
        <w:t xml:space="preserve"> év első negyedévi növekedéshez). Ezért a következő negyedévekben még kifejezetten erős növekedésre számítunk, amit a munkaerőpiac helyreállása és az erőteljes bérdinamika is támogat. </w:t>
      </w:r>
      <w:r w:rsidR="00684EB1" w:rsidRPr="000C76C4">
        <w:rPr>
          <w:rFonts w:ascii="Arial" w:hAnsi="Arial" w:cs="Arial"/>
          <w:b/>
          <w:sz w:val="20"/>
          <w:szCs w:val="20"/>
        </w:rPr>
        <w:t>Idén</w:t>
      </w:r>
      <w:r w:rsidR="00531466" w:rsidRPr="000C76C4">
        <w:rPr>
          <w:rFonts w:ascii="Arial" w:hAnsi="Arial" w:cs="Arial"/>
          <w:b/>
          <w:sz w:val="20"/>
          <w:szCs w:val="20"/>
        </w:rPr>
        <w:t xml:space="preserve"> pedig a szja visszatérítés,</w:t>
      </w:r>
      <w:r w:rsidR="004910F1" w:rsidRPr="000C76C4">
        <w:rPr>
          <w:rFonts w:ascii="Arial" w:hAnsi="Arial" w:cs="Arial"/>
          <w:b/>
          <w:sz w:val="20"/>
          <w:szCs w:val="20"/>
        </w:rPr>
        <w:t xml:space="preserve"> a 20% közeli minimálbér és bérminimum emelés,</w:t>
      </w:r>
      <w:r w:rsidR="00531466" w:rsidRPr="000C76C4">
        <w:rPr>
          <w:rFonts w:ascii="Arial" w:hAnsi="Arial" w:cs="Arial"/>
          <w:b/>
          <w:sz w:val="20"/>
          <w:szCs w:val="20"/>
        </w:rPr>
        <w:t xml:space="preserve"> a rendőröknek tervezett féléves bónusz, a további </w:t>
      </w:r>
      <w:r w:rsidR="004910F1" w:rsidRPr="000C76C4">
        <w:rPr>
          <w:rFonts w:ascii="Arial" w:hAnsi="Arial" w:cs="Arial"/>
          <w:b/>
          <w:sz w:val="20"/>
          <w:szCs w:val="20"/>
        </w:rPr>
        <w:t>ágazati</w:t>
      </w:r>
      <w:r w:rsidR="00531466" w:rsidRPr="000C76C4">
        <w:rPr>
          <w:rFonts w:ascii="Arial" w:hAnsi="Arial" w:cs="Arial"/>
          <w:b/>
          <w:sz w:val="20"/>
          <w:szCs w:val="20"/>
        </w:rPr>
        <w:t xml:space="preserve"> béremelések, a 13. havi nyugdíj kéthetes részlete, valamint a 25 év alattiak szja mentessége adhat további lökést a gazdaságnak</w:t>
      </w:r>
      <w:r w:rsidR="00531466" w:rsidRPr="00531466">
        <w:rPr>
          <w:rFonts w:ascii="Arial" w:hAnsi="Arial" w:cs="Arial"/>
          <w:sz w:val="20"/>
          <w:szCs w:val="20"/>
        </w:rPr>
        <w:t>.</w:t>
      </w:r>
    </w:p>
    <w:tbl>
      <w:tblPr>
        <w:tblW w:w="9432" w:type="dxa"/>
        <w:tblLook w:val="01E0" w:firstRow="1" w:lastRow="1" w:firstColumn="1" w:lastColumn="1" w:noHBand="0" w:noVBand="0"/>
      </w:tblPr>
      <w:tblGrid>
        <w:gridCol w:w="4716"/>
        <w:gridCol w:w="4716"/>
      </w:tblGrid>
      <w:tr w:rsidR="00881DED" w:rsidRPr="003536D7" w14:paraId="2FE9ED84" w14:textId="77777777" w:rsidTr="00EF4116">
        <w:tc>
          <w:tcPr>
            <w:tcW w:w="4716" w:type="dxa"/>
          </w:tcPr>
          <w:p w14:paraId="762BD887" w14:textId="77777777" w:rsidR="00881DED" w:rsidRPr="00C214F5" w:rsidRDefault="004910F1" w:rsidP="00584439">
            <w:pPr>
              <w:spacing w:after="120"/>
              <w:jc w:val="center"/>
              <w:rPr>
                <w:rFonts w:ascii="Arial" w:hAnsi="Arial" w:cs="Arial"/>
                <w:b/>
              </w:rPr>
            </w:pPr>
            <w:r>
              <w:rPr>
                <w:rFonts w:ascii="Arial" w:hAnsi="Arial" w:cs="Arial"/>
                <w:b/>
                <w:color w:val="FF8500"/>
              </w:rPr>
              <w:t>1</w:t>
            </w:r>
            <w:r w:rsidR="00881DED" w:rsidRPr="00C214F5">
              <w:rPr>
                <w:rFonts w:ascii="Arial" w:hAnsi="Arial" w:cs="Arial"/>
                <w:b/>
                <w:color w:val="FF8500"/>
              </w:rPr>
              <w:t xml:space="preserve">. ábra: </w:t>
            </w:r>
            <w:r w:rsidR="00881DED" w:rsidRPr="00A10369">
              <w:rPr>
                <w:rFonts w:ascii="Arial" w:hAnsi="Arial" w:cs="Arial"/>
                <w:bCs/>
                <w:color w:val="FF8500"/>
              </w:rPr>
              <w:t xml:space="preserve">Az EU tagállamainak negyedéves növekedése (negyedéves </w:t>
            </w:r>
            <w:proofErr w:type="spellStart"/>
            <w:r w:rsidR="00881DED" w:rsidRPr="00A10369">
              <w:rPr>
                <w:rFonts w:ascii="Arial" w:hAnsi="Arial" w:cs="Arial"/>
                <w:bCs/>
                <w:color w:val="FF8500"/>
              </w:rPr>
              <w:t>növ</w:t>
            </w:r>
            <w:proofErr w:type="spellEnd"/>
            <w:r w:rsidR="00881DED" w:rsidRPr="00A10369">
              <w:rPr>
                <w:rFonts w:ascii="Arial" w:hAnsi="Arial" w:cs="Arial"/>
                <w:bCs/>
                <w:color w:val="FF8500"/>
              </w:rPr>
              <w:t>. ütem %-ban)</w:t>
            </w:r>
          </w:p>
        </w:tc>
        <w:tc>
          <w:tcPr>
            <w:tcW w:w="4716" w:type="dxa"/>
          </w:tcPr>
          <w:p w14:paraId="0B1E9940" w14:textId="77777777" w:rsidR="00881DED" w:rsidRPr="00C214F5" w:rsidRDefault="004910F1" w:rsidP="00584439">
            <w:pPr>
              <w:jc w:val="center"/>
              <w:rPr>
                <w:rFonts w:ascii="Arial" w:hAnsi="Arial" w:cs="Arial"/>
                <w:b/>
              </w:rPr>
            </w:pPr>
            <w:r>
              <w:rPr>
                <w:rFonts w:ascii="Arial" w:hAnsi="Arial" w:cs="Arial"/>
                <w:b/>
                <w:color w:val="FF8500"/>
              </w:rPr>
              <w:t>2</w:t>
            </w:r>
            <w:r w:rsidR="00881DED" w:rsidRPr="00C214F5">
              <w:rPr>
                <w:rFonts w:ascii="Arial" w:hAnsi="Arial" w:cs="Arial"/>
                <w:b/>
                <w:color w:val="FF8500"/>
              </w:rPr>
              <w:t xml:space="preserve">. ábra: </w:t>
            </w:r>
            <w:r w:rsidR="00881DED" w:rsidRPr="00A10369">
              <w:rPr>
                <w:rFonts w:ascii="Arial" w:hAnsi="Arial" w:cs="Arial"/>
                <w:bCs/>
                <w:color w:val="FF8500"/>
              </w:rPr>
              <w:t xml:space="preserve">Az EU tagállamainak éves növekedése (éves </w:t>
            </w:r>
            <w:proofErr w:type="spellStart"/>
            <w:r w:rsidR="00881DED" w:rsidRPr="00A10369">
              <w:rPr>
                <w:rFonts w:ascii="Arial" w:hAnsi="Arial" w:cs="Arial"/>
                <w:bCs/>
                <w:color w:val="FF8500"/>
              </w:rPr>
              <w:t>növ</w:t>
            </w:r>
            <w:proofErr w:type="spellEnd"/>
            <w:r w:rsidR="00881DED" w:rsidRPr="00A10369">
              <w:rPr>
                <w:rFonts w:ascii="Arial" w:hAnsi="Arial" w:cs="Arial"/>
                <w:bCs/>
                <w:color w:val="FF8500"/>
              </w:rPr>
              <w:t>. ütem %-ban)</w:t>
            </w:r>
          </w:p>
        </w:tc>
      </w:tr>
      <w:tr w:rsidR="00881DED" w:rsidRPr="003536D7" w14:paraId="79AF8F8A" w14:textId="77777777" w:rsidTr="00EF4116">
        <w:tc>
          <w:tcPr>
            <w:tcW w:w="4716" w:type="dxa"/>
          </w:tcPr>
          <w:p w14:paraId="3C499C72" w14:textId="77777777" w:rsidR="00881DED" w:rsidRPr="003536D7" w:rsidRDefault="00EC77F1" w:rsidP="00584439">
            <w:pPr>
              <w:spacing w:after="120"/>
              <w:jc w:val="both"/>
              <w:rPr>
                <w:rFonts w:ascii="Arial" w:hAnsi="Arial" w:cs="Arial"/>
              </w:rPr>
            </w:pPr>
            <w:r w:rsidRPr="00EC77F1">
              <w:rPr>
                <w:rFonts w:ascii="Arial" w:hAnsi="Arial" w:cs="Arial"/>
                <w:noProof/>
                <w:lang w:eastAsia="hu-HU"/>
              </w:rPr>
              <w:drawing>
                <wp:inline distT="0" distB="0" distL="0" distR="0" wp14:anchorId="3C97AA38" wp14:editId="2169F6F8">
                  <wp:extent cx="2851150" cy="1943100"/>
                  <wp:effectExtent l="0" t="0" r="635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1150" cy="1943100"/>
                          </a:xfrm>
                          <a:prstGeom prst="rect">
                            <a:avLst/>
                          </a:prstGeom>
                          <a:noFill/>
                          <a:ln>
                            <a:noFill/>
                          </a:ln>
                        </pic:spPr>
                      </pic:pic>
                    </a:graphicData>
                  </a:graphic>
                </wp:inline>
              </w:drawing>
            </w:r>
          </w:p>
        </w:tc>
        <w:tc>
          <w:tcPr>
            <w:tcW w:w="4716" w:type="dxa"/>
          </w:tcPr>
          <w:p w14:paraId="6F03A3CB" w14:textId="77777777" w:rsidR="00881DED" w:rsidRPr="003536D7" w:rsidRDefault="00EC77F1" w:rsidP="00584439">
            <w:pPr>
              <w:spacing w:after="120"/>
              <w:jc w:val="both"/>
              <w:rPr>
                <w:rFonts w:ascii="Arial" w:hAnsi="Arial" w:cs="Arial"/>
              </w:rPr>
            </w:pPr>
            <w:r w:rsidRPr="00EC77F1">
              <w:rPr>
                <w:rFonts w:ascii="Arial" w:hAnsi="Arial" w:cs="Arial"/>
                <w:noProof/>
                <w:lang w:eastAsia="hu-HU"/>
              </w:rPr>
              <w:drawing>
                <wp:inline distT="0" distB="0" distL="0" distR="0" wp14:anchorId="79344CA6" wp14:editId="666D8439">
                  <wp:extent cx="2857500" cy="194945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1949450"/>
                          </a:xfrm>
                          <a:prstGeom prst="rect">
                            <a:avLst/>
                          </a:prstGeom>
                          <a:noFill/>
                          <a:ln>
                            <a:noFill/>
                          </a:ln>
                        </pic:spPr>
                      </pic:pic>
                    </a:graphicData>
                  </a:graphic>
                </wp:inline>
              </w:drawing>
            </w:r>
          </w:p>
        </w:tc>
      </w:tr>
      <w:tr w:rsidR="00881DED" w:rsidRPr="003536D7" w14:paraId="49FFFDB3" w14:textId="77777777" w:rsidTr="00EF4116">
        <w:tc>
          <w:tcPr>
            <w:tcW w:w="4716" w:type="dxa"/>
          </w:tcPr>
          <w:p w14:paraId="5F229771" w14:textId="77777777" w:rsidR="00881DED" w:rsidRPr="003536D7" w:rsidRDefault="00881DED" w:rsidP="00584439">
            <w:pPr>
              <w:pStyle w:val="Kpalrstbank"/>
            </w:pPr>
            <w:r w:rsidRPr="003536D7">
              <w:t>Forrás: Eurostat</w:t>
            </w:r>
          </w:p>
        </w:tc>
        <w:tc>
          <w:tcPr>
            <w:tcW w:w="4716" w:type="dxa"/>
          </w:tcPr>
          <w:p w14:paraId="4D18C30F" w14:textId="77777777" w:rsidR="00881DED" w:rsidRPr="003536D7" w:rsidRDefault="00881DED" w:rsidP="00584439">
            <w:pPr>
              <w:pStyle w:val="Kpalrstbank"/>
            </w:pPr>
            <w:r w:rsidRPr="003536D7">
              <w:t>Forrás: Eurostat</w:t>
            </w:r>
          </w:p>
        </w:tc>
      </w:tr>
    </w:tbl>
    <w:p w14:paraId="7CB4A167" w14:textId="77777777" w:rsidR="00364E26" w:rsidRDefault="00EF4116" w:rsidP="00FD658E">
      <w:pPr>
        <w:spacing w:after="120" w:line="360" w:lineRule="auto"/>
        <w:jc w:val="both"/>
        <w:rPr>
          <w:rFonts w:ascii="Arial" w:hAnsi="Arial" w:cs="Arial"/>
          <w:sz w:val="20"/>
          <w:szCs w:val="20"/>
        </w:rPr>
      </w:pPr>
      <w:r w:rsidRPr="00EF4116">
        <w:rPr>
          <w:rFonts w:ascii="Arial" w:hAnsi="Arial" w:cs="Arial"/>
          <w:sz w:val="20"/>
        </w:rPr>
        <w:lastRenderedPageBreak/>
        <w:t xml:space="preserve">A világgazdaság kilábalási folyamatát valamelyest </w:t>
      </w:r>
      <w:r w:rsidRPr="00FA2C76">
        <w:rPr>
          <w:rFonts w:ascii="Arial" w:hAnsi="Arial" w:cs="Arial"/>
          <w:b/>
          <w:sz w:val="20"/>
        </w:rPr>
        <w:t>lefékezte</w:t>
      </w:r>
      <w:r w:rsidRPr="00EF4116">
        <w:rPr>
          <w:rFonts w:ascii="Arial" w:hAnsi="Arial" w:cs="Arial"/>
          <w:sz w:val="20"/>
        </w:rPr>
        <w:t xml:space="preserve"> a járvány </w:t>
      </w:r>
      <w:r w:rsidRPr="00FA2C76">
        <w:rPr>
          <w:rFonts w:ascii="Arial" w:hAnsi="Arial" w:cs="Arial"/>
          <w:b/>
          <w:sz w:val="20"/>
        </w:rPr>
        <w:t>negyedik</w:t>
      </w:r>
      <w:r w:rsidRPr="00EF4116">
        <w:rPr>
          <w:rFonts w:ascii="Arial" w:hAnsi="Arial" w:cs="Arial"/>
          <w:sz w:val="20"/>
        </w:rPr>
        <w:t xml:space="preserve">, egyes országokban pedig </w:t>
      </w:r>
      <w:r w:rsidRPr="00FA2C76">
        <w:rPr>
          <w:rFonts w:ascii="Arial" w:hAnsi="Arial" w:cs="Arial"/>
          <w:b/>
          <w:sz w:val="20"/>
        </w:rPr>
        <w:t>ötödik hulláma</w:t>
      </w:r>
      <w:r w:rsidRPr="00EF4116">
        <w:rPr>
          <w:rFonts w:ascii="Arial" w:hAnsi="Arial" w:cs="Arial"/>
          <w:sz w:val="20"/>
        </w:rPr>
        <w:t xml:space="preserve">, valamint a továbbra is </w:t>
      </w:r>
      <w:r w:rsidRPr="00FA2C76">
        <w:rPr>
          <w:rFonts w:ascii="Arial" w:hAnsi="Arial" w:cs="Arial"/>
          <w:b/>
          <w:sz w:val="20"/>
        </w:rPr>
        <w:t>akut alkatrész- és félvezetőhiány</w:t>
      </w:r>
      <w:r w:rsidRPr="00EF4116">
        <w:rPr>
          <w:rFonts w:ascii="Arial" w:hAnsi="Arial" w:cs="Arial"/>
          <w:sz w:val="20"/>
        </w:rPr>
        <w:t xml:space="preserve"> a negyedik negyedévben. A globális szinten, különösen az európai országokban megjelenő </w:t>
      </w:r>
      <w:r w:rsidRPr="00FA2C76">
        <w:rPr>
          <w:rFonts w:ascii="Arial" w:hAnsi="Arial" w:cs="Arial"/>
          <w:b/>
          <w:sz w:val="20"/>
        </w:rPr>
        <w:t>energiaválság</w:t>
      </w:r>
      <w:r w:rsidRPr="00EF4116">
        <w:rPr>
          <w:rFonts w:ascii="Arial" w:hAnsi="Arial" w:cs="Arial"/>
          <w:sz w:val="20"/>
        </w:rPr>
        <w:t xml:space="preserve"> pedig további nehézségeket okozott, amelynek még nem láthatóak előre a következményei. Noha a koronavírus delta-variánsa által okozott negyedik hullám a magas átoltottság miatt már jóval kevesebb súlyos, illetve halálos kimenetelű esettel járt, ami a korábbiakhoz képest enyhébb korlátozásokat tett szükségessé, az omikron-variáns korábbiaknál messze gyorsabb terjedése egyes országokban ismételten szigorúbb korlátozásokhoz, illetve lezárásokhoz vezetett az év vége felé, annak ellenére, hogy a súlyos és halálos kimenetelek száma a ko</w:t>
      </w:r>
      <w:r>
        <w:rPr>
          <w:rFonts w:ascii="Arial" w:hAnsi="Arial" w:cs="Arial"/>
          <w:sz w:val="20"/>
        </w:rPr>
        <w:t>rábbiak töredékére esett vissza</w:t>
      </w:r>
      <w:r w:rsidR="0016634D">
        <w:rPr>
          <w:rFonts w:ascii="Arial" w:hAnsi="Arial" w:cs="Arial"/>
          <w:sz w:val="20"/>
        </w:rPr>
        <w:t xml:space="preserve">. </w:t>
      </w:r>
      <w:r w:rsidR="00A836E7" w:rsidRPr="00D759A9">
        <w:rPr>
          <w:rFonts w:ascii="Arial" w:hAnsi="Arial" w:cs="Arial"/>
          <w:b/>
          <w:sz w:val="20"/>
        </w:rPr>
        <w:t xml:space="preserve">A </w:t>
      </w:r>
      <w:r w:rsidR="00D759A9" w:rsidRPr="00D759A9">
        <w:rPr>
          <w:rFonts w:ascii="Arial" w:hAnsi="Arial" w:cs="Arial"/>
          <w:b/>
          <w:sz w:val="20"/>
        </w:rPr>
        <w:t>harmadik</w:t>
      </w:r>
      <w:r w:rsidR="00A836E7" w:rsidRPr="00D759A9">
        <w:rPr>
          <w:rFonts w:ascii="Arial" w:hAnsi="Arial" w:cs="Arial"/>
          <w:b/>
          <w:sz w:val="20"/>
        </w:rPr>
        <w:t xml:space="preserve"> negyedév</w:t>
      </w:r>
      <w:r w:rsidR="00D759A9" w:rsidRPr="00D759A9">
        <w:rPr>
          <w:rFonts w:ascii="Arial" w:hAnsi="Arial" w:cs="Arial"/>
          <w:b/>
          <w:sz w:val="20"/>
        </w:rPr>
        <w:t>ben</w:t>
      </w:r>
      <w:r w:rsidR="00A836E7" w:rsidRPr="00D759A9">
        <w:rPr>
          <w:rFonts w:ascii="Arial" w:hAnsi="Arial" w:cs="Arial"/>
          <w:b/>
          <w:sz w:val="20"/>
        </w:rPr>
        <w:t xml:space="preserve"> </w:t>
      </w:r>
      <w:r w:rsidR="00D759A9" w:rsidRPr="00D759A9">
        <w:rPr>
          <w:rFonts w:ascii="Arial" w:hAnsi="Arial" w:cs="Arial"/>
          <w:b/>
          <w:sz w:val="20"/>
        </w:rPr>
        <w:t xml:space="preserve">az európai </w:t>
      </w:r>
      <w:r w:rsidR="00A836E7" w:rsidRPr="00D759A9">
        <w:rPr>
          <w:rFonts w:ascii="Arial" w:hAnsi="Arial" w:cs="Arial"/>
          <w:b/>
          <w:sz w:val="20"/>
        </w:rPr>
        <w:t>nemzetgazdaság</w:t>
      </w:r>
      <w:r w:rsidR="00D759A9" w:rsidRPr="00D759A9">
        <w:rPr>
          <w:rFonts w:ascii="Arial" w:hAnsi="Arial" w:cs="Arial"/>
          <w:b/>
          <w:sz w:val="20"/>
        </w:rPr>
        <w:t>ok többsége már el</w:t>
      </w:r>
      <w:r w:rsidR="00A836E7" w:rsidRPr="00D759A9">
        <w:rPr>
          <w:rFonts w:ascii="Arial" w:hAnsi="Arial" w:cs="Arial"/>
          <w:b/>
          <w:sz w:val="20"/>
        </w:rPr>
        <w:t>érte a járvány kitörése előtti teljesítményét</w:t>
      </w:r>
      <w:r w:rsidR="00A836E7" w:rsidRPr="00A836E7">
        <w:rPr>
          <w:rFonts w:ascii="Arial" w:hAnsi="Arial" w:cs="Arial"/>
          <w:sz w:val="20"/>
        </w:rPr>
        <w:t>. Többnyire azon országoknak sikerült, ahol elhanyagolható a turizmus</w:t>
      </w:r>
      <w:r w:rsidR="00DA3096">
        <w:rPr>
          <w:rFonts w:ascii="Arial" w:hAnsi="Arial" w:cs="Arial"/>
          <w:sz w:val="20"/>
        </w:rPr>
        <w:t xml:space="preserve"> súlya</w:t>
      </w:r>
      <w:r w:rsidR="00A836E7" w:rsidRPr="00A836E7">
        <w:rPr>
          <w:rFonts w:ascii="Arial" w:hAnsi="Arial" w:cs="Arial"/>
          <w:sz w:val="20"/>
        </w:rPr>
        <w:t xml:space="preserve">. A turizmus meghatározó szerepe miatt a </w:t>
      </w:r>
      <w:r w:rsidR="00A836E7" w:rsidRPr="00646AE0">
        <w:rPr>
          <w:rFonts w:ascii="Arial" w:hAnsi="Arial" w:cs="Arial"/>
          <w:b/>
          <w:sz w:val="20"/>
        </w:rPr>
        <w:t xml:space="preserve">dél-európai országok még </w:t>
      </w:r>
      <w:r w:rsidR="00646AE0" w:rsidRPr="00646AE0">
        <w:rPr>
          <w:rFonts w:ascii="Arial" w:hAnsi="Arial" w:cs="Arial"/>
          <w:b/>
          <w:sz w:val="20"/>
        </w:rPr>
        <w:t>jelentős</w:t>
      </w:r>
      <w:r w:rsidR="00A836E7" w:rsidRPr="00646AE0">
        <w:rPr>
          <w:rFonts w:ascii="Arial" w:hAnsi="Arial" w:cs="Arial"/>
          <w:b/>
          <w:sz w:val="20"/>
        </w:rPr>
        <w:t xml:space="preserve"> elmaradást</w:t>
      </w:r>
      <w:r w:rsidR="00A836E7" w:rsidRPr="00A836E7">
        <w:rPr>
          <w:rFonts w:ascii="Arial" w:hAnsi="Arial" w:cs="Arial"/>
          <w:sz w:val="20"/>
        </w:rPr>
        <w:t xml:space="preserve"> mutatnak, azonban a félvezető és más alkatrészek, alapanyagok hiányától szenvedő ipar miatt </w:t>
      </w:r>
      <w:r w:rsidR="00A836E7" w:rsidRPr="00646AE0">
        <w:rPr>
          <w:rFonts w:ascii="Arial" w:hAnsi="Arial" w:cs="Arial"/>
          <w:b/>
          <w:sz w:val="20"/>
        </w:rPr>
        <w:t>a német</w:t>
      </w:r>
      <w:r w:rsidR="006B2EF7">
        <w:rPr>
          <w:rFonts w:ascii="Arial" w:hAnsi="Arial" w:cs="Arial"/>
          <w:b/>
          <w:sz w:val="20"/>
        </w:rPr>
        <w:t>, a cseh</w:t>
      </w:r>
      <w:r w:rsidR="00A836E7" w:rsidRPr="00646AE0">
        <w:rPr>
          <w:rFonts w:ascii="Arial" w:hAnsi="Arial" w:cs="Arial"/>
          <w:b/>
          <w:sz w:val="20"/>
        </w:rPr>
        <w:t xml:space="preserve"> és a </w:t>
      </w:r>
      <w:r w:rsidR="006B2EF7">
        <w:rPr>
          <w:rFonts w:ascii="Arial" w:hAnsi="Arial" w:cs="Arial"/>
          <w:b/>
          <w:sz w:val="20"/>
        </w:rPr>
        <w:t>szlovák</w:t>
      </w:r>
      <w:r w:rsidR="00A836E7" w:rsidRPr="00646AE0">
        <w:rPr>
          <w:rFonts w:ascii="Arial" w:hAnsi="Arial" w:cs="Arial"/>
          <w:b/>
          <w:sz w:val="20"/>
        </w:rPr>
        <w:t xml:space="preserve"> gazdaság is lemaradásban</w:t>
      </w:r>
      <w:r w:rsidR="00A836E7">
        <w:rPr>
          <w:rFonts w:ascii="Arial" w:hAnsi="Arial" w:cs="Arial"/>
          <w:sz w:val="20"/>
        </w:rPr>
        <w:t xml:space="preserve"> van</w:t>
      </w:r>
      <w:r w:rsidR="000C4085" w:rsidRPr="00E64DB9">
        <w:rPr>
          <w:rFonts w:ascii="Arial" w:hAnsi="Arial" w:cs="Arial"/>
          <w:sz w:val="20"/>
        </w:rPr>
        <w:t>.</w:t>
      </w:r>
      <w:r w:rsidR="007D2665">
        <w:rPr>
          <w:rFonts w:ascii="Arial" w:hAnsi="Arial" w:cs="Arial"/>
          <w:sz w:val="20"/>
          <w:szCs w:val="20"/>
        </w:rPr>
        <w:t xml:space="preserve"> </w:t>
      </w:r>
      <w:r w:rsidR="00CA72A1" w:rsidRPr="00CA72A1">
        <w:rPr>
          <w:rFonts w:ascii="Arial" w:hAnsi="Arial" w:cs="Arial"/>
          <w:sz w:val="20"/>
          <w:szCs w:val="20"/>
        </w:rPr>
        <w:t xml:space="preserve">Ezért igen komoly sikernek nevezhető, hogy a hazai gazdaság összességében már </w:t>
      </w:r>
      <w:r w:rsidR="00660513">
        <w:rPr>
          <w:rFonts w:ascii="Arial" w:hAnsi="Arial" w:cs="Arial"/>
          <w:sz w:val="20"/>
          <w:szCs w:val="20"/>
        </w:rPr>
        <w:t>több mint</w:t>
      </w:r>
      <w:r w:rsidR="00CA72A1" w:rsidRPr="00CA72A1">
        <w:rPr>
          <w:rFonts w:ascii="Arial" w:hAnsi="Arial" w:cs="Arial"/>
          <w:sz w:val="20"/>
          <w:szCs w:val="20"/>
        </w:rPr>
        <w:t xml:space="preserve"> fél százalékkal haladta meg a járvány előtt elért kibocsátást, mivel itthon magasabb a nemzetközi turizmustól és a járműgyártástól függő ágazatok súlya.</w:t>
      </w:r>
    </w:p>
    <w:tbl>
      <w:tblPr>
        <w:tblW w:w="9297" w:type="dxa"/>
        <w:tblLook w:val="01E0" w:firstRow="1" w:lastRow="1" w:firstColumn="1" w:lastColumn="1" w:noHBand="0" w:noVBand="0"/>
      </w:tblPr>
      <w:tblGrid>
        <w:gridCol w:w="4611"/>
        <w:gridCol w:w="4686"/>
      </w:tblGrid>
      <w:tr w:rsidR="007341D8" w:rsidRPr="003536D7" w14:paraId="44ABD82A" w14:textId="77777777" w:rsidTr="00221D93">
        <w:tc>
          <w:tcPr>
            <w:tcW w:w="4626" w:type="dxa"/>
          </w:tcPr>
          <w:p w14:paraId="38A0E368" w14:textId="77777777" w:rsidR="007341D8" w:rsidRPr="00C214F5" w:rsidRDefault="007341D8" w:rsidP="00221D93">
            <w:pPr>
              <w:spacing w:after="120"/>
              <w:jc w:val="center"/>
              <w:rPr>
                <w:rFonts w:ascii="Arial" w:hAnsi="Arial" w:cs="Arial"/>
                <w:b/>
                <w:color w:val="FF8500"/>
              </w:rPr>
            </w:pPr>
            <w:r>
              <w:rPr>
                <w:rFonts w:ascii="Arial" w:hAnsi="Arial" w:cs="Arial"/>
                <w:b/>
                <w:color w:val="FF8500"/>
              </w:rPr>
              <w:t>3</w:t>
            </w:r>
            <w:r w:rsidRPr="00C214F5">
              <w:rPr>
                <w:rFonts w:ascii="Arial" w:hAnsi="Arial" w:cs="Arial"/>
                <w:b/>
                <w:color w:val="FF8500"/>
              </w:rPr>
              <w:t xml:space="preserve">. ábra: </w:t>
            </w:r>
            <w:r w:rsidRPr="00A10369">
              <w:rPr>
                <w:rFonts w:ascii="Arial" w:hAnsi="Arial" w:cs="Arial"/>
                <w:bCs/>
                <w:color w:val="FF8500"/>
              </w:rPr>
              <w:t>A GDP és a belföldi felhasználás komponenseinek alakulása</w:t>
            </w:r>
            <w:r w:rsidRPr="00C214F5">
              <w:rPr>
                <w:rFonts w:ascii="Arial" w:hAnsi="Arial" w:cs="Arial"/>
                <w:b/>
                <w:color w:val="FF8500"/>
              </w:rPr>
              <w:t xml:space="preserve"> </w:t>
            </w:r>
            <w:r>
              <w:rPr>
                <w:rFonts w:ascii="Arial" w:hAnsi="Arial" w:cs="Arial"/>
                <w:b/>
                <w:color w:val="FF8500"/>
              </w:rPr>
              <w:br/>
            </w:r>
            <w:r w:rsidRPr="00C214F5">
              <w:rPr>
                <w:rFonts w:ascii="Arial" w:hAnsi="Arial" w:cs="Arial"/>
                <w:color w:val="FF8500"/>
              </w:rPr>
              <w:t xml:space="preserve">(éves </w:t>
            </w:r>
            <w:proofErr w:type="spellStart"/>
            <w:r w:rsidRPr="00C214F5">
              <w:rPr>
                <w:rFonts w:ascii="Arial" w:hAnsi="Arial" w:cs="Arial"/>
                <w:color w:val="FF8500"/>
              </w:rPr>
              <w:t>növ</w:t>
            </w:r>
            <w:proofErr w:type="spellEnd"/>
            <w:r w:rsidRPr="00C214F5">
              <w:rPr>
                <w:rFonts w:ascii="Arial" w:hAnsi="Arial" w:cs="Arial"/>
                <w:color w:val="FF8500"/>
              </w:rPr>
              <w:t>. ütem %-ban)</w:t>
            </w:r>
          </w:p>
        </w:tc>
        <w:tc>
          <w:tcPr>
            <w:tcW w:w="4671" w:type="dxa"/>
          </w:tcPr>
          <w:p w14:paraId="0F40D158" w14:textId="77777777" w:rsidR="007341D8" w:rsidRPr="00C214F5" w:rsidRDefault="007341D8" w:rsidP="00221D93">
            <w:pPr>
              <w:jc w:val="center"/>
              <w:rPr>
                <w:rFonts w:ascii="Arial" w:hAnsi="Arial" w:cs="Arial"/>
                <w:b/>
                <w:color w:val="FF8500"/>
              </w:rPr>
            </w:pPr>
            <w:r>
              <w:rPr>
                <w:rFonts w:ascii="Arial" w:hAnsi="Arial" w:cs="Arial"/>
                <w:b/>
                <w:color w:val="FF8500"/>
              </w:rPr>
              <w:t>4</w:t>
            </w:r>
            <w:r w:rsidRPr="00C214F5">
              <w:rPr>
                <w:rFonts w:ascii="Arial" w:hAnsi="Arial" w:cs="Arial"/>
                <w:b/>
                <w:color w:val="FF8500"/>
              </w:rPr>
              <w:t xml:space="preserve">. ábra: </w:t>
            </w:r>
            <w:r w:rsidRPr="00A10369">
              <w:rPr>
                <w:rFonts w:ascii="Arial" w:hAnsi="Arial" w:cs="Arial"/>
                <w:bCs/>
                <w:color w:val="FF8500"/>
              </w:rPr>
              <w:t>A GDP negyedéves és éves növekedési ütemei (%-ban)</w:t>
            </w:r>
          </w:p>
        </w:tc>
      </w:tr>
      <w:tr w:rsidR="007341D8" w:rsidRPr="003536D7" w14:paraId="620BA2B6" w14:textId="77777777" w:rsidTr="00221D93">
        <w:trPr>
          <w:trHeight w:val="3397"/>
        </w:trPr>
        <w:tc>
          <w:tcPr>
            <w:tcW w:w="4626" w:type="dxa"/>
          </w:tcPr>
          <w:p w14:paraId="0F9089C5" w14:textId="77777777" w:rsidR="007341D8" w:rsidRPr="003536D7" w:rsidRDefault="00603E10" w:rsidP="00221D93">
            <w:pPr>
              <w:spacing w:after="120"/>
              <w:jc w:val="both"/>
              <w:rPr>
                <w:rFonts w:ascii="Arial" w:hAnsi="Arial" w:cs="Arial"/>
              </w:rPr>
            </w:pPr>
            <w:r>
              <w:rPr>
                <w:rFonts w:ascii="Arial" w:hAnsi="Arial" w:cs="Arial"/>
                <w:noProof/>
                <w:lang w:eastAsia="hu-HU"/>
              </w:rPr>
              <w:drawing>
                <wp:inline distT="0" distB="0" distL="0" distR="0" wp14:anchorId="12766BBB" wp14:editId="640FA36C">
                  <wp:extent cx="2781300" cy="19431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1943100"/>
                          </a:xfrm>
                          <a:prstGeom prst="rect">
                            <a:avLst/>
                          </a:prstGeom>
                          <a:noFill/>
                          <a:ln>
                            <a:noFill/>
                          </a:ln>
                        </pic:spPr>
                      </pic:pic>
                    </a:graphicData>
                  </a:graphic>
                </wp:inline>
              </w:drawing>
            </w:r>
          </w:p>
        </w:tc>
        <w:tc>
          <w:tcPr>
            <w:tcW w:w="4671" w:type="dxa"/>
          </w:tcPr>
          <w:p w14:paraId="3701FB1F" w14:textId="77777777" w:rsidR="007341D8" w:rsidRPr="003536D7" w:rsidRDefault="007341D8" w:rsidP="00221D93">
            <w:pPr>
              <w:spacing w:after="120"/>
              <w:jc w:val="both"/>
              <w:rPr>
                <w:rFonts w:ascii="Arial" w:hAnsi="Arial" w:cs="Arial"/>
              </w:rPr>
            </w:pPr>
            <w:r w:rsidRPr="0069404A">
              <w:rPr>
                <w:rFonts w:ascii="Arial" w:hAnsi="Arial" w:cs="Arial"/>
                <w:noProof/>
                <w:lang w:eastAsia="hu-HU"/>
              </w:rPr>
              <w:drawing>
                <wp:inline distT="0" distB="0" distL="0" distR="0" wp14:anchorId="46FD52CE" wp14:editId="7F5E8A3D">
                  <wp:extent cx="2832100" cy="1924050"/>
                  <wp:effectExtent l="0" t="0" r="635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2100" cy="1924050"/>
                          </a:xfrm>
                          <a:prstGeom prst="rect">
                            <a:avLst/>
                          </a:prstGeom>
                          <a:noFill/>
                          <a:ln>
                            <a:noFill/>
                          </a:ln>
                        </pic:spPr>
                      </pic:pic>
                    </a:graphicData>
                  </a:graphic>
                </wp:inline>
              </w:drawing>
            </w:r>
          </w:p>
        </w:tc>
      </w:tr>
      <w:tr w:rsidR="007341D8" w:rsidRPr="003536D7" w14:paraId="228A535D" w14:textId="77777777" w:rsidTr="00221D93">
        <w:tc>
          <w:tcPr>
            <w:tcW w:w="4626" w:type="dxa"/>
          </w:tcPr>
          <w:p w14:paraId="736E00C6" w14:textId="77777777" w:rsidR="007341D8" w:rsidRPr="003536D7" w:rsidRDefault="007341D8" w:rsidP="00221D93">
            <w:pPr>
              <w:pStyle w:val="Kpalrstbank"/>
            </w:pPr>
            <w:r w:rsidRPr="003536D7">
              <w:t>Forrás: KSH, Takarékbank előrejelzés (árnyékolt terület)</w:t>
            </w:r>
          </w:p>
        </w:tc>
        <w:tc>
          <w:tcPr>
            <w:tcW w:w="4671" w:type="dxa"/>
          </w:tcPr>
          <w:p w14:paraId="5E2091E8" w14:textId="77777777" w:rsidR="007341D8" w:rsidRPr="003536D7" w:rsidRDefault="007341D8" w:rsidP="00221D93">
            <w:pPr>
              <w:pStyle w:val="Kpalrstbank"/>
            </w:pPr>
            <w:r w:rsidRPr="003536D7">
              <w:t>Forrás: KSH, Takarékbank előrejelzés (árnyékolt terület)</w:t>
            </w:r>
          </w:p>
        </w:tc>
      </w:tr>
    </w:tbl>
    <w:p w14:paraId="2FACE7B6" w14:textId="77777777" w:rsidR="007341D8" w:rsidRDefault="007341D8" w:rsidP="00FD658E">
      <w:pPr>
        <w:spacing w:after="120" w:line="360" w:lineRule="auto"/>
        <w:jc w:val="both"/>
        <w:rPr>
          <w:rFonts w:ascii="Arial" w:hAnsi="Arial" w:cs="Arial"/>
          <w:sz w:val="20"/>
          <w:szCs w:val="20"/>
        </w:rPr>
      </w:pPr>
    </w:p>
    <w:p w14:paraId="1741EB30" w14:textId="77777777" w:rsidR="00CC3DBA" w:rsidRDefault="004F5260" w:rsidP="00F90BB0">
      <w:pPr>
        <w:spacing w:after="120" w:line="360" w:lineRule="auto"/>
        <w:jc w:val="both"/>
        <w:rPr>
          <w:rFonts w:ascii="Arial" w:hAnsi="Arial" w:cs="Arial"/>
          <w:sz w:val="20"/>
        </w:rPr>
      </w:pPr>
      <w:r w:rsidRPr="004F5260">
        <w:rPr>
          <w:rFonts w:ascii="Arial" w:hAnsi="Arial" w:cs="Arial"/>
          <w:sz w:val="20"/>
        </w:rPr>
        <w:t xml:space="preserve">Az egyes </w:t>
      </w:r>
      <w:proofErr w:type="spellStart"/>
      <w:r w:rsidRPr="004F5260">
        <w:rPr>
          <w:rFonts w:ascii="Arial" w:hAnsi="Arial" w:cs="Arial"/>
          <w:sz w:val="20"/>
        </w:rPr>
        <w:t>ágazatokat</w:t>
      </w:r>
      <w:proofErr w:type="spellEnd"/>
      <w:r w:rsidRPr="004F5260">
        <w:rPr>
          <w:rFonts w:ascii="Arial" w:hAnsi="Arial" w:cs="Arial"/>
          <w:sz w:val="20"/>
        </w:rPr>
        <w:t xml:space="preserve"> és országokat továbbra is </w:t>
      </w:r>
      <w:r w:rsidRPr="004F5260">
        <w:rPr>
          <w:rFonts w:ascii="Arial" w:hAnsi="Arial" w:cs="Arial"/>
          <w:b/>
          <w:sz w:val="20"/>
        </w:rPr>
        <w:t>különböző mértékű</w:t>
      </w:r>
      <w:r w:rsidRPr="004F5260">
        <w:rPr>
          <w:rFonts w:ascii="Arial" w:hAnsi="Arial" w:cs="Arial"/>
          <w:sz w:val="20"/>
        </w:rPr>
        <w:t xml:space="preserve"> felpattanás jellemzi. Az ipari termelés lendületét a gyors helyreállást követően az </w:t>
      </w:r>
      <w:r w:rsidRPr="004F5260">
        <w:rPr>
          <w:rFonts w:ascii="Arial" w:hAnsi="Arial" w:cs="Arial"/>
          <w:b/>
          <w:sz w:val="20"/>
        </w:rPr>
        <w:t>általánossá váló alkatrész- és félvezetőhiány</w:t>
      </w:r>
      <w:r w:rsidRPr="004F5260">
        <w:rPr>
          <w:rFonts w:ascii="Arial" w:hAnsi="Arial" w:cs="Arial"/>
          <w:sz w:val="20"/>
        </w:rPr>
        <w:t xml:space="preserve">, valamint a </w:t>
      </w:r>
      <w:r w:rsidRPr="004F5260">
        <w:rPr>
          <w:rFonts w:ascii="Arial" w:hAnsi="Arial" w:cs="Arial"/>
          <w:b/>
          <w:sz w:val="20"/>
        </w:rPr>
        <w:t xml:space="preserve">szállítási kapacitások-korlátok </w:t>
      </w:r>
      <w:r w:rsidRPr="004F5260">
        <w:rPr>
          <w:rFonts w:ascii="Arial" w:hAnsi="Arial" w:cs="Arial"/>
          <w:sz w:val="20"/>
        </w:rPr>
        <w:t xml:space="preserve">törték meg, noha a kilátások továbbra is kedvezőek lennének a </w:t>
      </w:r>
      <w:r w:rsidRPr="004F5260">
        <w:rPr>
          <w:rFonts w:ascii="Arial" w:hAnsi="Arial" w:cs="Arial"/>
          <w:b/>
          <w:sz w:val="20"/>
        </w:rPr>
        <w:t>kifejezetten magas rendel</w:t>
      </w:r>
      <w:r>
        <w:rPr>
          <w:rFonts w:ascii="Arial" w:hAnsi="Arial" w:cs="Arial"/>
          <w:b/>
          <w:sz w:val="20"/>
        </w:rPr>
        <w:t>és</w:t>
      </w:r>
      <w:r w:rsidRPr="004F5260">
        <w:rPr>
          <w:rFonts w:ascii="Arial" w:hAnsi="Arial" w:cs="Arial"/>
          <w:b/>
          <w:sz w:val="20"/>
        </w:rPr>
        <w:t>állománynak</w:t>
      </w:r>
      <w:r w:rsidRPr="004F5260">
        <w:rPr>
          <w:rFonts w:ascii="Arial" w:hAnsi="Arial" w:cs="Arial"/>
          <w:sz w:val="20"/>
        </w:rPr>
        <w:t xml:space="preserve"> köszönhetően. A kiskereskedelem helyreállása folytatódott, amit néhány országban az egyes cikkeket érintő </w:t>
      </w:r>
      <w:r w:rsidRPr="008C17ED">
        <w:rPr>
          <w:rFonts w:ascii="Arial" w:hAnsi="Arial" w:cs="Arial"/>
          <w:b/>
          <w:sz w:val="20"/>
        </w:rPr>
        <w:t>áruhiány</w:t>
      </w:r>
      <w:r w:rsidRPr="004F5260">
        <w:rPr>
          <w:rFonts w:ascii="Arial" w:hAnsi="Arial" w:cs="Arial"/>
          <w:sz w:val="20"/>
        </w:rPr>
        <w:t xml:space="preserve">, valamint korábbi </w:t>
      </w:r>
      <w:r w:rsidRPr="008C17ED">
        <w:rPr>
          <w:rFonts w:ascii="Arial" w:hAnsi="Arial" w:cs="Arial"/>
          <w:b/>
          <w:sz w:val="20"/>
        </w:rPr>
        <w:t>ösztönző intézkedések kifutása</w:t>
      </w:r>
      <w:r w:rsidRPr="004F5260">
        <w:rPr>
          <w:rFonts w:ascii="Arial" w:hAnsi="Arial" w:cs="Arial"/>
          <w:sz w:val="20"/>
        </w:rPr>
        <w:t xml:space="preserve"> árnyékolt be. A nemzetközi turizmus, az erre épülő szolgáltatások, rendezvények felépülése részlegesen folytatódott, mivel az egyes országok </w:t>
      </w:r>
      <w:r w:rsidRPr="008C17ED">
        <w:rPr>
          <w:rFonts w:ascii="Arial" w:hAnsi="Arial" w:cs="Arial"/>
          <w:b/>
          <w:sz w:val="20"/>
        </w:rPr>
        <w:t>eltérő feltételeket</w:t>
      </w:r>
      <w:r w:rsidRPr="004F5260">
        <w:rPr>
          <w:rFonts w:ascii="Arial" w:hAnsi="Arial" w:cs="Arial"/>
          <w:sz w:val="20"/>
        </w:rPr>
        <w:t xml:space="preserve"> szabnak meg a beutazáshoz. A </w:t>
      </w:r>
      <w:r w:rsidRPr="008C17ED">
        <w:rPr>
          <w:rFonts w:ascii="Arial" w:hAnsi="Arial" w:cs="Arial"/>
          <w:b/>
          <w:sz w:val="20"/>
        </w:rPr>
        <w:t>transzkontinentális utazások</w:t>
      </w:r>
      <w:r w:rsidRPr="004F5260">
        <w:rPr>
          <w:rFonts w:ascii="Arial" w:hAnsi="Arial" w:cs="Arial"/>
          <w:sz w:val="20"/>
        </w:rPr>
        <w:t xml:space="preserve"> </w:t>
      </w:r>
      <w:r w:rsidRPr="004F5260">
        <w:rPr>
          <w:rFonts w:ascii="Arial" w:hAnsi="Arial" w:cs="Arial"/>
          <w:sz w:val="20"/>
        </w:rPr>
        <w:lastRenderedPageBreak/>
        <w:t xml:space="preserve">helyreállásához több időre lesz szükség, különösen, hogy a koronavírus újabb, delta, valamint omikron variánsa több helyen már a negyedik, illetve ötödik hullámot indította el. Ennek megfelelően az egyes országok kilábalását nagymértékben határozza meg </w:t>
      </w:r>
      <w:r w:rsidRPr="008C17ED">
        <w:rPr>
          <w:rFonts w:ascii="Arial" w:hAnsi="Arial" w:cs="Arial"/>
          <w:b/>
          <w:sz w:val="20"/>
        </w:rPr>
        <w:t>az átoltottság alakulása, a gazdasági szerkezet</w:t>
      </w:r>
      <w:r w:rsidRPr="004F5260">
        <w:rPr>
          <w:rFonts w:ascii="Arial" w:hAnsi="Arial" w:cs="Arial"/>
          <w:sz w:val="20"/>
        </w:rPr>
        <w:t xml:space="preserve">, így a kilábalás/helyreállás mértéke is igen különböző maradhat. A turizmustól erőteljesen függő </w:t>
      </w:r>
      <w:r w:rsidRPr="008C17ED">
        <w:rPr>
          <w:rFonts w:ascii="Arial" w:hAnsi="Arial" w:cs="Arial"/>
          <w:b/>
          <w:sz w:val="20"/>
        </w:rPr>
        <w:t>dél-európai országok jelentős hátrányból</w:t>
      </w:r>
      <w:r w:rsidRPr="004F5260">
        <w:rPr>
          <w:rFonts w:ascii="Arial" w:hAnsi="Arial" w:cs="Arial"/>
          <w:sz w:val="20"/>
        </w:rPr>
        <w:t xml:space="preserve"> indultak. Ezt enyhítheti az uniós helyreállítási alap, amely döntően a nagyobb visszaesést elszenvedő országokat támogatja. A küldő, döntően északi országok mindazonáltal profitáltak az elmaradt nyaralásokból származó megtakarítások belső felhasználásából, amit az északi államok jóval kisebb tavalyi visszaesése és gyorsabb helyreállása tükröztek. A jelentősebb ipari, járműgyártási kapacitásokkal rendelkező gazdaságokban pedig a </w:t>
      </w:r>
      <w:r w:rsidRPr="008C17ED">
        <w:rPr>
          <w:rFonts w:ascii="Arial" w:hAnsi="Arial" w:cs="Arial"/>
          <w:b/>
          <w:sz w:val="20"/>
        </w:rPr>
        <w:t>beszállítói láncokkal kapcsolatos nehézségek</w:t>
      </w:r>
      <w:r w:rsidRPr="004F5260">
        <w:rPr>
          <w:rFonts w:ascii="Arial" w:hAnsi="Arial" w:cs="Arial"/>
          <w:sz w:val="20"/>
        </w:rPr>
        <w:t xml:space="preserve"> vezettek lassuláshoz. Ebből kifolyólag a </w:t>
      </w:r>
      <w:r w:rsidRPr="008C17ED">
        <w:rPr>
          <w:rFonts w:ascii="Arial" w:hAnsi="Arial" w:cs="Arial"/>
          <w:b/>
          <w:sz w:val="20"/>
        </w:rPr>
        <w:t>kilábalás továbbra is egyenlőtlen</w:t>
      </w:r>
      <w:r w:rsidRPr="004F5260">
        <w:rPr>
          <w:rFonts w:ascii="Arial" w:hAnsi="Arial" w:cs="Arial"/>
          <w:sz w:val="20"/>
        </w:rPr>
        <w:t>.</w:t>
      </w:r>
      <w:r w:rsidR="005107A7" w:rsidRPr="00B66927">
        <w:rPr>
          <w:rFonts w:ascii="Arial" w:hAnsi="Arial" w:cs="Arial"/>
          <w:sz w:val="20"/>
        </w:rPr>
        <w:t xml:space="preserve"> </w:t>
      </w:r>
    </w:p>
    <w:p w14:paraId="56E86182" w14:textId="77777777" w:rsidR="00FF057E" w:rsidRPr="00FD658E" w:rsidRDefault="005C518C" w:rsidP="00F90BB0">
      <w:pPr>
        <w:spacing w:after="120" w:line="360" w:lineRule="auto"/>
        <w:jc w:val="both"/>
        <w:rPr>
          <w:rFonts w:ascii="Arial" w:hAnsi="Arial" w:cs="Arial"/>
          <w:sz w:val="20"/>
          <w:szCs w:val="20"/>
        </w:rPr>
      </w:pPr>
      <w:r w:rsidRPr="00FD658E">
        <w:rPr>
          <w:rFonts w:ascii="Arial" w:hAnsi="Arial" w:cs="Arial"/>
          <w:sz w:val="20"/>
          <w:szCs w:val="20"/>
        </w:rPr>
        <w:t>2017 negyedik negyedévétől az EU tagállamai közül a hazai gazdaság negyedéves és éves alapon az élmezőnybe</w:t>
      </w:r>
      <w:r w:rsidRPr="00FD658E">
        <w:rPr>
          <w:rFonts w:ascii="Arial" w:hAnsi="Arial" w:cs="Arial"/>
          <w:b/>
          <w:sz w:val="20"/>
          <w:szCs w:val="20"/>
        </w:rPr>
        <w:t xml:space="preserve"> </w:t>
      </w:r>
      <w:r w:rsidRPr="00FD658E">
        <w:rPr>
          <w:rFonts w:ascii="Arial" w:hAnsi="Arial" w:cs="Arial"/>
          <w:sz w:val="20"/>
          <w:szCs w:val="20"/>
        </w:rPr>
        <w:t xml:space="preserve">került, amit az előző két </w:t>
      </w:r>
      <w:r w:rsidR="00CA72A1">
        <w:rPr>
          <w:rFonts w:ascii="Arial" w:hAnsi="Arial" w:cs="Arial"/>
          <w:sz w:val="20"/>
          <w:szCs w:val="20"/>
        </w:rPr>
        <w:t>év során végig megtartott</w:t>
      </w:r>
      <w:r w:rsidRPr="00FD658E">
        <w:rPr>
          <w:rFonts w:ascii="Arial" w:hAnsi="Arial" w:cs="Arial"/>
          <w:sz w:val="20"/>
          <w:szCs w:val="20"/>
        </w:rPr>
        <w:t xml:space="preserve">. </w:t>
      </w:r>
      <w:r w:rsidR="00206580">
        <w:rPr>
          <w:rFonts w:ascii="Arial" w:hAnsi="Arial" w:cs="Arial"/>
          <w:b/>
          <w:sz w:val="20"/>
          <w:szCs w:val="20"/>
        </w:rPr>
        <w:t>Tavalyelőtt</w:t>
      </w:r>
      <w:r w:rsidRPr="00FD658E">
        <w:rPr>
          <w:rFonts w:ascii="Arial" w:hAnsi="Arial" w:cs="Arial"/>
          <w:sz w:val="20"/>
          <w:szCs w:val="20"/>
        </w:rPr>
        <w:t xml:space="preserve"> a hazai gazdaság teljesítménye továbbra is </w:t>
      </w:r>
      <w:r w:rsidRPr="00FD658E">
        <w:rPr>
          <w:rFonts w:ascii="Arial" w:hAnsi="Arial" w:cs="Arial"/>
          <w:b/>
          <w:sz w:val="20"/>
          <w:szCs w:val="20"/>
        </w:rPr>
        <w:t xml:space="preserve">közel </w:t>
      </w:r>
      <w:r w:rsidR="007728EE">
        <w:rPr>
          <w:rFonts w:ascii="Arial" w:hAnsi="Arial" w:cs="Arial"/>
          <w:b/>
          <w:sz w:val="20"/>
          <w:szCs w:val="20"/>
        </w:rPr>
        <w:t>két</w:t>
      </w:r>
      <w:r w:rsidRPr="00FD658E">
        <w:rPr>
          <w:rFonts w:ascii="Arial" w:hAnsi="Arial" w:cs="Arial"/>
          <w:b/>
          <w:sz w:val="20"/>
          <w:szCs w:val="20"/>
        </w:rPr>
        <w:t xml:space="preserve"> százalékponttal haladta</w:t>
      </w:r>
      <w:r w:rsidRPr="00FD658E">
        <w:rPr>
          <w:rFonts w:ascii="Arial" w:hAnsi="Arial" w:cs="Arial"/>
          <w:sz w:val="20"/>
          <w:szCs w:val="20"/>
        </w:rPr>
        <w:t xml:space="preserve"> meg az uniós átlagot</w:t>
      </w:r>
      <w:r w:rsidR="00B25C2E">
        <w:rPr>
          <w:rFonts w:ascii="Arial" w:hAnsi="Arial" w:cs="Arial"/>
          <w:sz w:val="20"/>
          <w:szCs w:val="20"/>
        </w:rPr>
        <w:t xml:space="preserve">, </w:t>
      </w:r>
      <w:r w:rsidR="00206580">
        <w:rPr>
          <w:rFonts w:ascii="Arial" w:hAnsi="Arial" w:cs="Arial"/>
          <w:sz w:val="20"/>
          <w:szCs w:val="20"/>
        </w:rPr>
        <w:t xml:space="preserve">míg tavaly </w:t>
      </w:r>
      <w:r w:rsidR="00206580" w:rsidRPr="00206580">
        <w:rPr>
          <w:rFonts w:ascii="Arial" w:hAnsi="Arial" w:cs="Arial"/>
          <w:b/>
          <w:sz w:val="20"/>
          <w:szCs w:val="20"/>
        </w:rPr>
        <w:t>kismértékben szűkülhetett</w:t>
      </w:r>
      <w:r w:rsidR="00B25C2E" w:rsidRPr="00B25C2E">
        <w:rPr>
          <w:rFonts w:ascii="Arial" w:hAnsi="Arial" w:cs="Arial"/>
          <w:b/>
          <w:sz w:val="20"/>
          <w:szCs w:val="20"/>
        </w:rPr>
        <w:t xml:space="preserve"> a növekedési különbség</w:t>
      </w:r>
      <w:r w:rsidRPr="00FD658E">
        <w:rPr>
          <w:rFonts w:ascii="Arial" w:hAnsi="Arial" w:cs="Arial"/>
          <w:sz w:val="20"/>
          <w:szCs w:val="20"/>
        </w:rPr>
        <w:t xml:space="preserve">. A következő években hazai gazdaság növekedése stabilan meghaladhatja az EU összesített növekedési ütemét, így </w:t>
      </w:r>
      <w:r w:rsidRPr="00FD658E">
        <w:rPr>
          <w:rFonts w:ascii="Arial" w:hAnsi="Arial" w:cs="Arial"/>
          <w:b/>
          <w:sz w:val="20"/>
          <w:szCs w:val="20"/>
        </w:rPr>
        <w:t>tartós maradhat a hazai gazdaság felzárkózása</w:t>
      </w:r>
      <w:r w:rsidRPr="00FD658E">
        <w:rPr>
          <w:rFonts w:ascii="Arial" w:hAnsi="Arial" w:cs="Arial"/>
          <w:sz w:val="20"/>
          <w:szCs w:val="20"/>
        </w:rPr>
        <w:t xml:space="preserve">. A következő években a fogyasztás további növekedése, a beruházások felfutása és újabb jelentős autóipari kapacitásbővítések hatására átmenetileg viszonylag gyors lehet a felzárkózás. Középtávon a hazai gazdasági szereplők mérlegének érdemi javulása viszonylag gyors ütemű felzárkózásra ad lehetőséget, azonban a hosszabb távú felzárkózáshoz </w:t>
      </w:r>
      <w:r w:rsidRPr="00FD658E">
        <w:rPr>
          <w:rFonts w:ascii="Arial" w:hAnsi="Arial" w:cs="Arial"/>
          <w:b/>
          <w:sz w:val="20"/>
          <w:szCs w:val="20"/>
        </w:rPr>
        <w:t>a potenciális növekedést meghatározó tényezők</w:t>
      </w:r>
      <w:r w:rsidRPr="00FD658E">
        <w:rPr>
          <w:rFonts w:ascii="Arial" w:hAnsi="Arial" w:cs="Arial"/>
          <w:sz w:val="20"/>
          <w:szCs w:val="20"/>
        </w:rPr>
        <w:t xml:space="preserve"> (humántőke, intézményi/szabályozási/üzleti környezet), </w:t>
      </w:r>
      <w:r w:rsidRPr="00FD658E">
        <w:rPr>
          <w:rFonts w:ascii="Arial" w:hAnsi="Arial" w:cs="Arial"/>
          <w:b/>
          <w:sz w:val="20"/>
          <w:szCs w:val="20"/>
        </w:rPr>
        <w:t>a versenyképesség és a termelékenység további javulása szükséges</w:t>
      </w:r>
      <w:r w:rsidRPr="00FD658E">
        <w:rPr>
          <w:rFonts w:ascii="Arial" w:hAnsi="Arial" w:cs="Arial"/>
          <w:sz w:val="20"/>
          <w:szCs w:val="20"/>
        </w:rPr>
        <w:t xml:space="preserve">. </w:t>
      </w:r>
    </w:p>
    <w:p w14:paraId="2BF1A699" w14:textId="77777777" w:rsidR="005C518C" w:rsidRDefault="005C518C" w:rsidP="00F90BB0">
      <w:pPr>
        <w:spacing w:after="180" w:line="360" w:lineRule="auto"/>
        <w:jc w:val="both"/>
        <w:rPr>
          <w:rFonts w:ascii="Arial" w:hAnsi="Arial" w:cs="Arial"/>
          <w:sz w:val="20"/>
          <w:szCs w:val="20"/>
        </w:rPr>
      </w:pPr>
      <w:r w:rsidRPr="00FD658E">
        <w:rPr>
          <w:rFonts w:ascii="Arial" w:hAnsi="Arial" w:cs="Arial"/>
          <w:sz w:val="20"/>
          <w:szCs w:val="20"/>
        </w:rPr>
        <w:t>A</w:t>
      </w:r>
      <w:r w:rsidR="002F2805">
        <w:rPr>
          <w:rFonts w:ascii="Arial" w:hAnsi="Arial" w:cs="Arial"/>
          <w:sz w:val="20"/>
          <w:szCs w:val="20"/>
        </w:rPr>
        <w:t xml:space="preserve"> </w:t>
      </w:r>
      <w:r w:rsidR="00DB2386">
        <w:rPr>
          <w:rFonts w:ascii="Arial" w:hAnsi="Arial" w:cs="Arial"/>
          <w:sz w:val="20"/>
          <w:szCs w:val="20"/>
        </w:rPr>
        <w:t>harmadik</w:t>
      </w:r>
      <w:r w:rsidRPr="00FD658E">
        <w:rPr>
          <w:rFonts w:ascii="Arial" w:hAnsi="Arial" w:cs="Arial"/>
          <w:sz w:val="20"/>
          <w:szCs w:val="20"/>
        </w:rPr>
        <w:t xml:space="preserve"> negyedévben </w:t>
      </w:r>
      <w:r w:rsidRPr="00FD658E">
        <w:rPr>
          <w:rFonts w:ascii="Arial" w:hAnsi="Arial" w:cs="Arial"/>
          <w:b/>
          <w:sz w:val="20"/>
          <w:szCs w:val="20"/>
        </w:rPr>
        <w:t xml:space="preserve">az ipar, valamint a feldolgozóipar hozzáadott értéke </w:t>
      </w:r>
      <w:r w:rsidR="003E5E8B">
        <w:rPr>
          <w:rFonts w:ascii="Arial" w:hAnsi="Arial" w:cs="Arial"/>
          <w:b/>
          <w:sz w:val="20"/>
          <w:szCs w:val="20"/>
        </w:rPr>
        <w:t>2,5</w:t>
      </w:r>
      <w:r w:rsidR="002F2805">
        <w:rPr>
          <w:rFonts w:ascii="Arial" w:hAnsi="Arial" w:cs="Arial"/>
          <w:b/>
          <w:sz w:val="20"/>
          <w:szCs w:val="20"/>
        </w:rPr>
        <w:t xml:space="preserve">, ill. </w:t>
      </w:r>
      <w:r w:rsidR="003E5E8B">
        <w:rPr>
          <w:rFonts w:ascii="Arial" w:hAnsi="Arial" w:cs="Arial"/>
          <w:b/>
          <w:sz w:val="20"/>
          <w:szCs w:val="20"/>
        </w:rPr>
        <w:t>2,6</w:t>
      </w:r>
      <w:r w:rsidRPr="00FD658E">
        <w:rPr>
          <w:rFonts w:ascii="Arial" w:hAnsi="Arial" w:cs="Arial"/>
          <w:b/>
          <w:sz w:val="20"/>
          <w:szCs w:val="20"/>
        </w:rPr>
        <w:t xml:space="preserve">%-kal </w:t>
      </w:r>
      <w:r w:rsidR="004F3448">
        <w:rPr>
          <w:rFonts w:ascii="Arial" w:hAnsi="Arial" w:cs="Arial"/>
          <w:b/>
          <w:sz w:val="20"/>
          <w:szCs w:val="20"/>
        </w:rPr>
        <w:t>nőtt</w:t>
      </w:r>
      <w:r w:rsidRPr="00FD658E">
        <w:rPr>
          <w:rFonts w:ascii="Arial" w:hAnsi="Arial" w:cs="Arial"/>
          <w:b/>
          <w:sz w:val="20"/>
          <w:szCs w:val="20"/>
        </w:rPr>
        <w:t xml:space="preserve"> </w:t>
      </w:r>
      <w:r w:rsidR="00877761">
        <w:rPr>
          <w:rFonts w:ascii="Arial" w:hAnsi="Arial" w:cs="Arial"/>
          <w:sz w:val="20"/>
          <w:szCs w:val="20"/>
        </w:rPr>
        <w:t xml:space="preserve">az egy évvel ezelőtti </w:t>
      </w:r>
      <w:r w:rsidR="003E5E8B">
        <w:rPr>
          <w:rFonts w:ascii="Arial" w:hAnsi="Arial" w:cs="Arial"/>
          <w:sz w:val="20"/>
          <w:szCs w:val="20"/>
        </w:rPr>
        <w:t xml:space="preserve">szinthez </w:t>
      </w:r>
      <w:r w:rsidRPr="00FD658E">
        <w:rPr>
          <w:rFonts w:ascii="Arial" w:hAnsi="Arial" w:cs="Arial"/>
          <w:sz w:val="20"/>
          <w:szCs w:val="20"/>
        </w:rPr>
        <w:t>képest</w:t>
      </w:r>
      <w:r w:rsidR="009A661D">
        <w:rPr>
          <w:rFonts w:ascii="Arial" w:hAnsi="Arial" w:cs="Arial"/>
          <w:sz w:val="20"/>
          <w:szCs w:val="20"/>
        </w:rPr>
        <w:t xml:space="preserve">, </w:t>
      </w:r>
      <w:r w:rsidR="003E5E8B">
        <w:rPr>
          <w:rFonts w:ascii="Arial" w:hAnsi="Arial" w:cs="Arial"/>
          <w:b/>
          <w:sz w:val="20"/>
          <w:szCs w:val="20"/>
        </w:rPr>
        <w:t>meredeken lassulva a második negyedévben elért 36,6, illetve 39,8%-os növekedés után</w:t>
      </w:r>
      <w:r w:rsidRPr="00FD658E">
        <w:rPr>
          <w:rFonts w:ascii="Arial" w:hAnsi="Arial" w:cs="Arial"/>
          <w:sz w:val="20"/>
          <w:szCs w:val="20"/>
        </w:rPr>
        <w:t xml:space="preserve">. </w:t>
      </w:r>
      <w:r w:rsidR="00DB5C13" w:rsidRPr="00DB5C13">
        <w:rPr>
          <w:rFonts w:ascii="Arial" w:hAnsi="Arial" w:cs="Arial"/>
          <w:sz w:val="20"/>
          <w:szCs w:val="20"/>
        </w:rPr>
        <w:t xml:space="preserve">A feldolgozóipari ágazatok közül </w:t>
      </w:r>
      <w:r w:rsidR="002F2805">
        <w:rPr>
          <w:rFonts w:ascii="Arial" w:hAnsi="Arial" w:cs="Arial"/>
          <w:sz w:val="20"/>
          <w:szCs w:val="20"/>
        </w:rPr>
        <w:t>legnagyobb mértékben</w:t>
      </w:r>
      <w:r w:rsidR="004F3448">
        <w:rPr>
          <w:rFonts w:ascii="Arial" w:hAnsi="Arial" w:cs="Arial"/>
          <w:sz w:val="20"/>
          <w:szCs w:val="20"/>
        </w:rPr>
        <w:t xml:space="preserve"> a</w:t>
      </w:r>
      <w:r w:rsidR="00DB5C13" w:rsidRPr="00DB5C13">
        <w:rPr>
          <w:rFonts w:ascii="Arial" w:hAnsi="Arial" w:cs="Arial"/>
          <w:sz w:val="20"/>
          <w:szCs w:val="20"/>
        </w:rPr>
        <w:t xml:space="preserve"> </w:t>
      </w:r>
      <w:r w:rsidR="003E5E8B">
        <w:rPr>
          <w:rFonts w:ascii="Arial" w:hAnsi="Arial" w:cs="Arial"/>
          <w:sz w:val="20"/>
          <w:szCs w:val="20"/>
        </w:rPr>
        <w:t>villamos berendezés és a fémfeldolgozási termék gyártásának növekedése</w:t>
      </w:r>
      <w:r w:rsidR="00DB5C13" w:rsidRPr="00DB5C13">
        <w:rPr>
          <w:rFonts w:ascii="Arial" w:hAnsi="Arial" w:cs="Arial"/>
          <w:sz w:val="20"/>
          <w:szCs w:val="20"/>
        </w:rPr>
        <w:t xml:space="preserve"> </w:t>
      </w:r>
      <w:r w:rsidR="004F3448">
        <w:rPr>
          <w:rFonts w:ascii="Arial" w:hAnsi="Arial" w:cs="Arial"/>
          <w:sz w:val="20"/>
          <w:szCs w:val="20"/>
        </w:rPr>
        <w:t xml:space="preserve">járult hozzá a </w:t>
      </w:r>
      <w:r w:rsidR="003E5E8B">
        <w:rPr>
          <w:rFonts w:ascii="Arial" w:hAnsi="Arial" w:cs="Arial"/>
          <w:sz w:val="20"/>
          <w:szCs w:val="20"/>
        </w:rPr>
        <w:t>bővüléséhez</w:t>
      </w:r>
      <w:r w:rsidRPr="00FD658E">
        <w:rPr>
          <w:rFonts w:ascii="Arial" w:hAnsi="Arial" w:cs="Arial"/>
          <w:sz w:val="20"/>
          <w:szCs w:val="20"/>
        </w:rPr>
        <w:t xml:space="preserve">. </w:t>
      </w:r>
      <w:r w:rsidRPr="00FD658E">
        <w:rPr>
          <w:rFonts w:ascii="Arial" w:hAnsi="Arial" w:cs="Arial"/>
          <w:b/>
          <w:sz w:val="20"/>
          <w:szCs w:val="20"/>
        </w:rPr>
        <w:t>Az ipari termelés</w:t>
      </w:r>
      <w:r w:rsidRPr="00FD658E">
        <w:rPr>
          <w:rFonts w:ascii="Arial" w:hAnsi="Arial" w:cs="Arial"/>
          <w:sz w:val="20"/>
          <w:szCs w:val="20"/>
        </w:rPr>
        <w:t xml:space="preserve"> összesen </w:t>
      </w:r>
      <w:r w:rsidR="003E5E8B">
        <w:rPr>
          <w:rFonts w:ascii="Arial" w:hAnsi="Arial" w:cs="Arial"/>
          <w:b/>
          <w:sz w:val="20"/>
          <w:szCs w:val="20"/>
        </w:rPr>
        <w:t>0,5</w:t>
      </w:r>
      <w:r w:rsidRPr="00FD658E">
        <w:rPr>
          <w:rFonts w:ascii="Arial" w:hAnsi="Arial" w:cs="Arial"/>
          <w:b/>
          <w:sz w:val="20"/>
          <w:szCs w:val="20"/>
        </w:rPr>
        <w:t xml:space="preserve"> százalékponttal </w:t>
      </w:r>
      <w:r w:rsidR="004F3448">
        <w:rPr>
          <w:rFonts w:ascii="Arial" w:hAnsi="Arial" w:cs="Arial"/>
          <w:b/>
          <w:sz w:val="20"/>
          <w:szCs w:val="20"/>
        </w:rPr>
        <w:t>javította a gazdasági teljesítményt</w:t>
      </w:r>
      <w:r w:rsidRPr="00FD658E">
        <w:rPr>
          <w:rFonts w:ascii="Arial" w:hAnsi="Arial" w:cs="Arial"/>
          <w:b/>
          <w:sz w:val="20"/>
          <w:szCs w:val="20"/>
        </w:rPr>
        <w:t>.</w:t>
      </w:r>
      <w:r w:rsidRPr="00FD658E">
        <w:rPr>
          <w:rFonts w:ascii="Arial" w:hAnsi="Arial" w:cs="Arial"/>
          <w:sz w:val="20"/>
          <w:szCs w:val="20"/>
        </w:rPr>
        <w:t xml:space="preserve"> </w:t>
      </w:r>
      <w:r w:rsidRPr="00FD658E">
        <w:rPr>
          <w:rFonts w:ascii="Arial" w:hAnsi="Arial" w:cs="Arial"/>
          <w:b/>
          <w:sz w:val="20"/>
          <w:szCs w:val="20"/>
        </w:rPr>
        <w:t>Az építőipar teljesítménye</w:t>
      </w:r>
      <w:r w:rsidRPr="00FD658E">
        <w:rPr>
          <w:rFonts w:ascii="Arial" w:hAnsi="Arial" w:cs="Arial"/>
          <w:sz w:val="20"/>
          <w:szCs w:val="20"/>
        </w:rPr>
        <w:t xml:space="preserve"> </w:t>
      </w:r>
      <w:r w:rsidR="003E5E8B">
        <w:rPr>
          <w:rFonts w:ascii="Arial" w:hAnsi="Arial" w:cs="Arial"/>
          <w:b/>
          <w:sz w:val="20"/>
          <w:szCs w:val="20"/>
        </w:rPr>
        <w:t>20,1</w:t>
      </w:r>
      <w:r w:rsidRPr="00FD658E">
        <w:rPr>
          <w:rFonts w:ascii="Arial" w:hAnsi="Arial" w:cs="Arial"/>
          <w:b/>
          <w:sz w:val="20"/>
          <w:szCs w:val="20"/>
        </w:rPr>
        <w:t xml:space="preserve">%-kal </w:t>
      </w:r>
      <w:r w:rsidR="00877761">
        <w:rPr>
          <w:rFonts w:ascii="Arial" w:hAnsi="Arial" w:cs="Arial"/>
          <w:b/>
          <w:sz w:val="20"/>
          <w:szCs w:val="20"/>
        </w:rPr>
        <w:t>emelkedett</w:t>
      </w:r>
      <w:r w:rsidRPr="00FD658E">
        <w:rPr>
          <w:rFonts w:ascii="Arial" w:hAnsi="Arial" w:cs="Arial"/>
          <w:sz w:val="20"/>
          <w:szCs w:val="20"/>
        </w:rPr>
        <w:t xml:space="preserve">, </w:t>
      </w:r>
      <w:r w:rsidR="003E5E8B">
        <w:rPr>
          <w:rFonts w:ascii="Arial" w:hAnsi="Arial" w:cs="Arial"/>
          <w:sz w:val="20"/>
          <w:szCs w:val="20"/>
        </w:rPr>
        <w:t>1</w:t>
      </w:r>
      <w:r w:rsidR="004F3448">
        <w:rPr>
          <w:rFonts w:ascii="Arial" w:hAnsi="Arial" w:cs="Arial"/>
          <w:sz w:val="20"/>
          <w:szCs w:val="20"/>
        </w:rPr>
        <w:t xml:space="preserve"> százalékponttal </w:t>
      </w:r>
      <w:r w:rsidR="00877761">
        <w:rPr>
          <w:rFonts w:ascii="Arial" w:hAnsi="Arial" w:cs="Arial"/>
          <w:sz w:val="20"/>
          <w:szCs w:val="20"/>
        </w:rPr>
        <w:t>növelve</w:t>
      </w:r>
      <w:r w:rsidRPr="00FD658E">
        <w:rPr>
          <w:rFonts w:ascii="Arial" w:hAnsi="Arial" w:cs="Arial"/>
          <w:sz w:val="20"/>
          <w:szCs w:val="20"/>
        </w:rPr>
        <w:t xml:space="preserve"> a GDP-t</w:t>
      </w:r>
      <w:r w:rsidR="00B47783">
        <w:rPr>
          <w:rFonts w:ascii="Arial" w:hAnsi="Arial" w:cs="Arial"/>
          <w:sz w:val="20"/>
          <w:szCs w:val="20"/>
        </w:rPr>
        <w:t xml:space="preserve">, az ágazat </w:t>
      </w:r>
      <w:r w:rsidR="003E5E8B">
        <w:rPr>
          <w:rFonts w:ascii="Arial" w:hAnsi="Arial" w:cs="Arial"/>
          <w:sz w:val="20"/>
          <w:szCs w:val="20"/>
        </w:rPr>
        <w:t>4,9</w:t>
      </w:r>
      <w:r w:rsidR="00877761">
        <w:rPr>
          <w:rFonts w:ascii="Arial" w:hAnsi="Arial" w:cs="Arial"/>
          <w:sz w:val="20"/>
          <w:szCs w:val="20"/>
        </w:rPr>
        <w:t xml:space="preserve">%-kal </w:t>
      </w:r>
      <w:r w:rsidR="00B47783">
        <w:rPr>
          <w:rFonts w:ascii="Arial" w:hAnsi="Arial" w:cs="Arial"/>
          <w:sz w:val="20"/>
          <w:szCs w:val="20"/>
        </w:rPr>
        <w:t xml:space="preserve">haladta </w:t>
      </w:r>
      <w:r w:rsidR="00877761">
        <w:rPr>
          <w:rFonts w:ascii="Arial" w:hAnsi="Arial" w:cs="Arial"/>
          <w:sz w:val="20"/>
          <w:szCs w:val="20"/>
        </w:rPr>
        <w:t xml:space="preserve">meg </w:t>
      </w:r>
      <w:r w:rsidR="00B47783">
        <w:rPr>
          <w:rFonts w:ascii="Arial" w:hAnsi="Arial" w:cs="Arial"/>
          <w:sz w:val="20"/>
          <w:szCs w:val="20"/>
        </w:rPr>
        <w:t>a járvány előtti szintet</w:t>
      </w:r>
      <w:r w:rsidRPr="00FD658E">
        <w:rPr>
          <w:rFonts w:ascii="Arial" w:hAnsi="Arial" w:cs="Arial"/>
          <w:sz w:val="20"/>
          <w:szCs w:val="20"/>
        </w:rPr>
        <w:t xml:space="preserve">. A </w:t>
      </w:r>
      <w:r w:rsidRPr="00FD658E">
        <w:rPr>
          <w:rFonts w:ascii="Arial" w:hAnsi="Arial" w:cs="Arial"/>
          <w:b/>
          <w:sz w:val="20"/>
          <w:szCs w:val="20"/>
        </w:rPr>
        <w:t>mezőgazdasági teljesítmény</w:t>
      </w:r>
      <w:r w:rsidRPr="00FD658E">
        <w:rPr>
          <w:rFonts w:ascii="Arial" w:hAnsi="Arial" w:cs="Arial"/>
          <w:sz w:val="20"/>
          <w:szCs w:val="20"/>
        </w:rPr>
        <w:t xml:space="preserve"> </w:t>
      </w:r>
      <w:r w:rsidR="003E5E8B">
        <w:rPr>
          <w:rFonts w:ascii="Arial" w:hAnsi="Arial" w:cs="Arial"/>
          <w:b/>
          <w:sz w:val="20"/>
          <w:szCs w:val="20"/>
        </w:rPr>
        <w:t>3,8</w:t>
      </w:r>
      <w:r w:rsidRPr="00FD658E">
        <w:rPr>
          <w:rFonts w:ascii="Arial" w:hAnsi="Arial" w:cs="Arial"/>
          <w:b/>
          <w:sz w:val="20"/>
          <w:szCs w:val="20"/>
        </w:rPr>
        <w:t xml:space="preserve">%-kal </w:t>
      </w:r>
      <w:r w:rsidR="003E5E8B">
        <w:rPr>
          <w:rFonts w:ascii="Arial" w:hAnsi="Arial" w:cs="Arial"/>
          <w:b/>
          <w:sz w:val="20"/>
          <w:szCs w:val="20"/>
        </w:rPr>
        <w:t>csökkent</w:t>
      </w:r>
      <w:r w:rsidRPr="00FD658E">
        <w:rPr>
          <w:rFonts w:ascii="Arial" w:hAnsi="Arial" w:cs="Arial"/>
          <w:b/>
          <w:sz w:val="20"/>
          <w:szCs w:val="20"/>
        </w:rPr>
        <w:t xml:space="preserve"> </w:t>
      </w:r>
      <w:r w:rsidR="00877761">
        <w:rPr>
          <w:rFonts w:ascii="Arial" w:hAnsi="Arial" w:cs="Arial"/>
          <w:sz w:val="20"/>
          <w:szCs w:val="20"/>
        </w:rPr>
        <w:t xml:space="preserve">a </w:t>
      </w:r>
      <w:r w:rsidR="003E5E8B">
        <w:rPr>
          <w:rFonts w:ascii="Arial" w:hAnsi="Arial" w:cs="Arial"/>
          <w:sz w:val="20"/>
          <w:szCs w:val="20"/>
        </w:rPr>
        <w:t>harmadik</w:t>
      </w:r>
      <w:r w:rsidR="00F0302E">
        <w:rPr>
          <w:rFonts w:ascii="Arial" w:hAnsi="Arial" w:cs="Arial"/>
          <w:sz w:val="20"/>
          <w:szCs w:val="20"/>
        </w:rPr>
        <w:t xml:space="preserve"> negyedévben, így </w:t>
      </w:r>
      <w:r w:rsidR="003E5E8B">
        <w:rPr>
          <w:rFonts w:ascii="Arial" w:hAnsi="Arial" w:cs="Arial"/>
          <w:sz w:val="20"/>
          <w:szCs w:val="20"/>
        </w:rPr>
        <w:t>mérsékelten, 0,2 százalékponttal csökkentette</w:t>
      </w:r>
      <w:r w:rsidRPr="00FD658E">
        <w:rPr>
          <w:rFonts w:ascii="Arial" w:hAnsi="Arial" w:cs="Arial"/>
          <w:sz w:val="20"/>
          <w:szCs w:val="20"/>
        </w:rPr>
        <w:t xml:space="preserve"> a GDP-t.</w:t>
      </w:r>
    </w:p>
    <w:p w14:paraId="70910469" w14:textId="77777777" w:rsidR="00FD658E" w:rsidRDefault="005C518C" w:rsidP="00F90BB0">
      <w:pPr>
        <w:spacing w:after="180" w:line="360" w:lineRule="auto"/>
        <w:jc w:val="both"/>
        <w:rPr>
          <w:rFonts w:ascii="Arial" w:hAnsi="Arial" w:cs="Arial"/>
          <w:sz w:val="20"/>
          <w:szCs w:val="20"/>
        </w:rPr>
      </w:pPr>
      <w:r w:rsidRPr="00FD658E">
        <w:rPr>
          <w:rFonts w:ascii="Arial" w:hAnsi="Arial" w:cs="Arial"/>
          <w:sz w:val="20"/>
          <w:szCs w:val="20"/>
        </w:rPr>
        <w:t>A</w:t>
      </w:r>
      <w:r w:rsidRPr="00FD658E">
        <w:rPr>
          <w:rFonts w:ascii="Arial" w:hAnsi="Arial" w:cs="Arial"/>
          <w:b/>
          <w:sz w:val="20"/>
          <w:szCs w:val="20"/>
        </w:rPr>
        <w:t xml:space="preserve"> szolgáltatói ágazatok hozzáadott értéke </w:t>
      </w:r>
      <w:r w:rsidR="0033136E">
        <w:rPr>
          <w:rFonts w:ascii="Arial" w:hAnsi="Arial" w:cs="Arial"/>
          <w:b/>
          <w:sz w:val="20"/>
          <w:szCs w:val="20"/>
        </w:rPr>
        <w:t>6,8</w:t>
      </w:r>
      <w:r w:rsidR="0075594A">
        <w:rPr>
          <w:rFonts w:ascii="Arial" w:hAnsi="Arial" w:cs="Arial"/>
          <w:b/>
          <w:sz w:val="20"/>
          <w:szCs w:val="20"/>
        </w:rPr>
        <w:t>%-kal</w:t>
      </w:r>
      <w:r w:rsidRPr="00FD658E">
        <w:rPr>
          <w:rFonts w:ascii="Arial" w:hAnsi="Arial" w:cs="Arial"/>
          <w:b/>
          <w:sz w:val="20"/>
          <w:szCs w:val="20"/>
        </w:rPr>
        <w:t xml:space="preserve"> </w:t>
      </w:r>
      <w:r w:rsidR="00B97903">
        <w:rPr>
          <w:rFonts w:ascii="Arial" w:hAnsi="Arial" w:cs="Arial"/>
          <w:b/>
          <w:sz w:val="20"/>
          <w:szCs w:val="20"/>
        </w:rPr>
        <w:t>nőtt</w:t>
      </w:r>
      <w:r w:rsidRPr="00FD658E">
        <w:rPr>
          <w:rFonts w:ascii="Arial" w:hAnsi="Arial" w:cs="Arial"/>
          <w:sz w:val="20"/>
          <w:szCs w:val="20"/>
        </w:rPr>
        <w:t xml:space="preserve">, így </w:t>
      </w:r>
      <w:r w:rsidR="0033136E">
        <w:rPr>
          <w:rFonts w:ascii="Arial" w:hAnsi="Arial" w:cs="Arial"/>
          <w:b/>
          <w:sz w:val="20"/>
          <w:szCs w:val="20"/>
        </w:rPr>
        <w:t>3,8</w:t>
      </w:r>
      <w:r w:rsidRPr="00FD658E">
        <w:rPr>
          <w:rFonts w:ascii="Arial" w:hAnsi="Arial" w:cs="Arial"/>
          <w:b/>
          <w:sz w:val="20"/>
          <w:szCs w:val="20"/>
        </w:rPr>
        <w:t xml:space="preserve"> százalékponttal járult hozzá a GDP </w:t>
      </w:r>
      <w:r w:rsidR="00B97903">
        <w:rPr>
          <w:rFonts w:ascii="Arial" w:hAnsi="Arial" w:cs="Arial"/>
          <w:b/>
          <w:sz w:val="20"/>
          <w:szCs w:val="20"/>
        </w:rPr>
        <w:t>növekedéséhez</w:t>
      </w:r>
      <w:r w:rsidRPr="00FD658E">
        <w:rPr>
          <w:rFonts w:ascii="Arial" w:hAnsi="Arial" w:cs="Arial"/>
          <w:b/>
          <w:sz w:val="20"/>
          <w:szCs w:val="20"/>
        </w:rPr>
        <w:t xml:space="preserve">. </w:t>
      </w:r>
      <w:r w:rsidRPr="0075594A">
        <w:rPr>
          <w:rFonts w:ascii="Arial" w:hAnsi="Arial" w:cs="Arial"/>
          <w:b/>
          <w:sz w:val="20"/>
          <w:szCs w:val="20"/>
        </w:rPr>
        <w:t>A kereskedelem, szálláshely-szolgáltatás és vendéglátás teljesítm</w:t>
      </w:r>
      <w:r w:rsidR="00B97903">
        <w:rPr>
          <w:rFonts w:ascii="Arial" w:hAnsi="Arial" w:cs="Arial"/>
          <w:b/>
          <w:sz w:val="20"/>
          <w:szCs w:val="20"/>
        </w:rPr>
        <w:t xml:space="preserve">énye </w:t>
      </w:r>
      <w:r w:rsidR="0033136E">
        <w:rPr>
          <w:rFonts w:ascii="Arial" w:hAnsi="Arial" w:cs="Arial"/>
          <w:b/>
          <w:sz w:val="20"/>
          <w:szCs w:val="20"/>
        </w:rPr>
        <w:t>8,1</w:t>
      </w:r>
      <w:r w:rsidR="0075594A" w:rsidRPr="0075594A">
        <w:rPr>
          <w:rFonts w:ascii="Arial" w:hAnsi="Arial" w:cs="Arial"/>
          <w:b/>
          <w:sz w:val="20"/>
          <w:szCs w:val="20"/>
        </w:rPr>
        <w:t xml:space="preserve">%-kal </w:t>
      </w:r>
      <w:r w:rsidR="00B97903">
        <w:rPr>
          <w:rFonts w:ascii="Arial" w:hAnsi="Arial" w:cs="Arial"/>
          <w:b/>
          <w:sz w:val="20"/>
          <w:szCs w:val="20"/>
        </w:rPr>
        <w:t>nőtt</w:t>
      </w:r>
      <w:r w:rsidR="0075594A">
        <w:rPr>
          <w:rFonts w:ascii="Arial" w:hAnsi="Arial" w:cs="Arial"/>
          <w:sz w:val="20"/>
          <w:szCs w:val="20"/>
        </w:rPr>
        <w:t xml:space="preserve">, ezen belül </w:t>
      </w:r>
      <w:r w:rsidR="0033136E">
        <w:rPr>
          <w:rFonts w:ascii="Arial" w:hAnsi="Arial" w:cs="Arial"/>
          <w:sz w:val="20"/>
          <w:szCs w:val="20"/>
        </w:rPr>
        <w:t>az előbbiek teljesítménye 5</w:t>
      </w:r>
      <w:r w:rsidR="00B97903">
        <w:rPr>
          <w:rFonts w:ascii="Arial" w:hAnsi="Arial" w:cs="Arial"/>
          <w:sz w:val="20"/>
          <w:szCs w:val="20"/>
        </w:rPr>
        <w:t xml:space="preserve">,9%-kal, </w:t>
      </w:r>
      <w:r w:rsidR="0075594A">
        <w:rPr>
          <w:rFonts w:ascii="Arial" w:hAnsi="Arial" w:cs="Arial"/>
          <w:sz w:val="20"/>
          <w:szCs w:val="20"/>
        </w:rPr>
        <w:t xml:space="preserve">az </w:t>
      </w:r>
      <w:r w:rsidR="0075594A" w:rsidRPr="0075594A">
        <w:rPr>
          <w:rFonts w:ascii="Arial" w:hAnsi="Arial" w:cs="Arial"/>
          <w:b/>
          <w:sz w:val="20"/>
          <w:szCs w:val="20"/>
        </w:rPr>
        <w:t>utóbbiak</w:t>
      </w:r>
      <w:r w:rsidR="00B97903">
        <w:rPr>
          <w:rFonts w:ascii="Arial" w:hAnsi="Arial" w:cs="Arial"/>
          <w:b/>
          <w:sz w:val="20"/>
          <w:szCs w:val="20"/>
        </w:rPr>
        <w:t>é</w:t>
      </w:r>
      <w:r w:rsidR="0075594A">
        <w:rPr>
          <w:rFonts w:ascii="Arial" w:hAnsi="Arial" w:cs="Arial"/>
          <w:sz w:val="20"/>
          <w:szCs w:val="20"/>
        </w:rPr>
        <w:t xml:space="preserve"> </w:t>
      </w:r>
      <w:r w:rsidR="0033136E">
        <w:rPr>
          <w:rFonts w:ascii="Arial" w:hAnsi="Arial" w:cs="Arial"/>
          <w:b/>
          <w:sz w:val="20"/>
          <w:szCs w:val="20"/>
        </w:rPr>
        <w:t>21,6</w:t>
      </w:r>
      <w:r w:rsidR="0075594A" w:rsidRPr="0075594A">
        <w:rPr>
          <w:rFonts w:ascii="Arial" w:hAnsi="Arial" w:cs="Arial"/>
          <w:b/>
          <w:sz w:val="20"/>
          <w:szCs w:val="20"/>
        </w:rPr>
        <w:t xml:space="preserve">%-kal </w:t>
      </w:r>
      <w:r w:rsidR="00B97903">
        <w:rPr>
          <w:rFonts w:ascii="Arial" w:hAnsi="Arial" w:cs="Arial"/>
          <w:b/>
          <w:sz w:val="20"/>
          <w:szCs w:val="20"/>
        </w:rPr>
        <w:t>pattant fel</w:t>
      </w:r>
      <w:r w:rsidR="0075594A">
        <w:rPr>
          <w:rFonts w:ascii="Arial" w:hAnsi="Arial" w:cs="Arial"/>
          <w:sz w:val="20"/>
          <w:szCs w:val="20"/>
        </w:rPr>
        <w:t xml:space="preserve"> a </w:t>
      </w:r>
      <w:r w:rsidR="00B97903">
        <w:rPr>
          <w:rFonts w:ascii="Arial" w:hAnsi="Arial" w:cs="Arial"/>
          <w:sz w:val="20"/>
          <w:szCs w:val="20"/>
        </w:rPr>
        <w:t xml:space="preserve">tavalyi alacsony </w:t>
      </w:r>
      <w:r w:rsidR="0033136E">
        <w:rPr>
          <w:rFonts w:ascii="Arial" w:hAnsi="Arial" w:cs="Arial"/>
          <w:sz w:val="20"/>
          <w:szCs w:val="20"/>
        </w:rPr>
        <w:t>bázishoz</w:t>
      </w:r>
      <w:r w:rsidR="00B97903">
        <w:rPr>
          <w:rFonts w:ascii="Arial" w:hAnsi="Arial" w:cs="Arial"/>
          <w:sz w:val="20"/>
          <w:szCs w:val="20"/>
        </w:rPr>
        <w:t xml:space="preserve"> képest</w:t>
      </w:r>
      <w:r w:rsidRPr="00FD658E">
        <w:rPr>
          <w:rFonts w:ascii="Arial" w:hAnsi="Arial" w:cs="Arial"/>
          <w:sz w:val="20"/>
          <w:szCs w:val="20"/>
        </w:rPr>
        <w:t xml:space="preserve">. A </w:t>
      </w:r>
      <w:r w:rsidRPr="008C0839">
        <w:rPr>
          <w:rFonts w:ascii="Arial" w:hAnsi="Arial" w:cs="Arial"/>
          <w:b/>
          <w:sz w:val="20"/>
          <w:szCs w:val="20"/>
        </w:rPr>
        <w:t>szállítás, raktározás</w:t>
      </w:r>
      <w:r w:rsidRPr="00FD658E">
        <w:rPr>
          <w:rFonts w:ascii="Arial" w:hAnsi="Arial" w:cs="Arial"/>
          <w:sz w:val="20"/>
          <w:szCs w:val="20"/>
        </w:rPr>
        <w:t xml:space="preserve"> ágazat teljesítménye </w:t>
      </w:r>
      <w:r w:rsidR="0033136E">
        <w:rPr>
          <w:rFonts w:ascii="Arial" w:hAnsi="Arial" w:cs="Arial"/>
          <w:b/>
          <w:sz w:val="20"/>
          <w:szCs w:val="20"/>
        </w:rPr>
        <w:t>12,4</w:t>
      </w:r>
      <w:r w:rsidRPr="008C0839">
        <w:rPr>
          <w:rFonts w:ascii="Arial" w:hAnsi="Arial" w:cs="Arial"/>
          <w:b/>
          <w:sz w:val="20"/>
          <w:szCs w:val="20"/>
        </w:rPr>
        <w:t>%-kal</w:t>
      </w:r>
      <w:r w:rsidR="0075594A" w:rsidRPr="008C0839">
        <w:rPr>
          <w:rFonts w:ascii="Arial" w:hAnsi="Arial" w:cs="Arial"/>
          <w:b/>
          <w:sz w:val="20"/>
          <w:szCs w:val="20"/>
        </w:rPr>
        <w:t xml:space="preserve"> </w:t>
      </w:r>
      <w:r w:rsidR="00B97903">
        <w:rPr>
          <w:rFonts w:ascii="Arial" w:hAnsi="Arial" w:cs="Arial"/>
          <w:b/>
          <w:sz w:val="20"/>
          <w:szCs w:val="20"/>
        </w:rPr>
        <w:t>emelkedett</w:t>
      </w:r>
      <w:r w:rsidRPr="00FD658E">
        <w:rPr>
          <w:rFonts w:ascii="Arial" w:hAnsi="Arial" w:cs="Arial"/>
          <w:sz w:val="20"/>
          <w:szCs w:val="20"/>
        </w:rPr>
        <w:t xml:space="preserve">, az </w:t>
      </w:r>
      <w:r w:rsidRPr="008C0839">
        <w:rPr>
          <w:rFonts w:ascii="Arial" w:hAnsi="Arial" w:cs="Arial"/>
          <w:b/>
          <w:sz w:val="20"/>
          <w:szCs w:val="20"/>
        </w:rPr>
        <w:t>információ, kommunikáció</w:t>
      </w:r>
      <w:r w:rsidRPr="00FD658E">
        <w:rPr>
          <w:rFonts w:ascii="Arial" w:hAnsi="Arial" w:cs="Arial"/>
          <w:sz w:val="20"/>
          <w:szCs w:val="20"/>
        </w:rPr>
        <w:t xml:space="preserve"> ágazat teljesítménye </w:t>
      </w:r>
      <w:r w:rsidR="0033136E">
        <w:rPr>
          <w:rFonts w:ascii="Arial" w:hAnsi="Arial" w:cs="Arial"/>
          <w:b/>
          <w:sz w:val="20"/>
          <w:szCs w:val="20"/>
        </w:rPr>
        <w:t>15,2</w:t>
      </w:r>
      <w:r w:rsidRPr="008C0839">
        <w:rPr>
          <w:rFonts w:ascii="Arial" w:hAnsi="Arial" w:cs="Arial"/>
          <w:b/>
          <w:sz w:val="20"/>
          <w:szCs w:val="20"/>
        </w:rPr>
        <w:t xml:space="preserve">%-kal </w:t>
      </w:r>
      <w:r w:rsidR="0075594A" w:rsidRPr="008C0839">
        <w:rPr>
          <w:rFonts w:ascii="Arial" w:hAnsi="Arial" w:cs="Arial"/>
          <w:b/>
          <w:sz w:val="20"/>
          <w:szCs w:val="20"/>
        </w:rPr>
        <w:t>nőtt</w:t>
      </w:r>
      <w:r w:rsidRPr="00FD658E">
        <w:rPr>
          <w:rFonts w:ascii="Arial" w:hAnsi="Arial" w:cs="Arial"/>
          <w:sz w:val="20"/>
          <w:szCs w:val="20"/>
        </w:rPr>
        <w:t xml:space="preserve">. A </w:t>
      </w:r>
      <w:r w:rsidRPr="008C0839">
        <w:rPr>
          <w:rFonts w:ascii="Arial" w:hAnsi="Arial" w:cs="Arial"/>
          <w:b/>
          <w:sz w:val="20"/>
          <w:szCs w:val="20"/>
        </w:rPr>
        <w:t>pénzügyi</w:t>
      </w:r>
      <w:r w:rsidR="00F0302E">
        <w:rPr>
          <w:rFonts w:ascii="Arial" w:hAnsi="Arial" w:cs="Arial"/>
          <w:b/>
          <w:sz w:val="20"/>
          <w:szCs w:val="20"/>
        </w:rPr>
        <w:t>, biztosítási tevékenység</w:t>
      </w:r>
      <w:r w:rsidRPr="008C0839">
        <w:rPr>
          <w:rFonts w:ascii="Arial" w:hAnsi="Arial" w:cs="Arial"/>
          <w:b/>
          <w:sz w:val="20"/>
          <w:szCs w:val="20"/>
        </w:rPr>
        <w:t xml:space="preserve"> </w:t>
      </w:r>
      <w:r w:rsidRPr="00FD658E">
        <w:rPr>
          <w:rFonts w:ascii="Arial" w:hAnsi="Arial" w:cs="Arial"/>
          <w:sz w:val="20"/>
          <w:szCs w:val="20"/>
        </w:rPr>
        <w:t>hozzáadott érték</w:t>
      </w:r>
      <w:r w:rsidR="00B97903">
        <w:rPr>
          <w:rFonts w:ascii="Arial" w:hAnsi="Arial" w:cs="Arial"/>
          <w:sz w:val="20"/>
          <w:szCs w:val="20"/>
        </w:rPr>
        <w:t>e</w:t>
      </w:r>
      <w:r w:rsidRPr="00FD658E">
        <w:rPr>
          <w:rFonts w:ascii="Arial" w:hAnsi="Arial" w:cs="Arial"/>
          <w:sz w:val="20"/>
          <w:szCs w:val="20"/>
        </w:rPr>
        <w:t xml:space="preserve"> </w:t>
      </w:r>
      <w:r w:rsidR="0033136E">
        <w:rPr>
          <w:rFonts w:ascii="Arial" w:hAnsi="Arial" w:cs="Arial"/>
          <w:b/>
          <w:sz w:val="20"/>
          <w:szCs w:val="20"/>
        </w:rPr>
        <w:t>6,3</w:t>
      </w:r>
      <w:r w:rsidRPr="008C0839">
        <w:rPr>
          <w:rFonts w:ascii="Arial" w:hAnsi="Arial" w:cs="Arial"/>
          <w:b/>
          <w:sz w:val="20"/>
          <w:szCs w:val="20"/>
        </w:rPr>
        <w:t>%-kal nőtt</w:t>
      </w:r>
      <w:r w:rsidRPr="00FD658E">
        <w:rPr>
          <w:rFonts w:ascii="Arial" w:hAnsi="Arial" w:cs="Arial"/>
          <w:sz w:val="20"/>
          <w:szCs w:val="20"/>
        </w:rPr>
        <w:t xml:space="preserve">. </w:t>
      </w:r>
      <w:r w:rsidR="00B97903">
        <w:rPr>
          <w:rFonts w:ascii="Arial" w:hAnsi="Arial" w:cs="Arial"/>
          <w:sz w:val="20"/>
          <w:szCs w:val="20"/>
        </w:rPr>
        <w:t>A</w:t>
      </w:r>
      <w:r w:rsidRPr="00FD658E">
        <w:rPr>
          <w:rFonts w:ascii="Arial" w:hAnsi="Arial" w:cs="Arial"/>
          <w:sz w:val="20"/>
          <w:szCs w:val="20"/>
        </w:rPr>
        <w:t xml:space="preserve">z </w:t>
      </w:r>
      <w:r w:rsidRPr="008C0839">
        <w:rPr>
          <w:rFonts w:ascii="Arial" w:hAnsi="Arial" w:cs="Arial"/>
          <w:b/>
          <w:sz w:val="20"/>
          <w:szCs w:val="20"/>
        </w:rPr>
        <w:t xml:space="preserve">ingatlanügyletek teljesítménye </w:t>
      </w:r>
      <w:r w:rsidR="0033136E">
        <w:rPr>
          <w:rFonts w:ascii="Arial" w:hAnsi="Arial" w:cs="Arial"/>
          <w:b/>
          <w:sz w:val="20"/>
          <w:szCs w:val="20"/>
        </w:rPr>
        <w:t>5,4</w:t>
      </w:r>
      <w:r w:rsidRPr="008C0839">
        <w:rPr>
          <w:rFonts w:ascii="Arial" w:hAnsi="Arial" w:cs="Arial"/>
          <w:b/>
          <w:sz w:val="20"/>
          <w:szCs w:val="20"/>
        </w:rPr>
        <w:t xml:space="preserve">%-kal </w:t>
      </w:r>
      <w:r w:rsidR="00B97903">
        <w:rPr>
          <w:rFonts w:ascii="Arial" w:hAnsi="Arial" w:cs="Arial"/>
          <w:b/>
          <w:sz w:val="20"/>
          <w:szCs w:val="20"/>
        </w:rPr>
        <w:t>javult</w:t>
      </w:r>
      <w:r w:rsidRPr="00FD658E">
        <w:rPr>
          <w:rFonts w:ascii="Arial" w:hAnsi="Arial" w:cs="Arial"/>
          <w:sz w:val="20"/>
          <w:szCs w:val="20"/>
        </w:rPr>
        <w:t>. A közigazgatás, oktat</w:t>
      </w:r>
      <w:r w:rsidR="0075594A">
        <w:rPr>
          <w:rFonts w:ascii="Arial" w:hAnsi="Arial" w:cs="Arial"/>
          <w:sz w:val="20"/>
          <w:szCs w:val="20"/>
        </w:rPr>
        <w:t>ás, egészségügy teljesí</w:t>
      </w:r>
      <w:r w:rsidR="00F0302E">
        <w:rPr>
          <w:rFonts w:ascii="Arial" w:hAnsi="Arial" w:cs="Arial"/>
          <w:sz w:val="20"/>
          <w:szCs w:val="20"/>
        </w:rPr>
        <w:t xml:space="preserve">tménye </w:t>
      </w:r>
      <w:r w:rsidR="00CB61C6">
        <w:rPr>
          <w:rFonts w:ascii="Arial" w:hAnsi="Arial" w:cs="Arial"/>
          <w:sz w:val="20"/>
          <w:szCs w:val="20"/>
        </w:rPr>
        <w:t>1,8</w:t>
      </w:r>
      <w:r w:rsidRPr="00FD658E">
        <w:rPr>
          <w:rFonts w:ascii="Arial" w:hAnsi="Arial" w:cs="Arial"/>
          <w:sz w:val="20"/>
          <w:szCs w:val="20"/>
        </w:rPr>
        <w:t>%-kal</w:t>
      </w:r>
      <w:r w:rsidR="009860DE">
        <w:rPr>
          <w:rFonts w:ascii="Arial" w:hAnsi="Arial" w:cs="Arial"/>
          <w:sz w:val="20"/>
          <w:szCs w:val="20"/>
        </w:rPr>
        <w:t xml:space="preserve"> emelkedett, ezen belül a közigazgatás, védelem, társadalombiztosítás </w:t>
      </w:r>
      <w:r w:rsidR="00CB61C6">
        <w:rPr>
          <w:rFonts w:ascii="Arial" w:hAnsi="Arial" w:cs="Arial"/>
          <w:sz w:val="20"/>
          <w:szCs w:val="20"/>
        </w:rPr>
        <w:t>0,2</w:t>
      </w:r>
      <w:r w:rsidR="009860DE">
        <w:rPr>
          <w:rFonts w:ascii="Arial" w:hAnsi="Arial" w:cs="Arial"/>
          <w:sz w:val="20"/>
          <w:szCs w:val="20"/>
        </w:rPr>
        <w:t>%-kal</w:t>
      </w:r>
      <w:r w:rsidR="00CB61C6">
        <w:rPr>
          <w:rFonts w:ascii="Arial" w:hAnsi="Arial" w:cs="Arial"/>
          <w:sz w:val="20"/>
          <w:szCs w:val="20"/>
        </w:rPr>
        <w:t xml:space="preserve"> nőtt</w:t>
      </w:r>
      <w:r w:rsidR="009860DE">
        <w:rPr>
          <w:rFonts w:ascii="Arial" w:hAnsi="Arial" w:cs="Arial"/>
          <w:sz w:val="20"/>
          <w:szCs w:val="20"/>
        </w:rPr>
        <w:t xml:space="preserve">, az oktatás </w:t>
      </w:r>
      <w:r w:rsidR="00CB61C6">
        <w:rPr>
          <w:rFonts w:ascii="Arial" w:hAnsi="Arial" w:cs="Arial"/>
          <w:sz w:val="20"/>
          <w:szCs w:val="20"/>
        </w:rPr>
        <w:t>1</w:t>
      </w:r>
      <w:r w:rsidR="009860DE">
        <w:rPr>
          <w:rFonts w:ascii="Arial" w:hAnsi="Arial" w:cs="Arial"/>
          <w:sz w:val="20"/>
          <w:szCs w:val="20"/>
        </w:rPr>
        <w:t>%-</w:t>
      </w:r>
      <w:r w:rsidR="009860DE">
        <w:rPr>
          <w:rFonts w:ascii="Arial" w:hAnsi="Arial" w:cs="Arial"/>
          <w:sz w:val="20"/>
          <w:szCs w:val="20"/>
        </w:rPr>
        <w:lastRenderedPageBreak/>
        <w:t>kal</w:t>
      </w:r>
      <w:r w:rsidR="00CB61C6">
        <w:rPr>
          <w:rFonts w:ascii="Arial" w:hAnsi="Arial" w:cs="Arial"/>
          <w:sz w:val="20"/>
          <w:szCs w:val="20"/>
        </w:rPr>
        <w:t xml:space="preserve"> csökkent</w:t>
      </w:r>
      <w:r w:rsidR="009860DE">
        <w:rPr>
          <w:rFonts w:ascii="Arial" w:hAnsi="Arial" w:cs="Arial"/>
          <w:sz w:val="20"/>
          <w:szCs w:val="20"/>
        </w:rPr>
        <w:t>, az egészségügyi</w:t>
      </w:r>
      <w:r w:rsidR="00CB61C6">
        <w:rPr>
          <w:rFonts w:ascii="Arial" w:hAnsi="Arial" w:cs="Arial"/>
          <w:sz w:val="20"/>
          <w:szCs w:val="20"/>
        </w:rPr>
        <w:t>,</w:t>
      </w:r>
      <w:r w:rsidR="009860DE">
        <w:rPr>
          <w:rFonts w:ascii="Arial" w:hAnsi="Arial" w:cs="Arial"/>
          <w:sz w:val="20"/>
          <w:szCs w:val="20"/>
        </w:rPr>
        <w:t xml:space="preserve"> szociális ellátás </w:t>
      </w:r>
      <w:r w:rsidR="00CB61C6">
        <w:rPr>
          <w:rFonts w:ascii="Arial" w:hAnsi="Arial" w:cs="Arial"/>
          <w:sz w:val="20"/>
          <w:szCs w:val="20"/>
        </w:rPr>
        <w:t>5,8</w:t>
      </w:r>
      <w:r w:rsidR="009860DE">
        <w:rPr>
          <w:rFonts w:ascii="Arial" w:hAnsi="Arial" w:cs="Arial"/>
          <w:sz w:val="20"/>
          <w:szCs w:val="20"/>
        </w:rPr>
        <w:t>%-kal nőtt.</w:t>
      </w:r>
      <w:r w:rsidRPr="00FD658E">
        <w:rPr>
          <w:rFonts w:ascii="Arial" w:hAnsi="Arial" w:cs="Arial"/>
          <w:sz w:val="20"/>
          <w:szCs w:val="20"/>
        </w:rPr>
        <w:t xml:space="preserve"> </w:t>
      </w:r>
      <w:r w:rsidR="009860DE">
        <w:rPr>
          <w:rFonts w:ascii="Arial" w:hAnsi="Arial" w:cs="Arial"/>
          <w:b/>
          <w:sz w:val="20"/>
          <w:szCs w:val="20"/>
        </w:rPr>
        <w:t>A</w:t>
      </w:r>
      <w:r w:rsidRPr="008C0839">
        <w:rPr>
          <w:rFonts w:ascii="Arial" w:hAnsi="Arial" w:cs="Arial"/>
          <w:b/>
          <w:sz w:val="20"/>
          <w:szCs w:val="20"/>
        </w:rPr>
        <w:t xml:space="preserve"> szakmai, tudományos, műszaki, adminisztratív tevékenység teljesítménye </w:t>
      </w:r>
      <w:r w:rsidR="00CB61C6">
        <w:rPr>
          <w:rFonts w:ascii="Arial" w:hAnsi="Arial" w:cs="Arial"/>
          <w:b/>
          <w:sz w:val="20"/>
          <w:szCs w:val="20"/>
        </w:rPr>
        <w:t>8,7</w:t>
      </w:r>
      <w:r w:rsidRPr="008C0839">
        <w:rPr>
          <w:rFonts w:ascii="Arial" w:hAnsi="Arial" w:cs="Arial"/>
          <w:b/>
          <w:sz w:val="20"/>
          <w:szCs w:val="20"/>
        </w:rPr>
        <w:t>%-kal</w:t>
      </w:r>
      <w:r w:rsidRPr="00FD658E">
        <w:rPr>
          <w:rFonts w:ascii="Arial" w:hAnsi="Arial" w:cs="Arial"/>
          <w:sz w:val="20"/>
          <w:szCs w:val="20"/>
        </w:rPr>
        <w:t xml:space="preserve">, a </w:t>
      </w:r>
      <w:r w:rsidRPr="008C0839">
        <w:rPr>
          <w:rFonts w:ascii="Arial" w:hAnsi="Arial" w:cs="Arial"/>
          <w:b/>
          <w:sz w:val="20"/>
          <w:szCs w:val="20"/>
        </w:rPr>
        <w:t xml:space="preserve">művészet, szórakoztatás hozzáadott értéke pedig </w:t>
      </w:r>
      <w:r w:rsidR="00CB61C6">
        <w:rPr>
          <w:rFonts w:ascii="Arial" w:hAnsi="Arial" w:cs="Arial"/>
          <w:b/>
          <w:sz w:val="20"/>
          <w:szCs w:val="20"/>
        </w:rPr>
        <w:t>6,5</w:t>
      </w:r>
      <w:r w:rsidRPr="008C0839">
        <w:rPr>
          <w:rFonts w:ascii="Arial" w:hAnsi="Arial" w:cs="Arial"/>
          <w:b/>
          <w:sz w:val="20"/>
          <w:szCs w:val="20"/>
        </w:rPr>
        <w:t xml:space="preserve">%-kal </w:t>
      </w:r>
      <w:r w:rsidR="009860DE">
        <w:rPr>
          <w:rFonts w:ascii="Arial" w:hAnsi="Arial" w:cs="Arial"/>
          <w:b/>
          <w:sz w:val="20"/>
          <w:szCs w:val="20"/>
        </w:rPr>
        <w:t>nőtt</w:t>
      </w:r>
      <w:r w:rsidRPr="00FD658E">
        <w:rPr>
          <w:rFonts w:ascii="Arial" w:hAnsi="Arial" w:cs="Arial"/>
          <w:sz w:val="20"/>
          <w:szCs w:val="20"/>
        </w:rPr>
        <w:t xml:space="preserve">. A gazdaság </w:t>
      </w:r>
      <w:r w:rsidR="009860DE">
        <w:rPr>
          <w:rFonts w:ascii="Arial" w:hAnsi="Arial" w:cs="Arial"/>
          <w:sz w:val="20"/>
          <w:szCs w:val="20"/>
        </w:rPr>
        <w:t>felpattanását</w:t>
      </w:r>
      <w:r w:rsidRPr="00FD658E">
        <w:rPr>
          <w:rFonts w:ascii="Arial" w:hAnsi="Arial" w:cs="Arial"/>
          <w:sz w:val="20"/>
          <w:szCs w:val="20"/>
        </w:rPr>
        <w:t xml:space="preserve"> tükrözve a termék</w:t>
      </w:r>
      <w:r w:rsidR="009860DE">
        <w:rPr>
          <w:rFonts w:ascii="Arial" w:hAnsi="Arial" w:cs="Arial"/>
          <w:sz w:val="20"/>
          <w:szCs w:val="20"/>
        </w:rPr>
        <w:t xml:space="preserve">adók- és támogatások egyenlege </w:t>
      </w:r>
      <w:r w:rsidR="0017294C">
        <w:rPr>
          <w:rFonts w:ascii="Arial" w:hAnsi="Arial" w:cs="Arial"/>
          <w:sz w:val="20"/>
          <w:szCs w:val="20"/>
        </w:rPr>
        <w:t>0,9</w:t>
      </w:r>
      <w:r w:rsidRPr="00FD658E">
        <w:rPr>
          <w:rFonts w:ascii="Arial" w:hAnsi="Arial" w:cs="Arial"/>
          <w:sz w:val="20"/>
          <w:szCs w:val="20"/>
        </w:rPr>
        <w:t xml:space="preserve"> százalékpont</w:t>
      </w:r>
      <w:r w:rsidR="003054D4">
        <w:rPr>
          <w:rFonts w:ascii="Arial" w:hAnsi="Arial" w:cs="Arial"/>
          <w:sz w:val="20"/>
          <w:szCs w:val="20"/>
        </w:rPr>
        <w:t xml:space="preserve">tal </w:t>
      </w:r>
      <w:r w:rsidR="009860DE">
        <w:rPr>
          <w:rFonts w:ascii="Arial" w:hAnsi="Arial" w:cs="Arial"/>
          <w:sz w:val="20"/>
          <w:szCs w:val="20"/>
        </w:rPr>
        <w:t>javította</w:t>
      </w:r>
      <w:r w:rsidR="003054D4">
        <w:rPr>
          <w:rFonts w:ascii="Arial" w:hAnsi="Arial" w:cs="Arial"/>
          <w:sz w:val="20"/>
          <w:szCs w:val="20"/>
        </w:rPr>
        <w:t xml:space="preserve"> a növekedést. </w:t>
      </w:r>
      <w:r w:rsidR="00067AF6">
        <w:rPr>
          <w:rFonts w:ascii="Arial" w:hAnsi="Arial" w:cs="Arial"/>
          <w:sz w:val="20"/>
          <w:szCs w:val="20"/>
        </w:rPr>
        <w:t xml:space="preserve">A szolgáltatói ágazatok összességében </w:t>
      </w:r>
      <w:r w:rsidR="00F93F39">
        <w:rPr>
          <w:rFonts w:ascii="Arial" w:hAnsi="Arial" w:cs="Arial"/>
          <w:sz w:val="20"/>
          <w:szCs w:val="20"/>
        </w:rPr>
        <w:t>1,2</w:t>
      </w:r>
      <w:r w:rsidR="00067AF6">
        <w:rPr>
          <w:rFonts w:ascii="Arial" w:hAnsi="Arial" w:cs="Arial"/>
          <w:sz w:val="20"/>
          <w:szCs w:val="20"/>
        </w:rPr>
        <w:t xml:space="preserve">%-kal </w:t>
      </w:r>
      <w:r w:rsidR="00F93F39">
        <w:rPr>
          <w:rFonts w:ascii="Arial" w:hAnsi="Arial" w:cs="Arial"/>
          <w:sz w:val="20"/>
          <w:szCs w:val="20"/>
        </w:rPr>
        <w:t>haladják meg</w:t>
      </w:r>
      <w:r w:rsidR="00067AF6">
        <w:rPr>
          <w:rFonts w:ascii="Arial" w:hAnsi="Arial" w:cs="Arial"/>
          <w:sz w:val="20"/>
          <w:szCs w:val="20"/>
        </w:rPr>
        <w:t xml:space="preserve"> a járvány előtti, </w:t>
      </w:r>
      <w:r w:rsidR="00F93F39">
        <w:rPr>
          <w:rFonts w:ascii="Arial" w:hAnsi="Arial" w:cs="Arial"/>
          <w:sz w:val="20"/>
          <w:szCs w:val="20"/>
        </w:rPr>
        <w:t>2019 negyedik negyedévi szintet</w:t>
      </w:r>
      <w:r w:rsidR="00067AF6">
        <w:rPr>
          <w:rFonts w:ascii="Arial" w:hAnsi="Arial" w:cs="Arial"/>
          <w:sz w:val="20"/>
          <w:szCs w:val="20"/>
        </w:rPr>
        <w:t xml:space="preserve">. Ezen belül a </w:t>
      </w:r>
      <w:r w:rsidR="00067AF6" w:rsidRPr="00067AF6">
        <w:rPr>
          <w:rFonts w:ascii="Arial" w:hAnsi="Arial" w:cs="Arial"/>
          <w:sz w:val="20"/>
          <w:szCs w:val="20"/>
        </w:rPr>
        <w:t>ker</w:t>
      </w:r>
      <w:r w:rsidR="00067AF6">
        <w:rPr>
          <w:rFonts w:ascii="Arial" w:hAnsi="Arial" w:cs="Arial"/>
          <w:sz w:val="20"/>
          <w:szCs w:val="20"/>
        </w:rPr>
        <w:t>eskedelem</w:t>
      </w:r>
      <w:r w:rsidR="00067AF6" w:rsidRPr="00067AF6">
        <w:rPr>
          <w:rFonts w:ascii="Arial" w:hAnsi="Arial" w:cs="Arial"/>
          <w:sz w:val="20"/>
          <w:szCs w:val="20"/>
        </w:rPr>
        <w:t>, járműjavítás, szálláshely-szolgáltatás, vendéglátás</w:t>
      </w:r>
      <w:r w:rsidR="000A100E">
        <w:rPr>
          <w:rFonts w:ascii="Arial" w:hAnsi="Arial" w:cs="Arial"/>
          <w:sz w:val="20"/>
          <w:szCs w:val="20"/>
        </w:rPr>
        <w:t xml:space="preserve"> 2,7</w:t>
      </w:r>
      <w:r w:rsidR="00067AF6">
        <w:rPr>
          <w:rFonts w:ascii="Arial" w:hAnsi="Arial" w:cs="Arial"/>
          <w:sz w:val="20"/>
          <w:szCs w:val="20"/>
        </w:rPr>
        <w:t xml:space="preserve">%-kal, a szállítás, raktározás </w:t>
      </w:r>
      <w:r w:rsidR="000A100E">
        <w:rPr>
          <w:rFonts w:ascii="Arial" w:hAnsi="Arial" w:cs="Arial"/>
          <w:sz w:val="20"/>
          <w:szCs w:val="20"/>
        </w:rPr>
        <w:t>5,4</w:t>
      </w:r>
      <w:r w:rsidR="00067AF6">
        <w:rPr>
          <w:rFonts w:ascii="Arial" w:hAnsi="Arial" w:cs="Arial"/>
          <w:sz w:val="20"/>
          <w:szCs w:val="20"/>
        </w:rPr>
        <w:t xml:space="preserve">%-kal, a szakmai, tudományos, műszaki, adminisztratív szolgáltatások </w:t>
      </w:r>
      <w:r w:rsidR="00C63667">
        <w:rPr>
          <w:rFonts w:ascii="Arial" w:hAnsi="Arial" w:cs="Arial"/>
          <w:sz w:val="20"/>
          <w:szCs w:val="20"/>
        </w:rPr>
        <w:t>0,1</w:t>
      </w:r>
      <w:r w:rsidR="00067AF6">
        <w:rPr>
          <w:rFonts w:ascii="Arial" w:hAnsi="Arial" w:cs="Arial"/>
          <w:sz w:val="20"/>
          <w:szCs w:val="20"/>
        </w:rPr>
        <w:t>%-kal, a művészet, szórakoztatás, sza</w:t>
      </w:r>
      <w:r w:rsidR="00C63667">
        <w:rPr>
          <w:rFonts w:ascii="Arial" w:hAnsi="Arial" w:cs="Arial"/>
          <w:sz w:val="20"/>
          <w:szCs w:val="20"/>
        </w:rPr>
        <w:t>badidős szolgáltatások 10,7</w:t>
      </w:r>
      <w:r w:rsidR="00067AF6">
        <w:rPr>
          <w:rFonts w:ascii="Arial" w:hAnsi="Arial" w:cs="Arial"/>
          <w:sz w:val="20"/>
          <w:szCs w:val="20"/>
        </w:rPr>
        <w:t xml:space="preserve">%-kal maradnak el. Ezzel </w:t>
      </w:r>
      <w:r w:rsidR="00C63667">
        <w:rPr>
          <w:rFonts w:ascii="Arial" w:hAnsi="Arial" w:cs="Arial"/>
          <w:sz w:val="20"/>
          <w:szCs w:val="20"/>
        </w:rPr>
        <w:t xml:space="preserve">szemben az </w:t>
      </w:r>
      <w:proofErr w:type="spellStart"/>
      <w:r w:rsidR="00C63667">
        <w:rPr>
          <w:rFonts w:ascii="Arial" w:hAnsi="Arial" w:cs="Arial"/>
          <w:sz w:val="20"/>
          <w:szCs w:val="20"/>
        </w:rPr>
        <w:t>infokommunikáció</w:t>
      </w:r>
      <w:proofErr w:type="spellEnd"/>
      <w:r w:rsidR="00C63667">
        <w:rPr>
          <w:rFonts w:ascii="Arial" w:hAnsi="Arial" w:cs="Arial"/>
          <w:sz w:val="20"/>
          <w:szCs w:val="20"/>
        </w:rPr>
        <w:t xml:space="preserve"> 15,5</w:t>
      </w:r>
      <w:r w:rsidR="00067AF6">
        <w:rPr>
          <w:rFonts w:ascii="Arial" w:hAnsi="Arial" w:cs="Arial"/>
          <w:sz w:val="20"/>
          <w:szCs w:val="20"/>
        </w:rPr>
        <w:t xml:space="preserve">%-kal, a pénzügy, biztosítási szektor </w:t>
      </w:r>
      <w:r w:rsidR="00C63667">
        <w:rPr>
          <w:rFonts w:ascii="Arial" w:hAnsi="Arial" w:cs="Arial"/>
          <w:sz w:val="20"/>
          <w:szCs w:val="20"/>
        </w:rPr>
        <w:t>6,8</w:t>
      </w:r>
      <w:r w:rsidR="00067AF6">
        <w:rPr>
          <w:rFonts w:ascii="Arial" w:hAnsi="Arial" w:cs="Arial"/>
          <w:sz w:val="20"/>
          <w:szCs w:val="20"/>
        </w:rPr>
        <w:t>%-kal</w:t>
      </w:r>
      <w:r w:rsidR="000A100E">
        <w:rPr>
          <w:rFonts w:ascii="Arial" w:hAnsi="Arial" w:cs="Arial"/>
          <w:sz w:val="20"/>
          <w:szCs w:val="20"/>
        </w:rPr>
        <w:t>,</w:t>
      </w:r>
      <w:r w:rsidR="00067AF6">
        <w:rPr>
          <w:rFonts w:ascii="Arial" w:hAnsi="Arial" w:cs="Arial"/>
          <w:sz w:val="20"/>
          <w:szCs w:val="20"/>
        </w:rPr>
        <w:t xml:space="preserve"> </w:t>
      </w:r>
      <w:r w:rsidR="000A100E">
        <w:rPr>
          <w:rFonts w:ascii="Arial" w:hAnsi="Arial" w:cs="Arial"/>
          <w:sz w:val="20"/>
          <w:szCs w:val="20"/>
        </w:rPr>
        <w:t>az ingatl</w:t>
      </w:r>
      <w:r w:rsidR="00C63667">
        <w:rPr>
          <w:rFonts w:ascii="Arial" w:hAnsi="Arial" w:cs="Arial"/>
          <w:sz w:val="20"/>
          <w:szCs w:val="20"/>
        </w:rPr>
        <w:t>anpiaci szolgáltatások 3,2</w:t>
      </w:r>
      <w:r w:rsidR="000A100E">
        <w:rPr>
          <w:rFonts w:ascii="Arial" w:hAnsi="Arial" w:cs="Arial"/>
          <w:sz w:val="20"/>
          <w:szCs w:val="20"/>
        </w:rPr>
        <w:t xml:space="preserve">%-kal </w:t>
      </w:r>
      <w:r w:rsidR="00C63667">
        <w:rPr>
          <w:rFonts w:ascii="Arial" w:hAnsi="Arial" w:cs="Arial"/>
          <w:sz w:val="20"/>
          <w:szCs w:val="20"/>
        </w:rPr>
        <w:t>az állami szolgáltatások 0,2%-kal múlják</w:t>
      </w:r>
      <w:r w:rsidR="00067AF6">
        <w:rPr>
          <w:rFonts w:ascii="Arial" w:hAnsi="Arial" w:cs="Arial"/>
          <w:sz w:val="20"/>
          <w:szCs w:val="20"/>
        </w:rPr>
        <w:t xml:space="preserve"> felül a járvány előtti szintet. </w:t>
      </w:r>
      <w:r w:rsidR="003054D4">
        <w:rPr>
          <w:rFonts w:ascii="Arial" w:hAnsi="Arial" w:cs="Arial"/>
          <w:sz w:val="20"/>
          <w:szCs w:val="20"/>
        </w:rPr>
        <w:t xml:space="preserve">    </w:t>
      </w:r>
    </w:p>
    <w:tbl>
      <w:tblPr>
        <w:tblW w:w="9297" w:type="dxa"/>
        <w:tblLook w:val="01E0" w:firstRow="1" w:lastRow="1" w:firstColumn="1" w:lastColumn="1" w:noHBand="0" w:noVBand="0"/>
      </w:tblPr>
      <w:tblGrid>
        <w:gridCol w:w="4626"/>
        <w:gridCol w:w="4686"/>
      </w:tblGrid>
      <w:tr w:rsidR="007341D8" w:rsidRPr="003536D7" w14:paraId="2D1AC88E" w14:textId="77777777" w:rsidTr="00221D93">
        <w:tc>
          <w:tcPr>
            <w:tcW w:w="4641" w:type="dxa"/>
          </w:tcPr>
          <w:p w14:paraId="06631F44" w14:textId="77777777" w:rsidR="007341D8" w:rsidRPr="00C214F5" w:rsidRDefault="007341D8" w:rsidP="00221D93">
            <w:pPr>
              <w:spacing w:after="120"/>
              <w:jc w:val="center"/>
              <w:rPr>
                <w:rFonts w:ascii="Arial" w:hAnsi="Arial" w:cs="Arial"/>
                <w:b/>
                <w:color w:val="FF8500"/>
              </w:rPr>
            </w:pPr>
            <w:r>
              <w:rPr>
                <w:rFonts w:ascii="Arial" w:hAnsi="Arial" w:cs="Arial"/>
                <w:b/>
                <w:color w:val="FF8500"/>
              </w:rPr>
              <w:t>5</w:t>
            </w:r>
            <w:r w:rsidRPr="00C214F5">
              <w:rPr>
                <w:rFonts w:ascii="Arial" w:hAnsi="Arial" w:cs="Arial"/>
                <w:b/>
                <w:color w:val="FF8500"/>
              </w:rPr>
              <w:t xml:space="preserve">. ábra: </w:t>
            </w:r>
            <w:r w:rsidRPr="00A10369">
              <w:rPr>
                <w:rFonts w:ascii="Arial" w:hAnsi="Arial" w:cs="Arial"/>
                <w:bCs/>
                <w:color w:val="FF8500"/>
              </w:rPr>
              <w:t>A GDP felhasználási tételeinek növekedési hozzájárulása (%)</w:t>
            </w:r>
          </w:p>
        </w:tc>
        <w:tc>
          <w:tcPr>
            <w:tcW w:w="4656" w:type="dxa"/>
          </w:tcPr>
          <w:p w14:paraId="23B33591" w14:textId="77777777" w:rsidR="007341D8" w:rsidRPr="00C214F5" w:rsidRDefault="007341D8" w:rsidP="00221D93">
            <w:pPr>
              <w:spacing w:after="120"/>
              <w:jc w:val="center"/>
              <w:rPr>
                <w:rFonts w:ascii="Arial" w:hAnsi="Arial" w:cs="Arial"/>
                <w:b/>
                <w:color w:val="FF8500"/>
              </w:rPr>
            </w:pPr>
            <w:r>
              <w:rPr>
                <w:rFonts w:ascii="Arial" w:hAnsi="Arial" w:cs="Arial"/>
                <w:b/>
                <w:color w:val="FF8500"/>
              </w:rPr>
              <w:t>6</w:t>
            </w:r>
            <w:r w:rsidRPr="00C214F5">
              <w:rPr>
                <w:rFonts w:ascii="Arial" w:hAnsi="Arial" w:cs="Arial"/>
                <w:b/>
                <w:color w:val="FF8500"/>
              </w:rPr>
              <w:t xml:space="preserve">. ábra: </w:t>
            </w:r>
            <w:r w:rsidRPr="00A10369">
              <w:rPr>
                <w:rFonts w:ascii="Arial" w:hAnsi="Arial" w:cs="Arial"/>
                <w:bCs/>
                <w:color w:val="FF8500"/>
              </w:rPr>
              <w:t>A GDP termelési oldali tételeinek növekedési hozzájárulása (%)</w:t>
            </w:r>
          </w:p>
        </w:tc>
      </w:tr>
      <w:tr w:rsidR="007341D8" w:rsidRPr="003536D7" w14:paraId="1FBC541A" w14:textId="77777777" w:rsidTr="00221D93">
        <w:tc>
          <w:tcPr>
            <w:tcW w:w="4641" w:type="dxa"/>
          </w:tcPr>
          <w:p w14:paraId="778CB0FF" w14:textId="77777777" w:rsidR="007341D8" w:rsidRPr="003536D7" w:rsidRDefault="00992D4D" w:rsidP="00221D93">
            <w:pPr>
              <w:spacing w:after="120"/>
              <w:jc w:val="both"/>
              <w:rPr>
                <w:rFonts w:ascii="Arial" w:hAnsi="Arial" w:cs="Arial"/>
              </w:rPr>
            </w:pPr>
            <w:r>
              <w:rPr>
                <w:rFonts w:ascii="Arial" w:hAnsi="Arial" w:cs="Arial"/>
                <w:noProof/>
                <w:lang w:eastAsia="hu-HU"/>
              </w:rPr>
              <w:drawing>
                <wp:inline distT="0" distB="0" distL="0" distR="0" wp14:anchorId="68EA4B75" wp14:editId="7F5DA6BC">
                  <wp:extent cx="2800350" cy="1952625"/>
                  <wp:effectExtent l="0" t="0" r="0" b="952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50" cy="1952625"/>
                          </a:xfrm>
                          <a:prstGeom prst="rect">
                            <a:avLst/>
                          </a:prstGeom>
                          <a:noFill/>
                          <a:ln>
                            <a:noFill/>
                          </a:ln>
                        </pic:spPr>
                      </pic:pic>
                    </a:graphicData>
                  </a:graphic>
                </wp:inline>
              </w:drawing>
            </w:r>
          </w:p>
        </w:tc>
        <w:tc>
          <w:tcPr>
            <w:tcW w:w="4656" w:type="dxa"/>
          </w:tcPr>
          <w:p w14:paraId="6B6F166D" w14:textId="77777777" w:rsidR="007341D8" w:rsidRPr="003536D7" w:rsidRDefault="007341D8" w:rsidP="00221D93">
            <w:pPr>
              <w:spacing w:after="120"/>
              <w:jc w:val="both"/>
              <w:rPr>
                <w:rFonts w:ascii="Arial" w:hAnsi="Arial" w:cs="Arial"/>
              </w:rPr>
            </w:pPr>
            <w:r w:rsidRPr="00856941">
              <w:rPr>
                <w:rFonts w:ascii="Arial" w:hAnsi="Arial" w:cs="Arial"/>
                <w:noProof/>
                <w:lang w:eastAsia="hu-HU"/>
              </w:rPr>
              <w:drawing>
                <wp:inline distT="0" distB="0" distL="0" distR="0" wp14:anchorId="46D27554" wp14:editId="12EBFB40">
                  <wp:extent cx="2832100" cy="1924050"/>
                  <wp:effectExtent l="0" t="0" r="6350"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2100" cy="1924050"/>
                          </a:xfrm>
                          <a:prstGeom prst="rect">
                            <a:avLst/>
                          </a:prstGeom>
                          <a:noFill/>
                          <a:ln>
                            <a:noFill/>
                          </a:ln>
                        </pic:spPr>
                      </pic:pic>
                    </a:graphicData>
                  </a:graphic>
                </wp:inline>
              </w:drawing>
            </w:r>
          </w:p>
        </w:tc>
      </w:tr>
      <w:tr w:rsidR="007341D8" w:rsidRPr="003536D7" w14:paraId="3FC1B14E" w14:textId="77777777" w:rsidTr="00221D93">
        <w:tc>
          <w:tcPr>
            <w:tcW w:w="4641" w:type="dxa"/>
          </w:tcPr>
          <w:p w14:paraId="16F330B4" w14:textId="77777777" w:rsidR="007341D8" w:rsidRPr="00A10369" w:rsidRDefault="007341D8" w:rsidP="00221D93">
            <w:pPr>
              <w:pStyle w:val="Kpalrstbank"/>
            </w:pPr>
            <w:r w:rsidRPr="00A10369">
              <w:t>Forrás: KSH, Takarékbank előrejelzés (árnyékolt terület)</w:t>
            </w:r>
          </w:p>
        </w:tc>
        <w:tc>
          <w:tcPr>
            <w:tcW w:w="4656" w:type="dxa"/>
          </w:tcPr>
          <w:p w14:paraId="0AA03945" w14:textId="77777777" w:rsidR="007341D8" w:rsidRPr="00A10369" w:rsidRDefault="007341D8" w:rsidP="00221D93">
            <w:pPr>
              <w:pStyle w:val="Kpalrstbank"/>
            </w:pPr>
            <w:r w:rsidRPr="00A10369">
              <w:t>Forrás: KSH, Takarékbank előrejelzés (árnyékolt terület)</w:t>
            </w:r>
          </w:p>
        </w:tc>
      </w:tr>
    </w:tbl>
    <w:p w14:paraId="04BBE1BE" w14:textId="77777777" w:rsidR="005C518C" w:rsidRPr="00FD658E" w:rsidRDefault="005C518C" w:rsidP="00F90BB0">
      <w:pPr>
        <w:spacing w:before="120" w:after="120" w:line="360" w:lineRule="auto"/>
        <w:jc w:val="both"/>
        <w:rPr>
          <w:rFonts w:ascii="Arial" w:hAnsi="Arial" w:cs="Arial"/>
          <w:b/>
          <w:sz w:val="20"/>
          <w:szCs w:val="20"/>
        </w:rPr>
      </w:pPr>
      <w:r w:rsidRPr="00FD658E">
        <w:rPr>
          <w:rFonts w:ascii="Arial" w:hAnsi="Arial" w:cs="Arial"/>
          <w:sz w:val="20"/>
          <w:szCs w:val="20"/>
        </w:rPr>
        <w:t xml:space="preserve">A GDP felhasználási oldalán </w:t>
      </w:r>
      <w:r w:rsidRPr="00FD658E">
        <w:rPr>
          <w:rFonts w:ascii="Arial" w:hAnsi="Arial" w:cs="Arial"/>
          <w:b/>
          <w:sz w:val="20"/>
          <w:szCs w:val="20"/>
        </w:rPr>
        <w:t>a lakosság</w:t>
      </w:r>
      <w:r w:rsidRPr="00FD658E">
        <w:rPr>
          <w:rFonts w:ascii="Arial" w:hAnsi="Arial" w:cs="Arial"/>
          <w:sz w:val="20"/>
          <w:szCs w:val="20"/>
        </w:rPr>
        <w:t xml:space="preserve"> fogyasztási kiadása </w:t>
      </w:r>
      <w:r w:rsidR="002D3CA0">
        <w:rPr>
          <w:rFonts w:ascii="Arial" w:hAnsi="Arial" w:cs="Arial"/>
          <w:sz w:val="20"/>
          <w:szCs w:val="20"/>
        </w:rPr>
        <w:t>5,2</w:t>
      </w:r>
      <w:r w:rsidRPr="00FD658E">
        <w:rPr>
          <w:rFonts w:ascii="Arial" w:hAnsi="Arial" w:cs="Arial"/>
          <w:sz w:val="20"/>
          <w:szCs w:val="20"/>
        </w:rPr>
        <w:t>%-kal, tényleges (</w:t>
      </w:r>
      <w:proofErr w:type="spellStart"/>
      <w:r w:rsidRPr="00FD658E">
        <w:rPr>
          <w:rFonts w:ascii="Arial" w:hAnsi="Arial" w:cs="Arial"/>
          <w:sz w:val="20"/>
          <w:szCs w:val="20"/>
        </w:rPr>
        <w:t>pénzbeni</w:t>
      </w:r>
      <w:proofErr w:type="spellEnd"/>
      <w:r w:rsidRPr="00FD658E">
        <w:rPr>
          <w:rFonts w:ascii="Arial" w:hAnsi="Arial" w:cs="Arial"/>
          <w:sz w:val="20"/>
          <w:szCs w:val="20"/>
        </w:rPr>
        <w:t xml:space="preserve"> és nem-</w:t>
      </w:r>
      <w:proofErr w:type="spellStart"/>
      <w:r w:rsidRPr="00FD658E">
        <w:rPr>
          <w:rFonts w:ascii="Arial" w:hAnsi="Arial" w:cs="Arial"/>
          <w:sz w:val="20"/>
          <w:szCs w:val="20"/>
        </w:rPr>
        <w:t>pénzbeni</w:t>
      </w:r>
      <w:proofErr w:type="spellEnd"/>
      <w:r w:rsidRPr="00FD658E">
        <w:rPr>
          <w:rFonts w:ascii="Arial" w:hAnsi="Arial" w:cs="Arial"/>
          <w:sz w:val="20"/>
          <w:szCs w:val="20"/>
        </w:rPr>
        <w:t xml:space="preserve"> transzfereket is tartalmazó) </w:t>
      </w:r>
      <w:r w:rsidRPr="00FD658E">
        <w:rPr>
          <w:rFonts w:ascii="Arial" w:hAnsi="Arial" w:cs="Arial"/>
          <w:b/>
          <w:sz w:val="20"/>
          <w:szCs w:val="20"/>
        </w:rPr>
        <w:t xml:space="preserve">fogyasztása </w:t>
      </w:r>
      <w:r w:rsidR="002D3CA0">
        <w:rPr>
          <w:rFonts w:ascii="Arial" w:hAnsi="Arial" w:cs="Arial"/>
          <w:b/>
          <w:sz w:val="20"/>
          <w:szCs w:val="20"/>
        </w:rPr>
        <w:t>5</w:t>
      </w:r>
      <w:r w:rsidRPr="00FD658E">
        <w:rPr>
          <w:rFonts w:ascii="Arial" w:hAnsi="Arial" w:cs="Arial"/>
          <w:b/>
          <w:sz w:val="20"/>
          <w:szCs w:val="20"/>
        </w:rPr>
        <w:t xml:space="preserve">%-kal </w:t>
      </w:r>
      <w:r w:rsidR="002335B4">
        <w:rPr>
          <w:rFonts w:ascii="Arial" w:hAnsi="Arial" w:cs="Arial"/>
          <w:b/>
          <w:sz w:val="20"/>
          <w:szCs w:val="20"/>
        </w:rPr>
        <w:t>emelkedett</w:t>
      </w:r>
      <w:r w:rsidRPr="00FD658E">
        <w:rPr>
          <w:rFonts w:ascii="Arial" w:hAnsi="Arial" w:cs="Arial"/>
          <w:sz w:val="20"/>
          <w:szCs w:val="20"/>
        </w:rPr>
        <w:t xml:space="preserve">, </w:t>
      </w:r>
      <w:r w:rsidR="00E863EB">
        <w:rPr>
          <w:rFonts w:ascii="Arial" w:hAnsi="Arial" w:cs="Arial"/>
          <w:sz w:val="20"/>
          <w:szCs w:val="20"/>
        </w:rPr>
        <w:t>így a fogyas</w:t>
      </w:r>
      <w:r w:rsidR="00F931D2">
        <w:rPr>
          <w:rFonts w:ascii="Arial" w:hAnsi="Arial" w:cs="Arial"/>
          <w:sz w:val="20"/>
          <w:szCs w:val="20"/>
        </w:rPr>
        <w:t>ztás ö</w:t>
      </w:r>
      <w:r w:rsidR="00B64221">
        <w:rPr>
          <w:rFonts w:ascii="Arial" w:hAnsi="Arial" w:cs="Arial"/>
          <w:sz w:val="20"/>
          <w:szCs w:val="20"/>
        </w:rPr>
        <w:t xml:space="preserve">sszesen </w:t>
      </w:r>
      <w:r w:rsidR="002D3CA0">
        <w:rPr>
          <w:rFonts w:ascii="Arial" w:hAnsi="Arial" w:cs="Arial"/>
          <w:sz w:val="20"/>
          <w:szCs w:val="20"/>
        </w:rPr>
        <w:t>2,8</w:t>
      </w:r>
      <w:r w:rsidRPr="00FD658E">
        <w:rPr>
          <w:rFonts w:ascii="Arial" w:hAnsi="Arial" w:cs="Arial"/>
          <w:sz w:val="20"/>
          <w:szCs w:val="20"/>
        </w:rPr>
        <w:t xml:space="preserve"> százalékponttal járult hozzá a</w:t>
      </w:r>
      <w:r w:rsidR="002C444C">
        <w:rPr>
          <w:rFonts w:ascii="Arial" w:hAnsi="Arial" w:cs="Arial"/>
          <w:sz w:val="20"/>
          <w:szCs w:val="20"/>
        </w:rPr>
        <w:t xml:space="preserve"> GDP </w:t>
      </w:r>
      <w:r w:rsidR="00986B5C">
        <w:rPr>
          <w:rFonts w:ascii="Arial" w:hAnsi="Arial" w:cs="Arial"/>
          <w:sz w:val="20"/>
          <w:szCs w:val="20"/>
        </w:rPr>
        <w:t>növekedéséhez</w:t>
      </w:r>
      <w:r w:rsidRPr="00FD658E">
        <w:rPr>
          <w:rFonts w:ascii="Arial" w:hAnsi="Arial" w:cs="Arial"/>
          <w:sz w:val="20"/>
          <w:szCs w:val="20"/>
        </w:rPr>
        <w:t xml:space="preserve">. A háztartások Magyarország területén realizálódó (hazai) fogyasztási kiadása </w:t>
      </w:r>
      <w:r w:rsidR="00914FBB">
        <w:rPr>
          <w:rFonts w:ascii="Arial" w:hAnsi="Arial" w:cs="Arial"/>
          <w:sz w:val="20"/>
          <w:szCs w:val="20"/>
        </w:rPr>
        <w:t>5,6</w:t>
      </w:r>
      <w:r w:rsidRPr="00FD658E">
        <w:rPr>
          <w:rFonts w:ascii="Arial" w:hAnsi="Arial" w:cs="Arial"/>
          <w:sz w:val="20"/>
          <w:szCs w:val="20"/>
        </w:rPr>
        <w:t xml:space="preserve">%-kal lett </w:t>
      </w:r>
      <w:r w:rsidR="00986B5C">
        <w:rPr>
          <w:rFonts w:ascii="Arial" w:hAnsi="Arial" w:cs="Arial"/>
          <w:sz w:val="20"/>
          <w:szCs w:val="20"/>
        </w:rPr>
        <w:t>nagyobb az egy évvel korábbinál</w:t>
      </w:r>
      <w:r w:rsidRPr="00FD658E">
        <w:rPr>
          <w:rFonts w:ascii="Arial" w:hAnsi="Arial" w:cs="Arial"/>
          <w:sz w:val="20"/>
          <w:szCs w:val="20"/>
        </w:rPr>
        <w:t xml:space="preserve">. </w:t>
      </w:r>
      <w:r w:rsidR="00E51E00" w:rsidRPr="00E51E00">
        <w:rPr>
          <w:rFonts w:ascii="Arial" w:hAnsi="Arial" w:cs="Arial"/>
          <w:sz w:val="20"/>
          <w:szCs w:val="20"/>
        </w:rPr>
        <w:t xml:space="preserve">Ezen belül a tartós termékekre fordított hazai fogyasztási kiadások volumene </w:t>
      </w:r>
      <w:r w:rsidR="00914FBB">
        <w:rPr>
          <w:rFonts w:ascii="Arial" w:hAnsi="Arial" w:cs="Arial"/>
          <w:sz w:val="20"/>
          <w:szCs w:val="20"/>
        </w:rPr>
        <w:t>3,1</w:t>
      </w:r>
      <w:r w:rsidR="00E863EB">
        <w:rPr>
          <w:rFonts w:ascii="Arial" w:hAnsi="Arial" w:cs="Arial"/>
          <w:sz w:val="20"/>
          <w:szCs w:val="20"/>
        </w:rPr>
        <w:t>%-kal</w:t>
      </w:r>
      <w:r w:rsidR="00E51E00" w:rsidRPr="00E51E00">
        <w:rPr>
          <w:rFonts w:ascii="Arial" w:hAnsi="Arial" w:cs="Arial"/>
          <w:sz w:val="20"/>
          <w:szCs w:val="20"/>
        </w:rPr>
        <w:t xml:space="preserve">, </w:t>
      </w:r>
      <w:r w:rsidR="00B64221">
        <w:rPr>
          <w:rFonts w:ascii="Arial" w:hAnsi="Arial" w:cs="Arial"/>
          <w:sz w:val="20"/>
          <w:szCs w:val="20"/>
        </w:rPr>
        <w:t xml:space="preserve">a féltartós termékeké </w:t>
      </w:r>
      <w:r w:rsidR="00914FBB">
        <w:rPr>
          <w:rFonts w:ascii="Arial" w:hAnsi="Arial" w:cs="Arial"/>
          <w:sz w:val="20"/>
          <w:szCs w:val="20"/>
        </w:rPr>
        <w:t>5,2</w:t>
      </w:r>
      <w:r w:rsidR="00B64221">
        <w:rPr>
          <w:rFonts w:ascii="Arial" w:hAnsi="Arial" w:cs="Arial"/>
          <w:sz w:val="20"/>
          <w:szCs w:val="20"/>
        </w:rPr>
        <w:t xml:space="preserve">%-kal, a nem tartós cikkeké </w:t>
      </w:r>
      <w:r w:rsidR="00914FBB">
        <w:rPr>
          <w:rFonts w:ascii="Arial" w:hAnsi="Arial" w:cs="Arial"/>
          <w:sz w:val="20"/>
          <w:szCs w:val="20"/>
        </w:rPr>
        <w:t>0</w:t>
      </w:r>
      <w:r w:rsidR="00986B5C">
        <w:rPr>
          <w:rFonts w:ascii="Arial" w:hAnsi="Arial" w:cs="Arial"/>
          <w:sz w:val="20"/>
          <w:szCs w:val="20"/>
        </w:rPr>
        <w:t>,3</w:t>
      </w:r>
      <w:r w:rsidR="00E863EB">
        <w:rPr>
          <w:rFonts w:ascii="Arial" w:hAnsi="Arial" w:cs="Arial"/>
          <w:sz w:val="20"/>
          <w:szCs w:val="20"/>
        </w:rPr>
        <w:t>%-kal</w:t>
      </w:r>
      <w:r w:rsidR="00E51E00">
        <w:rPr>
          <w:rFonts w:ascii="Arial" w:hAnsi="Arial" w:cs="Arial"/>
          <w:sz w:val="20"/>
          <w:szCs w:val="20"/>
        </w:rPr>
        <w:t>,</w:t>
      </w:r>
      <w:r w:rsidR="00B64221">
        <w:rPr>
          <w:rFonts w:ascii="Arial" w:hAnsi="Arial" w:cs="Arial"/>
          <w:sz w:val="20"/>
          <w:szCs w:val="20"/>
        </w:rPr>
        <w:t xml:space="preserve"> míg a szolgáltatásoké </w:t>
      </w:r>
      <w:r w:rsidR="00914FBB">
        <w:rPr>
          <w:rFonts w:ascii="Arial" w:hAnsi="Arial" w:cs="Arial"/>
          <w:sz w:val="20"/>
          <w:szCs w:val="20"/>
        </w:rPr>
        <w:t>10,4</w:t>
      </w:r>
      <w:r w:rsidR="00E51E00">
        <w:rPr>
          <w:rFonts w:ascii="Arial" w:hAnsi="Arial" w:cs="Arial"/>
          <w:sz w:val="20"/>
          <w:szCs w:val="20"/>
        </w:rPr>
        <w:t>%-kal</w:t>
      </w:r>
      <w:r w:rsidR="00E863EB">
        <w:rPr>
          <w:rFonts w:ascii="Arial" w:hAnsi="Arial" w:cs="Arial"/>
          <w:sz w:val="20"/>
          <w:szCs w:val="20"/>
        </w:rPr>
        <w:t xml:space="preserve"> </w:t>
      </w:r>
      <w:r w:rsidR="00986B5C">
        <w:rPr>
          <w:rFonts w:ascii="Arial" w:hAnsi="Arial" w:cs="Arial"/>
          <w:sz w:val="20"/>
          <w:szCs w:val="20"/>
        </w:rPr>
        <w:t>emelkedett</w:t>
      </w:r>
      <w:r w:rsidR="00E51E00">
        <w:rPr>
          <w:rFonts w:ascii="Arial" w:hAnsi="Arial" w:cs="Arial"/>
          <w:sz w:val="20"/>
          <w:szCs w:val="20"/>
        </w:rPr>
        <w:t xml:space="preserve">. </w:t>
      </w:r>
      <w:r w:rsidRPr="00FD658E">
        <w:rPr>
          <w:rFonts w:ascii="Arial" w:hAnsi="Arial" w:cs="Arial"/>
          <w:sz w:val="20"/>
          <w:szCs w:val="20"/>
        </w:rPr>
        <w:t xml:space="preserve">A háztartások fogyasztása </w:t>
      </w:r>
      <w:r w:rsidR="00B64221">
        <w:rPr>
          <w:rFonts w:ascii="Arial" w:hAnsi="Arial" w:cs="Arial"/>
          <w:b/>
          <w:sz w:val="20"/>
          <w:szCs w:val="20"/>
        </w:rPr>
        <w:t xml:space="preserve">a korlátozások </w:t>
      </w:r>
      <w:r w:rsidR="008E37AC">
        <w:rPr>
          <w:rFonts w:ascii="Arial" w:hAnsi="Arial" w:cs="Arial"/>
          <w:b/>
          <w:sz w:val="20"/>
          <w:szCs w:val="20"/>
        </w:rPr>
        <w:t>szinte teljes</w:t>
      </w:r>
      <w:r w:rsidR="00B64221">
        <w:rPr>
          <w:rFonts w:ascii="Arial" w:hAnsi="Arial" w:cs="Arial"/>
          <w:b/>
          <w:sz w:val="20"/>
          <w:szCs w:val="20"/>
        </w:rPr>
        <w:t xml:space="preserve"> </w:t>
      </w:r>
      <w:r w:rsidR="008E37AC">
        <w:rPr>
          <w:rFonts w:ascii="Arial" w:hAnsi="Arial" w:cs="Arial"/>
          <w:b/>
          <w:sz w:val="20"/>
          <w:szCs w:val="20"/>
        </w:rPr>
        <w:t>fel</w:t>
      </w:r>
      <w:r w:rsidR="00B64221">
        <w:rPr>
          <w:rFonts w:ascii="Arial" w:hAnsi="Arial" w:cs="Arial"/>
          <w:b/>
          <w:sz w:val="20"/>
          <w:szCs w:val="20"/>
        </w:rPr>
        <w:t>oldása miatt</w:t>
      </w:r>
      <w:r w:rsidR="00E51E00" w:rsidRPr="00E51E00">
        <w:rPr>
          <w:rFonts w:ascii="Arial" w:hAnsi="Arial" w:cs="Arial"/>
          <w:b/>
          <w:sz w:val="20"/>
          <w:szCs w:val="20"/>
        </w:rPr>
        <w:t xml:space="preserve"> a</w:t>
      </w:r>
      <w:r w:rsidR="00F931D2">
        <w:rPr>
          <w:rFonts w:ascii="Arial" w:hAnsi="Arial" w:cs="Arial"/>
          <w:b/>
          <w:sz w:val="20"/>
          <w:szCs w:val="20"/>
        </w:rPr>
        <w:t xml:space="preserve"> </w:t>
      </w:r>
      <w:r w:rsidR="00914FBB">
        <w:rPr>
          <w:rFonts w:ascii="Arial" w:hAnsi="Arial" w:cs="Arial"/>
          <w:b/>
          <w:sz w:val="20"/>
          <w:szCs w:val="20"/>
        </w:rPr>
        <w:t>következő</w:t>
      </w:r>
      <w:r w:rsidR="008E37AC">
        <w:rPr>
          <w:rFonts w:ascii="Arial" w:hAnsi="Arial" w:cs="Arial"/>
          <w:b/>
          <w:sz w:val="20"/>
          <w:szCs w:val="20"/>
        </w:rPr>
        <w:t xml:space="preserve"> negyedév</w:t>
      </w:r>
      <w:r w:rsidR="00914FBB">
        <w:rPr>
          <w:rFonts w:ascii="Arial" w:hAnsi="Arial" w:cs="Arial"/>
          <w:b/>
          <w:sz w:val="20"/>
          <w:szCs w:val="20"/>
        </w:rPr>
        <w:t>ek</w:t>
      </w:r>
      <w:r w:rsidR="008E37AC">
        <w:rPr>
          <w:rFonts w:ascii="Arial" w:hAnsi="Arial" w:cs="Arial"/>
          <w:b/>
          <w:sz w:val="20"/>
          <w:szCs w:val="20"/>
        </w:rPr>
        <w:t>ben</w:t>
      </w:r>
      <w:r w:rsidR="00B64221">
        <w:rPr>
          <w:rFonts w:ascii="Arial" w:hAnsi="Arial" w:cs="Arial"/>
          <w:b/>
          <w:sz w:val="20"/>
          <w:szCs w:val="20"/>
        </w:rPr>
        <w:t xml:space="preserve"> </w:t>
      </w:r>
      <w:r w:rsidR="008E37AC">
        <w:rPr>
          <w:rFonts w:ascii="Arial" w:hAnsi="Arial" w:cs="Arial"/>
          <w:b/>
          <w:sz w:val="20"/>
          <w:szCs w:val="20"/>
        </w:rPr>
        <w:t>tovább</w:t>
      </w:r>
      <w:r w:rsidR="00B64221">
        <w:rPr>
          <w:rFonts w:ascii="Arial" w:hAnsi="Arial" w:cs="Arial"/>
          <w:b/>
          <w:sz w:val="20"/>
          <w:szCs w:val="20"/>
        </w:rPr>
        <w:t xml:space="preserve"> emelkedhet</w:t>
      </w:r>
      <w:r w:rsidR="00E51E00">
        <w:rPr>
          <w:rFonts w:ascii="Arial" w:hAnsi="Arial" w:cs="Arial"/>
          <w:sz w:val="20"/>
          <w:szCs w:val="20"/>
        </w:rPr>
        <w:t xml:space="preserve">, </w:t>
      </w:r>
      <w:r w:rsidR="00B64221">
        <w:rPr>
          <w:rFonts w:ascii="Arial" w:hAnsi="Arial" w:cs="Arial"/>
          <w:sz w:val="20"/>
          <w:szCs w:val="20"/>
        </w:rPr>
        <w:t>amihez</w:t>
      </w:r>
      <w:r w:rsidRPr="00FD658E">
        <w:rPr>
          <w:rFonts w:ascii="Arial" w:hAnsi="Arial" w:cs="Arial"/>
          <w:sz w:val="20"/>
          <w:szCs w:val="20"/>
        </w:rPr>
        <w:t xml:space="preserve"> a foglalkoztatás</w:t>
      </w:r>
      <w:r w:rsidR="008E37AC">
        <w:rPr>
          <w:rFonts w:ascii="Arial" w:hAnsi="Arial" w:cs="Arial"/>
          <w:sz w:val="20"/>
          <w:szCs w:val="20"/>
        </w:rPr>
        <w:t xml:space="preserve"> teljes helyreállása</w:t>
      </w:r>
      <w:r w:rsidRPr="00FD658E">
        <w:rPr>
          <w:rFonts w:ascii="Arial" w:hAnsi="Arial" w:cs="Arial"/>
          <w:sz w:val="20"/>
          <w:szCs w:val="20"/>
        </w:rPr>
        <w:t>, az egyes szektorokban megfigyelt, továbbra is dinamikus bérnövekedés</w:t>
      </w:r>
      <w:r w:rsidR="00914FBB">
        <w:rPr>
          <w:rFonts w:ascii="Arial" w:hAnsi="Arial" w:cs="Arial"/>
          <w:sz w:val="20"/>
          <w:szCs w:val="20"/>
        </w:rPr>
        <w:t>, a minimálbér és a bérminimum jelentős emelése, a lakossági transzferek,</w:t>
      </w:r>
      <w:r w:rsidR="00B64221">
        <w:rPr>
          <w:rFonts w:ascii="Arial" w:hAnsi="Arial" w:cs="Arial"/>
          <w:sz w:val="20"/>
          <w:szCs w:val="20"/>
        </w:rPr>
        <w:t xml:space="preserve"> valamint a kényszermegtakarítások felhasználása is támogat</w:t>
      </w:r>
      <w:r w:rsidRPr="00FD658E">
        <w:rPr>
          <w:rFonts w:ascii="Arial" w:hAnsi="Arial" w:cs="Arial"/>
          <w:sz w:val="20"/>
          <w:szCs w:val="20"/>
        </w:rPr>
        <w:t xml:space="preserve">. A lakosság pénzügyi vagyonának érdemi növekedésével együtt ugyanakkor még </w:t>
      </w:r>
      <w:r w:rsidRPr="00FD658E">
        <w:rPr>
          <w:rFonts w:ascii="Arial" w:hAnsi="Arial" w:cs="Arial"/>
          <w:b/>
          <w:sz w:val="20"/>
          <w:szCs w:val="20"/>
        </w:rPr>
        <w:t>jelentős tartalékok</w:t>
      </w:r>
      <w:r w:rsidRPr="00FD658E">
        <w:rPr>
          <w:rFonts w:ascii="Arial" w:hAnsi="Arial" w:cs="Arial"/>
          <w:sz w:val="20"/>
          <w:szCs w:val="20"/>
        </w:rPr>
        <w:t xml:space="preserve"> állnak rendelkezésre a fogyasztás növekedésének fenntartásához</w:t>
      </w:r>
      <w:r w:rsidR="00F931D2">
        <w:rPr>
          <w:rFonts w:ascii="Arial" w:hAnsi="Arial" w:cs="Arial"/>
          <w:sz w:val="20"/>
          <w:szCs w:val="20"/>
        </w:rPr>
        <w:t>, valamint megjelenhet az elhalasztott fogyasztás is</w:t>
      </w:r>
      <w:r w:rsidRPr="00FD658E">
        <w:rPr>
          <w:rFonts w:ascii="Arial" w:hAnsi="Arial" w:cs="Arial"/>
          <w:sz w:val="20"/>
          <w:szCs w:val="20"/>
        </w:rPr>
        <w:t xml:space="preserve">. Továbbra is óvatos maradt költekezésében a lakosság, hiszen rendelkezésre álló jövedelmének változása komolyabb fogyasztás-bővülést is lehetővé tett volna az elmúlt években, a háztartások megtakarítási rátája tartósan 11-12% körül alakult. </w:t>
      </w:r>
      <w:r w:rsidR="006429F2">
        <w:rPr>
          <w:rFonts w:ascii="Arial" w:hAnsi="Arial" w:cs="Arial"/>
          <w:b/>
          <w:sz w:val="20"/>
          <w:szCs w:val="20"/>
        </w:rPr>
        <w:t xml:space="preserve">A közösségi fogyasztás </w:t>
      </w:r>
      <w:r w:rsidR="008E37AC">
        <w:rPr>
          <w:rFonts w:ascii="Arial" w:hAnsi="Arial" w:cs="Arial"/>
          <w:b/>
          <w:sz w:val="20"/>
          <w:szCs w:val="20"/>
        </w:rPr>
        <w:t>5</w:t>
      </w:r>
      <w:r w:rsidRPr="00FD658E">
        <w:rPr>
          <w:rFonts w:ascii="Arial" w:hAnsi="Arial" w:cs="Arial"/>
          <w:b/>
          <w:sz w:val="20"/>
          <w:szCs w:val="20"/>
        </w:rPr>
        <w:t xml:space="preserve">%-kal </w:t>
      </w:r>
      <w:r w:rsidR="004208E9">
        <w:rPr>
          <w:rFonts w:ascii="Arial" w:hAnsi="Arial" w:cs="Arial"/>
          <w:b/>
          <w:sz w:val="20"/>
          <w:szCs w:val="20"/>
        </w:rPr>
        <w:t>emelkedett</w:t>
      </w:r>
      <w:r w:rsidR="008E37AC">
        <w:rPr>
          <w:rFonts w:ascii="Arial" w:hAnsi="Arial" w:cs="Arial"/>
          <w:sz w:val="20"/>
          <w:szCs w:val="20"/>
        </w:rPr>
        <w:t>, 0</w:t>
      </w:r>
      <w:r w:rsidR="004208E9">
        <w:rPr>
          <w:rFonts w:ascii="Arial" w:hAnsi="Arial" w:cs="Arial"/>
          <w:sz w:val="20"/>
          <w:szCs w:val="20"/>
        </w:rPr>
        <w:t>,5</w:t>
      </w:r>
      <w:r w:rsidRPr="00FD658E">
        <w:rPr>
          <w:rFonts w:ascii="Arial" w:hAnsi="Arial" w:cs="Arial"/>
          <w:sz w:val="20"/>
          <w:szCs w:val="20"/>
        </w:rPr>
        <w:t xml:space="preserve"> százalékponttal </w:t>
      </w:r>
      <w:r w:rsidR="004208E9">
        <w:rPr>
          <w:rFonts w:ascii="Arial" w:hAnsi="Arial" w:cs="Arial"/>
          <w:sz w:val="20"/>
          <w:szCs w:val="20"/>
        </w:rPr>
        <w:t>javítva a GDP növekedését</w:t>
      </w:r>
      <w:r w:rsidRPr="00FD658E">
        <w:rPr>
          <w:rFonts w:ascii="Arial" w:hAnsi="Arial" w:cs="Arial"/>
          <w:sz w:val="20"/>
          <w:szCs w:val="20"/>
        </w:rPr>
        <w:t xml:space="preserve">.      </w:t>
      </w:r>
    </w:p>
    <w:p w14:paraId="36CFF8C9" w14:textId="77777777" w:rsidR="005C518C" w:rsidRPr="00FD658E" w:rsidRDefault="005C518C" w:rsidP="00FD658E">
      <w:pPr>
        <w:spacing w:after="180" w:line="360" w:lineRule="auto"/>
        <w:jc w:val="both"/>
        <w:rPr>
          <w:rFonts w:ascii="Arial" w:hAnsi="Arial" w:cs="Arial"/>
          <w:sz w:val="20"/>
          <w:szCs w:val="20"/>
        </w:rPr>
      </w:pPr>
      <w:r w:rsidRPr="00FD658E">
        <w:rPr>
          <w:rFonts w:ascii="Arial" w:hAnsi="Arial" w:cs="Arial"/>
          <w:sz w:val="20"/>
          <w:szCs w:val="20"/>
        </w:rPr>
        <w:lastRenderedPageBreak/>
        <w:t xml:space="preserve">A </w:t>
      </w:r>
      <w:r w:rsidRPr="00FD658E">
        <w:rPr>
          <w:rFonts w:ascii="Arial" w:hAnsi="Arial" w:cs="Arial"/>
          <w:b/>
          <w:sz w:val="20"/>
          <w:szCs w:val="20"/>
        </w:rPr>
        <w:t>bruttó állóeszköz-felhalmozás</w:t>
      </w:r>
      <w:r w:rsidRPr="00FD658E">
        <w:rPr>
          <w:rFonts w:ascii="Arial" w:hAnsi="Arial" w:cs="Arial"/>
          <w:sz w:val="20"/>
          <w:szCs w:val="20"/>
        </w:rPr>
        <w:t xml:space="preserve"> </w:t>
      </w:r>
      <w:r w:rsidR="00A01F33">
        <w:rPr>
          <w:rFonts w:ascii="Arial" w:hAnsi="Arial" w:cs="Arial"/>
          <w:sz w:val="20"/>
          <w:szCs w:val="20"/>
        </w:rPr>
        <w:t xml:space="preserve">a </w:t>
      </w:r>
      <w:r w:rsidR="004208E9">
        <w:rPr>
          <w:rFonts w:ascii="Arial" w:hAnsi="Arial" w:cs="Arial"/>
          <w:sz w:val="20"/>
          <w:szCs w:val="20"/>
        </w:rPr>
        <w:t>harmadik</w:t>
      </w:r>
      <w:r w:rsidRPr="00FD658E">
        <w:rPr>
          <w:rFonts w:ascii="Arial" w:hAnsi="Arial" w:cs="Arial"/>
          <w:sz w:val="20"/>
          <w:szCs w:val="20"/>
        </w:rPr>
        <w:t xml:space="preserve"> negyedévben </w:t>
      </w:r>
      <w:r w:rsidR="001513D7">
        <w:rPr>
          <w:rFonts w:ascii="Arial" w:hAnsi="Arial" w:cs="Arial"/>
          <w:b/>
          <w:sz w:val="20"/>
          <w:szCs w:val="20"/>
        </w:rPr>
        <w:t>9,6</w:t>
      </w:r>
      <w:r w:rsidRPr="00FD658E">
        <w:rPr>
          <w:rFonts w:ascii="Arial" w:hAnsi="Arial" w:cs="Arial"/>
          <w:b/>
          <w:sz w:val="20"/>
          <w:szCs w:val="20"/>
        </w:rPr>
        <w:t xml:space="preserve">%-kal </w:t>
      </w:r>
      <w:r w:rsidR="00A01F33">
        <w:rPr>
          <w:rFonts w:ascii="Arial" w:hAnsi="Arial" w:cs="Arial"/>
          <w:b/>
          <w:sz w:val="20"/>
          <w:szCs w:val="20"/>
        </w:rPr>
        <w:t>nőtt</w:t>
      </w:r>
      <w:r w:rsidRPr="00FD658E">
        <w:rPr>
          <w:rFonts w:ascii="Arial" w:hAnsi="Arial" w:cs="Arial"/>
          <w:sz w:val="20"/>
          <w:szCs w:val="20"/>
        </w:rPr>
        <w:t xml:space="preserve"> az előző év azonos időszakához képest. </w:t>
      </w:r>
      <w:r w:rsidR="0018447B">
        <w:rPr>
          <w:rFonts w:ascii="Arial" w:hAnsi="Arial" w:cs="Arial"/>
          <w:sz w:val="20"/>
          <w:szCs w:val="20"/>
        </w:rPr>
        <w:t>A</w:t>
      </w:r>
      <w:r w:rsidRPr="00FD658E">
        <w:rPr>
          <w:rFonts w:ascii="Arial" w:hAnsi="Arial" w:cs="Arial"/>
          <w:sz w:val="20"/>
          <w:szCs w:val="20"/>
        </w:rPr>
        <w:t>z építési beruházás</w:t>
      </w:r>
      <w:r w:rsidR="0018447B">
        <w:rPr>
          <w:rFonts w:ascii="Arial" w:hAnsi="Arial" w:cs="Arial"/>
          <w:sz w:val="20"/>
          <w:szCs w:val="20"/>
        </w:rPr>
        <w:t xml:space="preserve">ok volumene </w:t>
      </w:r>
      <w:r w:rsidR="001513D7">
        <w:rPr>
          <w:rFonts w:ascii="Arial" w:hAnsi="Arial" w:cs="Arial"/>
          <w:sz w:val="20"/>
          <w:szCs w:val="20"/>
        </w:rPr>
        <w:t>nagyobb</w:t>
      </w:r>
      <w:r w:rsidRPr="00FD658E">
        <w:rPr>
          <w:rFonts w:ascii="Arial" w:hAnsi="Arial" w:cs="Arial"/>
          <w:sz w:val="20"/>
          <w:szCs w:val="20"/>
        </w:rPr>
        <w:t xml:space="preserve">, a gép- és berendezés-beruházások volumene </w:t>
      </w:r>
      <w:r w:rsidR="001513D7">
        <w:rPr>
          <w:rFonts w:ascii="Arial" w:hAnsi="Arial" w:cs="Arial"/>
          <w:sz w:val="20"/>
          <w:szCs w:val="20"/>
        </w:rPr>
        <w:t>kisebb mértékben</w:t>
      </w:r>
      <w:r w:rsidR="00A01F33">
        <w:rPr>
          <w:rFonts w:ascii="Arial" w:hAnsi="Arial" w:cs="Arial"/>
          <w:sz w:val="20"/>
          <w:szCs w:val="20"/>
        </w:rPr>
        <w:t xml:space="preserve"> </w:t>
      </w:r>
      <w:r w:rsidR="001B65E1">
        <w:rPr>
          <w:rFonts w:ascii="Arial" w:hAnsi="Arial" w:cs="Arial"/>
          <w:sz w:val="20"/>
          <w:szCs w:val="20"/>
        </w:rPr>
        <w:t>növekedett</w:t>
      </w:r>
      <w:r w:rsidRPr="00FD658E">
        <w:rPr>
          <w:rFonts w:ascii="Arial" w:hAnsi="Arial" w:cs="Arial"/>
          <w:sz w:val="20"/>
          <w:szCs w:val="20"/>
        </w:rPr>
        <w:t xml:space="preserve">. A </w:t>
      </w:r>
      <w:r w:rsidR="001513D7">
        <w:rPr>
          <w:rFonts w:ascii="Arial" w:hAnsi="Arial" w:cs="Arial"/>
          <w:sz w:val="20"/>
          <w:szCs w:val="20"/>
        </w:rPr>
        <w:t>beruházásokon belül a legtöbb ágazatban bővülés volt megfigyelhető. Nagymértékű volt a növekedés a feldolgozóipar, a szállítás, raktározás, a mezőgazdaság, a kereskedelem, gépjárműjavítás és az üzleti szolgáltatások területén</w:t>
      </w:r>
      <w:r w:rsidRPr="00FD658E">
        <w:rPr>
          <w:rFonts w:ascii="Arial" w:hAnsi="Arial" w:cs="Arial"/>
          <w:sz w:val="20"/>
          <w:szCs w:val="20"/>
        </w:rPr>
        <w:t xml:space="preserve">. A beruházások </w:t>
      </w:r>
      <w:r w:rsidR="00A01F33">
        <w:rPr>
          <w:rFonts w:ascii="Arial" w:hAnsi="Arial" w:cs="Arial"/>
          <w:sz w:val="20"/>
          <w:szCs w:val="20"/>
        </w:rPr>
        <w:t xml:space="preserve">a </w:t>
      </w:r>
      <w:r w:rsidR="001513D7">
        <w:rPr>
          <w:rFonts w:ascii="Arial" w:hAnsi="Arial" w:cs="Arial"/>
          <w:sz w:val="20"/>
          <w:szCs w:val="20"/>
        </w:rPr>
        <w:t>harmadik</w:t>
      </w:r>
      <w:r w:rsidR="001B65E1">
        <w:rPr>
          <w:rFonts w:ascii="Arial" w:hAnsi="Arial" w:cs="Arial"/>
          <w:sz w:val="20"/>
          <w:szCs w:val="20"/>
        </w:rPr>
        <w:t xml:space="preserve"> negyedévben </w:t>
      </w:r>
      <w:r w:rsidR="001513D7">
        <w:rPr>
          <w:rFonts w:ascii="Arial" w:hAnsi="Arial" w:cs="Arial"/>
          <w:sz w:val="20"/>
          <w:szCs w:val="20"/>
        </w:rPr>
        <w:t>2,7</w:t>
      </w:r>
      <w:r w:rsidR="00A01F33">
        <w:rPr>
          <w:rFonts w:ascii="Arial" w:hAnsi="Arial" w:cs="Arial"/>
          <w:sz w:val="20"/>
          <w:szCs w:val="20"/>
        </w:rPr>
        <w:t xml:space="preserve"> százalékponttal járultak hozzá a GDP növekedéséhez</w:t>
      </w:r>
      <w:r w:rsidRPr="00FD658E">
        <w:rPr>
          <w:rFonts w:ascii="Arial" w:hAnsi="Arial" w:cs="Arial"/>
          <w:sz w:val="20"/>
          <w:szCs w:val="20"/>
        </w:rPr>
        <w:t xml:space="preserve">. </w:t>
      </w:r>
      <w:r w:rsidRPr="00FD658E">
        <w:rPr>
          <w:rFonts w:ascii="Arial" w:hAnsi="Arial" w:cs="Arial"/>
          <w:b/>
          <w:sz w:val="20"/>
          <w:szCs w:val="20"/>
        </w:rPr>
        <w:t xml:space="preserve">A készletek </w:t>
      </w:r>
      <w:r w:rsidR="00A01F33">
        <w:rPr>
          <w:rFonts w:ascii="Arial" w:hAnsi="Arial" w:cs="Arial"/>
          <w:b/>
          <w:sz w:val="20"/>
          <w:szCs w:val="20"/>
        </w:rPr>
        <w:t>növekedése</w:t>
      </w:r>
      <w:r w:rsidRPr="00FD658E">
        <w:rPr>
          <w:rFonts w:ascii="Arial" w:hAnsi="Arial" w:cs="Arial"/>
          <w:b/>
          <w:sz w:val="20"/>
          <w:szCs w:val="20"/>
        </w:rPr>
        <w:t xml:space="preserve"> </w:t>
      </w:r>
      <w:r w:rsidR="00A01F33">
        <w:rPr>
          <w:rFonts w:ascii="Arial" w:hAnsi="Arial" w:cs="Arial"/>
          <w:sz w:val="20"/>
          <w:szCs w:val="20"/>
        </w:rPr>
        <w:t>pedig</w:t>
      </w:r>
      <w:r w:rsidRPr="00FD658E">
        <w:rPr>
          <w:rFonts w:ascii="Arial" w:hAnsi="Arial" w:cs="Arial"/>
          <w:b/>
          <w:sz w:val="20"/>
          <w:szCs w:val="20"/>
        </w:rPr>
        <w:t xml:space="preserve"> </w:t>
      </w:r>
      <w:r w:rsidR="001513D7">
        <w:rPr>
          <w:rFonts w:ascii="Arial" w:hAnsi="Arial" w:cs="Arial"/>
          <w:sz w:val="20"/>
          <w:szCs w:val="20"/>
        </w:rPr>
        <w:t>3,2</w:t>
      </w:r>
      <w:r w:rsidRPr="00FD658E">
        <w:rPr>
          <w:rFonts w:ascii="Arial" w:hAnsi="Arial" w:cs="Arial"/>
          <w:sz w:val="20"/>
          <w:szCs w:val="20"/>
        </w:rPr>
        <w:t xml:space="preserve"> százalékponttal </w:t>
      </w:r>
      <w:r w:rsidR="00A01F33">
        <w:rPr>
          <w:rFonts w:ascii="Arial" w:hAnsi="Arial" w:cs="Arial"/>
          <w:sz w:val="20"/>
          <w:szCs w:val="20"/>
        </w:rPr>
        <w:t>javította</w:t>
      </w:r>
      <w:r w:rsidRPr="00FD658E">
        <w:rPr>
          <w:rFonts w:ascii="Arial" w:hAnsi="Arial" w:cs="Arial"/>
          <w:sz w:val="20"/>
          <w:szCs w:val="20"/>
        </w:rPr>
        <w:t xml:space="preserve"> a GDP-t. </w:t>
      </w:r>
    </w:p>
    <w:p w14:paraId="63880ACA" w14:textId="77777777" w:rsidR="005C518C" w:rsidRDefault="005C518C" w:rsidP="00F90BB0">
      <w:pPr>
        <w:spacing w:after="180" w:line="360" w:lineRule="auto"/>
        <w:jc w:val="both"/>
        <w:rPr>
          <w:rFonts w:ascii="Arial" w:hAnsi="Arial" w:cs="Arial"/>
          <w:sz w:val="20"/>
          <w:szCs w:val="20"/>
        </w:rPr>
      </w:pPr>
      <w:r w:rsidRPr="00FD658E">
        <w:rPr>
          <w:rFonts w:ascii="Arial" w:hAnsi="Arial" w:cs="Arial"/>
          <w:b/>
          <w:sz w:val="20"/>
          <w:szCs w:val="20"/>
        </w:rPr>
        <w:t>A külkereskedelem</w:t>
      </w:r>
      <w:r w:rsidR="00200A0C">
        <w:rPr>
          <w:rFonts w:ascii="Arial" w:hAnsi="Arial" w:cs="Arial"/>
          <w:sz w:val="20"/>
          <w:szCs w:val="20"/>
        </w:rPr>
        <w:t xml:space="preserve"> </w:t>
      </w:r>
      <w:r w:rsidR="0069322D">
        <w:rPr>
          <w:rFonts w:ascii="Arial" w:hAnsi="Arial" w:cs="Arial"/>
          <w:sz w:val="20"/>
          <w:szCs w:val="20"/>
        </w:rPr>
        <w:t>292</w:t>
      </w:r>
      <w:r w:rsidR="00256EA7">
        <w:rPr>
          <w:rFonts w:ascii="Arial" w:hAnsi="Arial" w:cs="Arial"/>
          <w:sz w:val="20"/>
          <w:szCs w:val="20"/>
        </w:rPr>
        <w:t xml:space="preserve"> milliárd forint</w:t>
      </w:r>
      <w:r w:rsidRPr="00FD658E">
        <w:rPr>
          <w:rFonts w:ascii="Arial" w:hAnsi="Arial" w:cs="Arial"/>
          <w:sz w:val="20"/>
          <w:szCs w:val="20"/>
        </w:rPr>
        <w:t xml:space="preserve"> </w:t>
      </w:r>
      <w:r w:rsidR="0069322D">
        <w:rPr>
          <w:rFonts w:ascii="Arial" w:hAnsi="Arial" w:cs="Arial"/>
          <w:sz w:val="20"/>
          <w:szCs w:val="20"/>
        </w:rPr>
        <w:t>hiányt</w:t>
      </w:r>
      <w:r w:rsidRPr="00FD658E">
        <w:rPr>
          <w:rFonts w:ascii="Arial" w:hAnsi="Arial" w:cs="Arial"/>
          <w:sz w:val="20"/>
          <w:szCs w:val="20"/>
        </w:rPr>
        <w:t xml:space="preserve"> mutatott, így a külkereskedelmi egyenleg</w:t>
      </w:r>
      <w:r w:rsidR="00256EA7">
        <w:rPr>
          <w:rFonts w:ascii="Arial" w:hAnsi="Arial" w:cs="Arial"/>
          <w:sz w:val="20"/>
          <w:szCs w:val="20"/>
        </w:rPr>
        <w:t xml:space="preserve"> </w:t>
      </w:r>
      <w:r w:rsidR="0069322D">
        <w:rPr>
          <w:rFonts w:ascii="Arial" w:hAnsi="Arial" w:cs="Arial"/>
          <w:sz w:val="20"/>
          <w:szCs w:val="20"/>
        </w:rPr>
        <w:t>romlása</w:t>
      </w:r>
      <w:r w:rsidRPr="00FD658E">
        <w:rPr>
          <w:rFonts w:ascii="Arial" w:hAnsi="Arial" w:cs="Arial"/>
          <w:sz w:val="20"/>
          <w:szCs w:val="20"/>
        </w:rPr>
        <w:t xml:space="preserve"> </w:t>
      </w:r>
      <w:r w:rsidR="0069322D">
        <w:rPr>
          <w:rFonts w:ascii="Arial" w:hAnsi="Arial" w:cs="Arial"/>
          <w:sz w:val="20"/>
          <w:szCs w:val="20"/>
        </w:rPr>
        <w:t>3,2</w:t>
      </w:r>
      <w:r w:rsidRPr="00FD658E">
        <w:rPr>
          <w:rFonts w:ascii="Arial" w:hAnsi="Arial" w:cs="Arial"/>
          <w:sz w:val="20"/>
          <w:szCs w:val="20"/>
        </w:rPr>
        <w:t xml:space="preserve"> százalékponttal </w:t>
      </w:r>
      <w:r w:rsidR="0069322D">
        <w:rPr>
          <w:rFonts w:ascii="Arial" w:hAnsi="Arial" w:cs="Arial"/>
          <w:sz w:val="20"/>
          <w:szCs w:val="20"/>
        </w:rPr>
        <w:t>visszafogta a GDP növekedését</w:t>
      </w:r>
      <w:r w:rsidRPr="00FD658E">
        <w:rPr>
          <w:rFonts w:ascii="Arial" w:hAnsi="Arial" w:cs="Arial"/>
          <w:sz w:val="20"/>
          <w:szCs w:val="20"/>
        </w:rPr>
        <w:t xml:space="preserve">. </w:t>
      </w:r>
      <w:r w:rsidRPr="00FD658E">
        <w:rPr>
          <w:rFonts w:ascii="Arial" w:hAnsi="Arial" w:cs="Arial"/>
          <w:b/>
          <w:sz w:val="20"/>
          <w:szCs w:val="20"/>
        </w:rPr>
        <w:t xml:space="preserve">Az export volumene </w:t>
      </w:r>
      <w:r w:rsidR="0069322D">
        <w:rPr>
          <w:rFonts w:ascii="Arial" w:hAnsi="Arial" w:cs="Arial"/>
          <w:b/>
          <w:sz w:val="20"/>
          <w:szCs w:val="20"/>
        </w:rPr>
        <w:t>1,4</w:t>
      </w:r>
      <w:r w:rsidRPr="00FD658E">
        <w:rPr>
          <w:rFonts w:ascii="Arial" w:hAnsi="Arial" w:cs="Arial"/>
          <w:b/>
          <w:sz w:val="20"/>
          <w:szCs w:val="20"/>
        </w:rPr>
        <w:t>%-kal, az import</w:t>
      </w:r>
      <w:r w:rsidR="00200A0C">
        <w:rPr>
          <w:rFonts w:ascii="Arial" w:hAnsi="Arial" w:cs="Arial"/>
          <w:b/>
          <w:sz w:val="20"/>
          <w:szCs w:val="20"/>
        </w:rPr>
        <w:t>é</w:t>
      </w:r>
      <w:r w:rsidRPr="00FD658E">
        <w:rPr>
          <w:rFonts w:ascii="Arial" w:hAnsi="Arial" w:cs="Arial"/>
          <w:b/>
          <w:sz w:val="20"/>
          <w:szCs w:val="20"/>
        </w:rPr>
        <w:t xml:space="preserve"> </w:t>
      </w:r>
      <w:r w:rsidR="0069322D">
        <w:rPr>
          <w:rFonts w:ascii="Arial" w:hAnsi="Arial" w:cs="Arial"/>
          <w:b/>
          <w:sz w:val="20"/>
          <w:szCs w:val="20"/>
        </w:rPr>
        <w:t>5,6</w:t>
      </w:r>
      <w:r w:rsidRPr="00FD658E">
        <w:rPr>
          <w:rFonts w:ascii="Arial" w:hAnsi="Arial" w:cs="Arial"/>
          <w:b/>
          <w:sz w:val="20"/>
          <w:szCs w:val="20"/>
        </w:rPr>
        <w:t xml:space="preserve">%-kal </w:t>
      </w:r>
      <w:r w:rsidR="00200A0C">
        <w:rPr>
          <w:rFonts w:ascii="Arial" w:hAnsi="Arial" w:cs="Arial"/>
          <w:b/>
          <w:sz w:val="20"/>
          <w:szCs w:val="20"/>
        </w:rPr>
        <w:t>nőtt</w:t>
      </w:r>
      <w:r w:rsidRPr="00FD658E">
        <w:rPr>
          <w:rFonts w:ascii="Arial" w:hAnsi="Arial" w:cs="Arial"/>
          <w:sz w:val="20"/>
          <w:szCs w:val="20"/>
        </w:rPr>
        <w:t xml:space="preserve">. A külkereskedelmen belül az áruforgalom kivitele </w:t>
      </w:r>
      <w:r w:rsidR="0069322D">
        <w:rPr>
          <w:rFonts w:ascii="Arial" w:hAnsi="Arial" w:cs="Arial"/>
          <w:sz w:val="20"/>
          <w:szCs w:val="20"/>
        </w:rPr>
        <w:t>1,2</w:t>
      </w:r>
      <w:r w:rsidRPr="00FD658E">
        <w:rPr>
          <w:rFonts w:ascii="Arial" w:hAnsi="Arial" w:cs="Arial"/>
          <w:sz w:val="20"/>
          <w:szCs w:val="20"/>
        </w:rPr>
        <w:t>%-kal</w:t>
      </w:r>
      <w:r w:rsidR="0069322D">
        <w:rPr>
          <w:rFonts w:ascii="Arial" w:hAnsi="Arial" w:cs="Arial"/>
          <w:sz w:val="20"/>
          <w:szCs w:val="20"/>
        </w:rPr>
        <w:t xml:space="preserve"> csökkent</w:t>
      </w:r>
      <w:r w:rsidRPr="00FD658E">
        <w:rPr>
          <w:rFonts w:ascii="Arial" w:hAnsi="Arial" w:cs="Arial"/>
          <w:sz w:val="20"/>
          <w:szCs w:val="20"/>
        </w:rPr>
        <w:t xml:space="preserve">, behozatala </w:t>
      </w:r>
      <w:r w:rsidR="0069322D">
        <w:rPr>
          <w:rFonts w:ascii="Arial" w:hAnsi="Arial" w:cs="Arial"/>
          <w:sz w:val="20"/>
          <w:szCs w:val="20"/>
        </w:rPr>
        <w:t>4,3</w:t>
      </w:r>
      <w:r w:rsidRPr="00FD658E">
        <w:rPr>
          <w:rFonts w:ascii="Arial" w:hAnsi="Arial" w:cs="Arial"/>
          <w:sz w:val="20"/>
          <w:szCs w:val="20"/>
        </w:rPr>
        <w:t>%-kal</w:t>
      </w:r>
      <w:r w:rsidR="00256EA7">
        <w:rPr>
          <w:rFonts w:ascii="Arial" w:hAnsi="Arial" w:cs="Arial"/>
          <w:sz w:val="20"/>
          <w:szCs w:val="20"/>
        </w:rPr>
        <w:t xml:space="preserve"> </w:t>
      </w:r>
      <w:r w:rsidR="00200A0C">
        <w:rPr>
          <w:rFonts w:ascii="Arial" w:hAnsi="Arial" w:cs="Arial"/>
          <w:sz w:val="20"/>
          <w:szCs w:val="20"/>
        </w:rPr>
        <w:t>emelkedett</w:t>
      </w:r>
      <w:r w:rsidRPr="00FD658E">
        <w:rPr>
          <w:rFonts w:ascii="Arial" w:hAnsi="Arial" w:cs="Arial"/>
          <w:sz w:val="20"/>
          <w:szCs w:val="20"/>
        </w:rPr>
        <w:t xml:space="preserve">, a </w:t>
      </w:r>
      <w:r w:rsidR="00256EA7">
        <w:rPr>
          <w:rFonts w:ascii="Arial" w:hAnsi="Arial" w:cs="Arial"/>
          <w:sz w:val="20"/>
          <w:szCs w:val="20"/>
        </w:rPr>
        <w:t xml:space="preserve">szolgáltatások exportja </w:t>
      </w:r>
      <w:r w:rsidR="0069322D">
        <w:rPr>
          <w:rFonts w:ascii="Arial" w:hAnsi="Arial" w:cs="Arial"/>
          <w:sz w:val="20"/>
          <w:szCs w:val="20"/>
        </w:rPr>
        <w:t>pedig 1</w:t>
      </w:r>
      <w:r w:rsidR="001565E8">
        <w:rPr>
          <w:rFonts w:ascii="Arial" w:hAnsi="Arial" w:cs="Arial"/>
          <w:sz w:val="20"/>
          <w:szCs w:val="20"/>
        </w:rPr>
        <w:t>3</w:t>
      </w:r>
      <w:r w:rsidR="0018447B">
        <w:rPr>
          <w:rFonts w:ascii="Arial" w:hAnsi="Arial" w:cs="Arial"/>
          <w:sz w:val="20"/>
          <w:szCs w:val="20"/>
        </w:rPr>
        <w:t xml:space="preserve">%-kal, míg importja </w:t>
      </w:r>
      <w:r w:rsidR="0069322D">
        <w:rPr>
          <w:rFonts w:ascii="Arial" w:hAnsi="Arial" w:cs="Arial"/>
          <w:sz w:val="20"/>
          <w:szCs w:val="20"/>
        </w:rPr>
        <w:t>13,3</w:t>
      </w:r>
      <w:r w:rsidRPr="00FD658E">
        <w:rPr>
          <w:rFonts w:ascii="Arial" w:hAnsi="Arial" w:cs="Arial"/>
          <w:sz w:val="20"/>
          <w:szCs w:val="20"/>
        </w:rPr>
        <w:t xml:space="preserve">%-kal </w:t>
      </w:r>
      <w:r w:rsidR="0069322D">
        <w:rPr>
          <w:rFonts w:ascii="Arial" w:hAnsi="Arial" w:cs="Arial"/>
          <w:sz w:val="20"/>
          <w:szCs w:val="20"/>
        </w:rPr>
        <w:t>nőtt</w:t>
      </w:r>
      <w:r w:rsidRPr="00FD658E">
        <w:rPr>
          <w:rFonts w:ascii="Arial" w:hAnsi="Arial" w:cs="Arial"/>
          <w:sz w:val="20"/>
          <w:szCs w:val="20"/>
        </w:rPr>
        <w:t xml:space="preserve">. </w:t>
      </w:r>
    </w:p>
    <w:p w14:paraId="7512C411" w14:textId="77777777" w:rsidR="00256EA7" w:rsidRPr="00FD658E" w:rsidRDefault="00256EA7" w:rsidP="000444CE">
      <w:pPr>
        <w:spacing w:before="120" w:after="120" w:line="360" w:lineRule="auto"/>
        <w:jc w:val="both"/>
        <w:rPr>
          <w:rFonts w:ascii="Arial" w:hAnsi="Arial" w:cs="Arial"/>
          <w:sz w:val="20"/>
          <w:szCs w:val="20"/>
        </w:rPr>
      </w:pPr>
      <w:r w:rsidRPr="00FD658E">
        <w:rPr>
          <w:rFonts w:ascii="Arial" w:hAnsi="Arial" w:cs="Arial"/>
          <w:sz w:val="20"/>
          <w:szCs w:val="20"/>
        </w:rPr>
        <w:t xml:space="preserve">A járvány </w:t>
      </w:r>
      <w:r w:rsidR="00AD7667">
        <w:rPr>
          <w:rFonts w:ascii="Arial" w:hAnsi="Arial" w:cs="Arial"/>
          <w:sz w:val="20"/>
          <w:szCs w:val="20"/>
        </w:rPr>
        <w:t>őszi</w:t>
      </w:r>
      <w:r w:rsidR="00B84373">
        <w:rPr>
          <w:rFonts w:ascii="Arial" w:hAnsi="Arial" w:cs="Arial"/>
          <w:sz w:val="20"/>
          <w:szCs w:val="20"/>
        </w:rPr>
        <w:t>/tavaszi</w:t>
      </w:r>
      <w:r w:rsidR="00AD7667">
        <w:rPr>
          <w:rFonts w:ascii="Arial" w:hAnsi="Arial" w:cs="Arial"/>
          <w:sz w:val="20"/>
          <w:szCs w:val="20"/>
        </w:rPr>
        <w:t xml:space="preserve"> hulláma ellen hozott újabb korlátozó intézkedések</w:t>
      </w:r>
      <w:r w:rsidR="00067AF6">
        <w:rPr>
          <w:rFonts w:ascii="Arial" w:hAnsi="Arial" w:cs="Arial"/>
          <w:sz w:val="20"/>
          <w:szCs w:val="20"/>
        </w:rPr>
        <w:t xml:space="preserve"> fokozatos feloldása</w:t>
      </w:r>
      <w:r w:rsidR="00AD7667">
        <w:rPr>
          <w:rFonts w:ascii="Arial" w:hAnsi="Arial" w:cs="Arial"/>
          <w:sz w:val="20"/>
          <w:szCs w:val="20"/>
        </w:rPr>
        <w:t xml:space="preserve"> eltérően érinte</w:t>
      </w:r>
      <w:r w:rsidR="00067AF6">
        <w:rPr>
          <w:rFonts w:ascii="Arial" w:hAnsi="Arial" w:cs="Arial"/>
          <w:sz w:val="20"/>
          <w:szCs w:val="20"/>
        </w:rPr>
        <w:t>tték a régiós országok gazdaságai</w:t>
      </w:r>
      <w:r w:rsidR="00AD7667">
        <w:rPr>
          <w:rFonts w:ascii="Arial" w:hAnsi="Arial" w:cs="Arial"/>
          <w:sz w:val="20"/>
          <w:szCs w:val="20"/>
        </w:rPr>
        <w:t xml:space="preserve">t. </w:t>
      </w:r>
      <w:r w:rsidR="00B84373">
        <w:rPr>
          <w:rFonts w:ascii="Arial" w:hAnsi="Arial" w:cs="Arial"/>
          <w:sz w:val="20"/>
          <w:szCs w:val="20"/>
        </w:rPr>
        <w:t>A</w:t>
      </w:r>
      <w:r w:rsidR="00AD7667">
        <w:rPr>
          <w:rFonts w:ascii="Arial" w:hAnsi="Arial" w:cs="Arial"/>
          <w:sz w:val="20"/>
          <w:szCs w:val="20"/>
        </w:rPr>
        <w:t xml:space="preserve"> lengyel gazdaság </w:t>
      </w:r>
      <w:r w:rsidR="00067AF6">
        <w:rPr>
          <w:rFonts w:ascii="Arial" w:hAnsi="Arial" w:cs="Arial"/>
          <w:sz w:val="20"/>
          <w:szCs w:val="20"/>
        </w:rPr>
        <w:t>2</w:t>
      </w:r>
      <w:r w:rsidR="00FE0B36">
        <w:rPr>
          <w:rFonts w:ascii="Arial" w:hAnsi="Arial" w:cs="Arial"/>
          <w:sz w:val="20"/>
          <w:szCs w:val="20"/>
        </w:rPr>
        <w:t>,3</w:t>
      </w:r>
      <w:r w:rsidR="00AD7667">
        <w:rPr>
          <w:rFonts w:ascii="Arial" w:hAnsi="Arial" w:cs="Arial"/>
          <w:sz w:val="20"/>
          <w:szCs w:val="20"/>
        </w:rPr>
        <w:t xml:space="preserve">%-kal </w:t>
      </w:r>
      <w:r w:rsidR="00B84373">
        <w:rPr>
          <w:rFonts w:ascii="Arial" w:hAnsi="Arial" w:cs="Arial"/>
          <w:sz w:val="20"/>
          <w:szCs w:val="20"/>
        </w:rPr>
        <w:t>bővült</w:t>
      </w:r>
      <w:r w:rsidR="00AD7667">
        <w:rPr>
          <w:rFonts w:ascii="Arial" w:hAnsi="Arial" w:cs="Arial"/>
          <w:sz w:val="20"/>
          <w:szCs w:val="20"/>
        </w:rPr>
        <w:t xml:space="preserve"> </w:t>
      </w:r>
      <w:r w:rsidR="00FE0B36">
        <w:rPr>
          <w:rFonts w:ascii="Arial" w:hAnsi="Arial" w:cs="Arial"/>
          <w:sz w:val="20"/>
          <w:szCs w:val="20"/>
        </w:rPr>
        <w:t>a második</w:t>
      </w:r>
      <w:r w:rsidR="00AD7667">
        <w:rPr>
          <w:rFonts w:ascii="Arial" w:hAnsi="Arial" w:cs="Arial"/>
          <w:sz w:val="20"/>
          <w:szCs w:val="20"/>
        </w:rPr>
        <w:t xml:space="preserve"> negyedévhez képest, </w:t>
      </w:r>
      <w:r w:rsidR="00896426">
        <w:rPr>
          <w:rFonts w:ascii="Arial" w:hAnsi="Arial" w:cs="Arial"/>
          <w:sz w:val="20"/>
          <w:szCs w:val="20"/>
        </w:rPr>
        <w:t xml:space="preserve">így </w:t>
      </w:r>
      <w:r w:rsidR="00FE0B36">
        <w:rPr>
          <w:rFonts w:ascii="Arial" w:hAnsi="Arial" w:cs="Arial"/>
          <w:sz w:val="20"/>
          <w:szCs w:val="20"/>
        </w:rPr>
        <w:t>éves összehasonlításban 5,5</w:t>
      </w:r>
      <w:r w:rsidR="00067AF6">
        <w:rPr>
          <w:rFonts w:ascii="Arial" w:hAnsi="Arial" w:cs="Arial"/>
          <w:sz w:val="20"/>
          <w:szCs w:val="20"/>
        </w:rPr>
        <w:t>%-os</w:t>
      </w:r>
      <w:r w:rsidR="00896426">
        <w:rPr>
          <w:rFonts w:ascii="Arial" w:hAnsi="Arial" w:cs="Arial"/>
          <w:sz w:val="20"/>
          <w:szCs w:val="20"/>
        </w:rPr>
        <w:t xml:space="preserve"> </w:t>
      </w:r>
      <w:r w:rsidR="00067AF6">
        <w:rPr>
          <w:rFonts w:ascii="Arial" w:hAnsi="Arial" w:cs="Arial"/>
          <w:sz w:val="20"/>
          <w:szCs w:val="20"/>
        </w:rPr>
        <w:t>növekedést mutatott</w:t>
      </w:r>
      <w:r w:rsidRPr="00FD658E">
        <w:rPr>
          <w:rFonts w:ascii="Arial" w:hAnsi="Arial" w:cs="Arial"/>
          <w:sz w:val="20"/>
          <w:szCs w:val="20"/>
        </w:rPr>
        <w:t>.</w:t>
      </w:r>
      <w:r w:rsidR="009123D0">
        <w:rPr>
          <w:rFonts w:ascii="Arial" w:hAnsi="Arial" w:cs="Arial"/>
          <w:sz w:val="20"/>
          <w:szCs w:val="20"/>
        </w:rPr>
        <w:t xml:space="preserve"> A turizmustól legkevésbé függő, jelentős belső piaccal rendelkező lengyel gazdaság teljesítménye </w:t>
      </w:r>
      <w:r w:rsidR="00FE0B36">
        <w:rPr>
          <w:rFonts w:ascii="Arial" w:hAnsi="Arial" w:cs="Arial"/>
          <w:sz w:val="20"/>
          <w:szCs w:val="20"/>
        </w:rPr>
        <w:t>2020-ban</w:t>
      </w:r>
      <w:r w:rsidR="009123D0">
        <w:rPr>
          <w:rFonts w:ascii="Arial" w:hAnsi="Arial" w:cs="Arial"/>
          <w:sz w:val="20"/>
          <w:szCs w:val="20"/>
        </w:rPr>
        <w:t xml:space="preserve"> mindössze 2,7%-kal esett vissza. A cseh gazdaság</w:t>
      </w:r>
      <w:r w:rsidR="00896426">
        <w:rPr>
          <w:rFonts w:ascii="Arial" w:hAnsi="Arial" w:cs="Arial"/>
          <w:sz w:val="20"/>
          <w:szCs w:val="20"/>
        </w:rPr>
        <w:t xml:space="preserve"> </w:t>
      </w:r>
      <w:r w:rsidR="00067AF6">
        <w:rPr>
          <w:rFonts w:ascii="Arial" w:hAnsi="Arial" w:cs="Arial"/>
          <w:sz w:val="20"/>
          <w:szCs w:val="20"/>
        </w:rPr>
        <w:t>1</w:t>
      </w:r>
      <w:r w:rsidR="00794610">
        <w:rPr>
          <w:rFonts w:ascii="Arial" w:hAnsi="Arial" w:cs="Arial"/>
          <w:sz w:val="20"/>
          <w:szCs w:val="20"/>
        </w:rPr>
        <w:t>,5</w:t>
      </w:r>
      <w:r w:rsidR="009123D0">
        <w:rPr>
          <w:rFonts w:ascii="Arial" w:hAnsi="Arial" w:cs="Arial"/>
          <w:sz w:val="20"/>
          <w:szCs w:val="20"/>
        </w:rPr>
        <w:t xml:space="preserve">%-kal </w:t>
      </w:r>
      <w:r w:rsidR="00067AF6">
        <w:rPr>
          <w:rFonts w:ascii="Arial" w:hAnsi="Arial" w:cs="Arial"/>
          <w:sz w:val="20"/>
          <w:szCs w:val="20"/>
        </w:rPr>
        <w:t>bővült</w:t>
      </w:r>
      <w:r w:rsidR="009123D0">
        <w:rPr>
          <w:rFonts w:ascii="Arial" w:hAnsi="Arial" w:cs="Arial"/>
          <w:sz w:val="20"/>
          <w:szCs w:val="20"/>
        </w:rPr>
        <w:t xml:space="preserve"> az előző negyedévhez képest, </w:t>
      </w:r>
      <w:r w:rsidR="00FE7FFB">
        <w:rPr>
          <w:rFonts w:ascii="Arial" w:hAnsi="Arial" w:cs="Arial"/>
          <w:sz w:val="20"/>
          <w:szCs w:val="20"/>
        </w:rPr>
        <w:t>míg</w:t>
      </w:r>
      <w:r w:rsidR="00896426">
        <w:rPr>
          <w:rFonts w:ascii="Arial" w:hAnsi="Arial" w:cs="Arial"/>
          <w:sz w:val="20"/>
          <w:szCs w:val="20"/>
        </w:rPr>
        <w:t xml:space="preserve"> </w:t>
      </w:r>
      <w:r w:rsidR="00794610">
        <w:rPr>
          <w:rFonts w:ascii="Arial" w:hAnsi="Arial" w:cs="Arial"/>
          <w:sz w:val="20"/>
          <w:szCs w:val="20"/>
        </w:rPr>
        <w:t>egy év alatt 3,1</w:t>
      </w:r>
      <w:r w:rsidR="00FE7FFB">
        <w:rPr>
          <w:rFonts w:ascii="Arial" w:hAnsi="Arial" w:cs="Arial"/>
          <w:sz w:val="20"/>
          <w:szCs w:val="20"/>
        </w:rPr>
        <w:t>%-kal</w:t>
      </w:r>
      <w:r w:rsidR="009123D0">
        <w:rPr>
          <w:rFonts w:ascii="Arial" w:hAnsi="Arial" w:cs="Arial"/>
          <w:sz w:val="20"/>
          <w:szCs w:val="20"/>
        </w:rPr>
        <w:t xml:space="preserve"> </w:t>
      </w:r>
      <w:r w:rsidR="00FE7FFB">
        <w:rPr>
          <w:rFonts w:ascii="Arial" w:hAnsi="Arial" w:cs="Arial"/>
          <w:sz w:val="20"/>
          <w:szCs w:val="20"/>
        </w:rPr>
        <w:t>növekedett</w:t>
      </w:r>
      <w:r w:rsidR="00602E4E">
        <w:rPr>
          <w:rFonts w:ascii="Arial" w:hAnsi="Arial" w:cs="Arial"/>
          <w:sz w:val="20"/>
          <w:szCs w:val="20"/>
        </w:rPr>
        <w:t xml:space="preserve">, 2020-ban </w:t>
      </w:r>
      <w:r w:rsidR="00896426">
        <w:rPr>
          <w:rFonts w:ascii="Arial" w:hAnsi="Arial" w:cs="Arial"/>
          <w:sz w:val="20"/>
          <w:szCs w:val="20"/>
        </w:rPr>
        <w:t xml:space="preserve">összesen </w:t>
      </w:r>
      <w:r w:rsidR="00602E4E">
        <w:rPr>
          <w:rFonts w:ascii="Arial" w:hAnsi="Arial" w:cs="Arial"/>
          <w:sz w:val="20"/>
          <w:szCs w:val="20"/>
        </w:rPr>
        <w:t>5,6%-kal csökkent a telj</w:t>
      </w:r>
      <w:r w:rsidR="00896426">
        <w:rPr>
          <w:rFonts w:ascii="Arial" w:hAnsi="Arial" w:cs="Arial"/>
          <w:sz w:val="20"/>
          <w:szCs w:val="20"/>
        </w:rPr>
        <w:t>esítménye</w:t>
      </w:r>
      <w:r w:rsidR="00FE7FFB">
        <w:rPr>
          <w:rFonts w:ascii="Arial" w:hAnsi="Arial" w:cs="Arial"/>
          <w:sz w:val="20"/>
          <w:szCs w:val="20"/>
        </w:rPr>
        <w:t xml:space="preserve">. </w:t>
      </w:r>
      <w:r w:rsidR="00896426">
        <w:rPr>
          <w:rFonts w:ascii="Arial" w:hAnsi="Arial" w:cs="Arial"/>
          <w:sz w:val="20"/>
          <w:szCs w:val="20"/>
        </w:rPr>
        <w:t xml:space="preserve">A szlovák gazdaság teljesítménye </w:t>
      </w:r>
      <w:r w:rsidR="00794610">
        <w:rPr>
          <w:rFonts w:ascii="Arial" w:hAnsi="Arial" w:cs="Arial"/>
          <w:sz w:val="20"/>
          <w:szCs w:val="20"/>
        </w:rPr>
        <w:t>0,4</w:t>
      </w:r>
      <w:r w:rsidR="00602E4E">
        <w:rPr>
          <w:rFonts w:ascii="Arial" w:hAnsi="Arial" w:cs="Arial"/>
          <w:sz w:val="20"/>
          <w:szCs w:val="20"/>
        </w:rPr>
        <w:t xml:space="preserve">%-kal </w:t>
      </w:r>
      <w:r w:rsidR="004552C3">
        <w:rPr>
          <w:rFonts w:ascii="Arial" w:hAnsi="Arial" w:cs="Arial"/>
          <w:sz w:val="20"/>
          <w:szCs w:val="20"/>
        </w:rPr>
        <w:t>nőtt</w:t>
      </w:r>
      <w:r w:rsidR="00602E4E">
        <w:rPr>
          <w:rFonts w:ascii="Arial" w:hAnsi="Arial" w:cs="Arial"/>
          <w:sz w:val="20"/>
          <w:szCs w:val="20"/>
        </w:rPr>
        <w:t xml:space="preserve"> </w:t>
      </w:r>
      <w:r w:rsidR="00794610">
        <w:rPr>
          <w:rFonts w:ascii="Arial" w:hAnsi="Arial" w:cs="Arial"/>
          <w:sz w:val="20"/>
          <w:szCs w:val="20"/>
        </w:rPr>
        <w:t>a második</w:t>
      </w:r>
      <w:r w:rsidR="00602E4E">
        <w:rPr>
          <w:rFonts w:ascii="Arial" w:hAnsi="Arial" w:cs="Arial"/>
          <w:sz w:val="20"/>
          <w:szCs w:val="20"/>
        </w:rPr>
        <w:t xml:space="preserve"> negyedévhez képest, éves szinten</w:t>
      </w:r>
      <w:r w:rsidR="00896426">
        <w:rPr>
          <w:rFonts w:ascii="Arial" w:hAnsi="Arial" w:cs="Arial"/>
          <w:sz w:val="20"/>
          <w:szCs w:val="20"/>
        </w:rPr>
        <w:t xml:space="preserve"> </w:t>
      </w:r>
      <w:r w:rsidR="004552C3">
        <w:rPr>
          <w:rFonts w:ascii="Arial" w:hAnsi="Arial" w:cs="Arial"/>
          <w:sz w:val="20"/>
          <w:szCs w:val="20"/>
        </w:rPr>
        <w:t>pedig</w:t>
      </w:r>
      <w:r w:rsidR="00896426">
        <w:rPr>
          <w:rFonts w:ascii="Arial" w:hAnsi="Arial" w:cs="Arial"/>
          <w:sz w:val="20"/>
          <w:szCs w:val="20"/>
        </w:rPr>
        <w:t xml:space="preserve"> </w:t>
      </w:r>
      <w:r w:rsidR="00162FA0">
        <w:rPr>
          <w:rFonts w:ascii="Arial" w:hAnsi="Arial" w:cs="Arial"/>
          <w:sz w:val="20"/>
          <w:szCs w:val="20"/>
        </w:rPr>
        <w:t xml:space="preserve">az uniós országok között leglassabb mértékben, </w:t>
      </w:r>
      <w:r w:rsidR="00794610">
        <w:rPr>
          <w:rFonts w:ascii="Arial" w:hAnsi="Arial" w:cs="Arial"/>
          <w:sz w:val="20"/>
          <w:szCs w:val="20"/>
        </w:rPr>
        <w:t>1,3</w:t>
      </w:r>
      <w:r w:rsidR="00602E4E">
        <w:rPr>
          <w:rFonts w:ascii="Arial" w:hAnsi="Arial" w:cs="Arial"/>
          <w:sz w:val="20"/>
          <w:szCs w:val="20"/>
        </w:rPr>
        <w:t xml:space="preserve">%-os </w:t>
      </w:r>
      <w:r w:rsidR="00896426">
        <w:rPr>
          <w:rFonts w:ascii="Arial" w:hAnsi="Arial" w:cs="Arial"/>
          <w:sz w:val="20"/>
          <w:szCs w:val="20"/>
        </w:rPr>
        <w:t>növekedést</w:t>
      </w:r>
      <w:r w:rsidR="00602E4E">
        <w:rPr>
          <w:rFonts w:ascii="Arial" w:hAnsi="Arial" w:cs="Arial"/>
          <w:sz w:val="20"/>
          <w:szCs w:val="20"/>
        </w:rPr>
        <w:t xml:space="preserve"> mutatott, </w:t>
      </w:r>
      <w:r w:rsidR="00896426">
        <w:rPr>
          <w:rFonts w:ascii="Arial" w:hAnsi="Arial" w:cs="Arial"/>
          <w:sz w:val="20"/>
          <w:szCs w:val="20"/>
        </w:rPr>
        <w:t>míg tavaly</w:t>
      </w:r>
      <w:r w:rsidR="00706BFC">
        <w:rPr>
          <w:rFonts w:ascii="Arial" w:hAnsi="Arial" w:cs="Arial"/>
          <w:sz w:val="20"/>
          <w:szCs w:val="20"/>
        </w:rPr>
        <w:t>előtt</w:t>
      </w:r>
      <w:r w:rsidR="00602E4E">
        <w:rPr>
          <w:rFonts w:ascii="Arial" w:hAnsi="Arial" w:cs="Arial"/>
          <w:sz w:val="20"/>
          <w:szCs w:val="20"/>
        </w:rPr>
        <w:t xml:space="preserve"> 5,2%-kal esett vissza. </w:t>
      </w:r>
      <w:r w:rsidR="00706BFC">
        <w:rPr>
          <w:rFonts w:ascii="Arial" w:hAnsi="Arial" w:cs="Arial"/>
          <w:sz w:val="20"/>
          <w:szCs w:val="20"/>
        </w:rPr>
        <w:t>A cseh és a szlovák gazdaság kilábalását elsősorban a járműgyártást korlátozó félvezető és alkatrészhiány hátráltatja.</w:t>
      </w:r>
      <w:r w:rsidR="00F957A6">
        <w:rPr>
          <w:rFonts w:ascii="Arial" w:hAnsi="Arial" w:cs="Arial"/>
          <w:sz w:val="20"/>
          <w:szCs w:val="20"/>
        </w:rPr>
        <w:t>0,4</w:t>
      </w:r>
      <w:r w:rsidR="000444CE">
        <w:rPr>
          <w:rFonts w:ascii="Arial" w:hAnsi="Arial" w:cs="Arial"/>
          <w:sz w:val="20"/>
          <w:szCs w:val="20"/>
        </w:rPr>
        <w:t xml:space="preserve">%-os </w:t>
      </w:r>
      <w:r w:rsidR="00F957A6">
        <w:rPr>
          <w:rFonts w:ascii="Arial" w:hAnsi="Arial" w:cs="Arial"/>
          <w:sz w:val="20"/>
          <w:szCs w:val="20"/>
        </w:rPr>
        <w:t>növekedést</w:t>
      </w:r>
      <w:r w:rsidR="000444CE">
        <w:rPr>
          <w:rFonts w:ascii="Arial" w:hAnsi="Arial" w:cs="Arial"/>
          <w:sz w:val="20"/>
          <w:szCs w:val="20"/>
        </w:rPr>
        <w:t xml:space="preserve"> mutatott a román gazdaság egy negyed</w:t>
      </w:r>
      <w:r w:rsidR="004552C3">
        <w:rPr>
          <w:rFonts w:ascii="Arial" w:hAnsi="Arial" w:cs="Arial"/>
          <w:sz w:val="20"/>
          <w:szCs w:val="20"/>
        </w:rPr>
        <w:t>év alatt, aminek köszönhetően a</w:t>
      </w:r>
      <w:r w:rsidR="000444CE">
        <w:rPr>
          <w:rFonts w:ascii="Arial" w:hAnsi="Arial" w:cs="Arial"/>
          <w:sz w:val="20"/>
          <w:szCs w:val="20"/>
        </w:rPr>
        <w:t xml:space="preserve"> </w:t>
      </w:r>
      <w:r w:rsidR="00F957A6">
        <w:rPr>
          <w:rFonts w:ascii="Arial" w:hAnsi="Arial" w:cs="Arial"/>
          <w:sz w:val="20"/>
          <w:szCs w:val="20"/>
        </w:rPr>
        <w:t>harmadik</w:t>
      </w:r>
      <w:r w:rsidR="000444CE">
        <w:rPr>
          <w:rFonts w:ascii="Arial" w:hAnsi="Arial" w:cs="Arial"/>
          <w:sz w:val="20"/>
          <w:szCs w:val="20"/>
        </w:rPr>
        <w:t xml:space="preserve"> negyedévben </w:t>
      </w:r>
      <w:r w:rsidR="00F957A6">
        <w:rPr>
          <w:rFonts w:ascii="Arial" w:hAnsi="Arial" w:cs="Arial"/>
          <w:sz w:val="20"/>
          <w:szCs w:val="20"/>
        </w:rPr>
        <w:t>8,1</w:t>
      </w:r>
      <w:r w:rsidR="004552C3">
        <w:rPr>
          <w:rFonts w:ascii="Arial" w:hAnsi="Arial" w:cs="Arial"/>
          <w:sz w:val="20"/>
          <w:szCs w:val="20"/>
        </w:rPr>
        <w:t>%-kal nőtt</w:t>
      </w:r>
      <w:r w:rsidR="000444CE">
        <w:rPr>
          <w:rFonts w:ascii="Arial" w:hAnsi="Arial" w:cs="Arial"/>
          <w:sz w:val="20"/>
          <w:szCs w:val="20"/>
        </w:rPr>
        <w:t>, tavaly</w:t>
      </w:r>
      <w:r w:rsidR="00F957A6">
        <w:rPr>
          <w:rFonts w:ascii="Arial" w:hAnsi="Arial" w:cs="Arial"/>
          <w:sz w:val="20"/>
          <w:szCs w:val="20"/>
        </w:rPr>
        <w:t>előtt</w:t>
      </w:r>
      <w:r w:rsidR="000444CE">
        <w:rPr>
          <w:rFonts w:ascii="Arial" w:hAnsi="Arial" w:cs="Arial"/>
          <w:sz w:val="20"/>
          <w:szCs w:val="20"/>
        </w:rPr>
        <w:t xml:space="preserve"> pedig összességében 3,6%-kal csökkent a román gazdaság.</w:t>
      </w:r>
      <w:r w:rsidR="00602E4E">
        <w:rPr>
          <w:rFonts w:ascii="Arial" w:hAnsi="Arial" w:cs="Arial"/>
          <w:sz w:val="20"/>
          <w:szCs w:val="20"/>
        </w:rPr>
        <w:t xml:space="preserve"> </w:t>
      </w:r>
      <w:r w:rsidRPr="00FD658E">
        <w:rPr>
          <w:rFonts w:ascii="Arial" w:hAnsi="Arial" w:cs="Arial"/>
          <w:b/>
          <w:sz w:val="20"/>
          <w:szCs w:val="20"/>
        </w:rPr>
        <w:t>A következő években visszatérhet a viszonylag gyors ütemű a növekedés a régiós országokban</w:t>
      </w:r>
      <w:r w:rsidRPr="00FD658E">
        <w:rPr>
          <w:rFonts w:ascii="Arial" w:hAnsi="Arial" w:cs="Arial"/>
          <w:sz w:val="20"/>
          <w:szCs w:val="20"/>
        </w:rPr>
        <w:t>, részben az EU-források felfutása, részben az általános szakemberhiány miatt várható</w:t>
      </w:r>
      <w:r w:rsidR="007E23F6">
        <w:rPr>
          <w:rFonts w:ascii="Arial" w:hAnsi="Arial" w:cs="Arial"/>
          <w:sz w:val="20"/>
          <w:szCs w:val="20"/>
        </w:rPr>
        <w:t>an újra</w:t>
      </w:r>
      <w:r w:rsidRPr="00FD658E">
        <w:rPr>
          <w:rFonts w:ascii="Arial" w:hAnsi="Arial" w:cs="Arial"/>
          <w:sz w:val="20"/>
          <w:szCs w:val="20"/>
        </w:rPr>
        <w:t xml:space="preserve"> gyorsuló bérdinamika miatt, így a régiós gazdaságokat elsősorban a belső kereslet fűtheti.</w:t>
      </w:r>
      <w:r w:rsidR="004552C3">
        <w:rPr>
          <w:rFonts w:ascii="Arial" w:hAnsi="Arial" w:cs="Arial"/>
          <w:sz w:val="20"/>
          <w:szCs w:val="20"/>
        </w:rPr>
        <w:t xml:space="preserve"> A helyreállást ugyanakkor a járműgyártást sújtó alkatrészhiány és általában a beszállítói nehézségek fékezik.</w:t>
      </w:r>
      <w:r w:rsidRPr="00FD658E">
        <w:rPr>
          <w:rFonts w:ascii="Arial" w:hAnsi="Arial" w:cs="Arial"/>
          <w:sz w:val="20"/>
          <w:szCs w:val="20"/>
        </w:rPr>
        <w:t xml:space="preserve"> </w:t>
      </w:r>
    </w:p>
    <w:tbl>
      <w:tblPr>
        <w:tblW w:w="9447" w:type="dxa"/>
        <w:tblLook w:val="01E0" w:firstRow="1" w:lastRow="1" w:firstColumn="1" w:lastColumn="1" w:noHBand="0" w:noVBand="0"/>
      </w:tblPr>
      <w:tblGrid>
        <w:gridCol w:w="4716"/>
        <w:gridCol w:w="4731"/>
      </w:tblGrid>
      <w:tr w:rsidR="005C518C" w:rsidRPr="003536D7" w14:paraId="31CE717F" w14:textId="77777777" w:rsidTr="005C518C">
        <w:tc>
          <w:tcPr>
            <w:tcW w:w="4716" w:type="dxa"/>
          </w:tcPr>
          <w:p w14:paraId="6BF8B476" w14:textId="77777777" w:rsidR="005C518C" w:rsidRPr="00FD658E" w:rsidRDefault="008D1D2F" w:rsidP="005C518C">
            <w:pPr>
              <w:keepNext/>
              <w:jc w:val="center"/>
              <w:rPr>
                <w:rFonts w:ascii="Arial" w:hAnsi="Arial" w:cs="Arial"/>
                <w:color w:val="FF8500"/>
              </w:rPr>
            </w:pPr>
            <w:r>
              <w:rPr>
                <w:rFonts w:ascii="Arial" w:hAnsi="Arial" w:cs="Arial"/>
                <w:b/>
                <w:color w:val="FF8500"/>
              </w:rPr>
              <w:lastRenderedPageBreak/>
              <w:t>7</w:t>
            </w:r>
            <w:r w:rsidR="005C518C" w:rsidRPr="00FD658E">
              <w:rPr>
                <w:rFonts w:ascii="Arial" w:hAnsi="Arial" w:cs="Arial"/>
                <w:b/>
                <w:color w:val="FF8500"/>
              </w:rPr>
              <w:t xml:space="preserve">. ábra: </w:t>
            </w:r>
            <w:r w:rsidR="005C518C" w:rsidRPr="00A10369">
              <w:rPr>
                <w:rFonts w:ascii="Arial" w:hAnsi="Arial" w:cs="Arial"/>
                <w:bCs/>
                <w:color w:val="FF8500"/>
              </w:rPr>
              <w:t>GDP-növekedés a visegrádi térségben</w:t>
            </w:r>
            <w:r w:rsidR="005C518C" w:rsidRPr="00FD658E">
              <w:rPr>
                <w:rFonts w:ascii="Arial" w:hAnsi="Arial" w:cs="Arial"/>
                <w:b/>
                <w:color w:val="FF8500"/>
              </w:rPr>
              <w:t xml:space="preserve"> </w:t>
            </w:r>
            <w:r w:rsidR="005C518C" w:rsidRPr="00FD658E">
              <w:rPr>
                <w:rFonts w:ascii="Arial" w:hAnsi="Arial" w:cs="Arial"/>
                <w:color w:val="FF8500"/>
              </w:rPr>
              <w:t>(év/év %)</w:t>
            </w:r>
          </w:p>
        </w:tc>
        <w:tc>
          <w:tcPr>
            <w:tcW w:w="4731" w:type="dxa"/>
          </w:tcPr>
          <w:p w14:paraId="3F300F79" w14:textId="77777777" w:rsidR="005C518C" w:rsidRPr="00FD658E" w:rsidRDefault="008D1D2F" w:rsidP="005C518C">
            <w:pPr>
              <w:keepNext/>
              <w:jc w:val="center"/>
              <w:rPr>
                <w:rFonts w:ascii="Arial" w:hAnsi="Arial" w:cs="Arial"/>
                <w:color w:val="FF8500"/>
              </w:rPr>
            </w:pPr>
            <w:r>
              <w:rPr>
                <w:rFonts w:ascii="Arial" w:hAnsi="Arial" w:cs="Arial"/>
                <w:b/>
                <w:color w:val="FF8500"/>
              </w:rPr>
              <w:t>8</w:t>
            </w:r>
            <w:r w:rsidR="005C518C" w:rsidRPr="00FD658E">
              <w:rPr>
                <w:rFonts w:ascii="Arial" w:hAnsi="Arial" w:cs="Arial"/>
                <w:b/>
                <w:color w:val="FF8500"/>
              </w:rPr>
              <w:t xml:space="preserve">. ábra: </w:t>
            </w:r>
            <w:r w:rsidR="005C518C" w:rsidRPr="00A10369">
              <w:rPr>
                <w:rFonts w:ascii="Arial" w:hAnsi="Arial" w:cs="Arial"/>
                <w:bCs/>
                <w:color w:val="FF8500"/>
              </w:rPr>
              <w:t>GDP-növekedés a főbb euró-övezeti országokban</w:t>
            </w:r>
            <w:r w:rsidR="005C518C" w:rsidRPr="00FD658E">
              <w:rPr>
                <w:rFonts w:ascii="Arial" w:hAnsi="Arial" w:cs="Arial"/>
                <w:b/>
                <w:color w:val="FF8500"/>
              </w:rPr>
              <w:t xml:space="preserve"> </w:t>
            </w:r>
            <w:r w:rsidR="005C518C" w:rsidRPr="00FD658E">
              <w:rPr>
                <w:rFonts w:ascii="Arial" w:hAnsi="Arial" w:cs="Arial"/>
                <w:color w:val="FF8500"/>
              </w:rPr>
              <w:t>(év/év %)</w:t>
            </w:r>
          </w:p>
        </w:tc>
      </w:tr>
      <w:tr w:rsidR="005C518C" w:rsidRPr="003536D7" w14:paraId="6EA40CE2" w14:textId="77777777" w:rsidTr="005C518C">
        <w:tc>
          <w:tcPr>
            <w:tcW w:w="4716" w:type="dxa"/>
          </w:tcPr>
          <w:p w14:paraId="57E4D520" w14:textId="77777777" w:rsidR="005C518C" w:rsidRPr="003536D7" w:rsidRDefault="009B3BFE" w:rsidP="005C518C">
            <w:pPr>
              <w:keepNext/>
              <w:spacing w:after="120"/>
              <w:jc w:val="both"/>
              <w:rPr>
                <w:rFonts w:ascii="Arial" w:hAnsi="Arial" w:cs="Arial"/>
              </w:rPr>
            </w:pPr>
            <w:r w:rsidRPr="009B3BFE">
              <w:rPr>
                <w:rFonts w:ascii="Arial" w:hAnsi="Arial" w:cs="Arial"/>
                <w:noProof/>
                <w:lang w:eastAsia="hu-HU"/>
              </w:rPr>
              <w:drawing>
                <wp:inline distT="0" distB="0" distL="0" distR="0" wp14:anchorId="021270AA" wp14:editId="1878D5E5">
                  <wp:extent cx="2851150" cy="1892300"/>
                  <wp:effectExtent l="0" t="0" r="6350"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1150" cy="1892300"/>
                          </a:xfrm>
                          <a:prstGeom prst="rect">
                            <a:avLst/>
                          </a:prstGeom>
                          <a:noFill/>
                          <a:ln>
                            <a:noFill/>
                          </a:ln>
                        </pic:spPr>
                      </pic:pic>
                    </a:graphicData>
                  </a:graphic>
                </wp:inline>
              </w:drawing>
            </w:r>
          </w:p>
        </w:tc>
        <w:tc>
          <w:tcPr>
            <w:tcW w:w="4731" w:type="dxa"/>
          </w:tcPr>
          <w:p w14:paraId="00D10B1D" w14:textId="77777777" w:rsidR="005C518C" w:rsidRPr="003536D7" w:rsidRDefault="003B0A38" w:rsidP="005C518C">
            <w:pPr>
              <w:keepNext/>
              <w:spacing w:after="120"/>
              <w:jc w:val="both"/>
              <w:rPr>
                <w:rFonts w:ascii="Arial" w:hAnsi="Arial" w:cs="Arial"/>
              </w:rPr>
            </w:pPr>
            <w:r w:rsidRPr="003B0A38">
              <w:rPr>
                <w:rFonts w:ascii="Arial" w:hAnsi="Arial" w:cs="Arial"/>
                <w:noProof/>
                <w:lang w:eastAsia="hu-HU"/>
              </w:rPr>
              <w:drawing>
                <wp:inline distT="0" distB="0" distL="0" distR="0" wp14:anchorId="6EB26524" wp14:editId="4CDF1AB3">
                  <wp:extent cx="2863850" cy="1905000"/>
                  <wp:effectExtent l="0" t="0" r="0" b="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3850" cy="1905000"/>
                          </a:xfrm>
                          <a:prstGeom prst="rect">
                            <a:avLst/>
                          </a:prstGeom>
                          <a:noFill/>
                          <a:ln>
                            <a:noFill/>
                          </a:ln>
                        </pic:spPr>
                      </pic:pic>
                    </a:graphicData>
                  </a:graphic>
                </wp:inline>
              </w:drawing>
            </w:r>
          </w:p>
        </w:tc>
      </w:tr>
      <w:tr w:rsidR="005C518C" w:rsidRPr="003536D7" w14:paraId="33A62BAF" w14:textId="77777777" w:rsidTr="005C518C">
        <w:tc>
          <w:tcPr>
            <w:tcW w:w="4716" w:type="dxa"/>
          </w:tcPr>
          <w:p w14:paraId="268F2088" w14:textId="77777777" w:rsidR="005C518C" w:rsidRPr="00A10369" w:rsidRDefault="005C518C" w:rsidP="005C518C">
            <w:pPr>
              <w:keepNext/>
              <w:spacing w:after="120"/>
              <w:jc w:val="both"/>
              <w:rPr>
                <w:rFonts w:ascii="Arial" w:hAnsi="Arial" w:cs="Arial"/>
                <w:i/>
                <w:color w:val="FF8500"/>
                <w:sz w:val="16"/>
                <w:szCs w:val="16"/>
              </w:rPr>
            </w:pPr>
            <w:r w:rsidRPr="00A10369">
              <w:rPr>
                <w:rFonts w:ascii="Arial" w:hAnsi="Arial" w:cs="Arial"/>
                <w:i/>
                <w:color w:val="FF8500"/>
                <w:sz w:val="16"/>
                <w:szCs w:val="16"/>
              </w:rPr>
              <w:t>Forrás: Eurostat, Takarékbank előrejelzés (árnyékolt terület)</w:t>
            </w:r>
          </w:p>
        </w:tc>
        <w:tc>
          <w:tcPr>
            <w:tcW w:w="4731" w:type="dxa"/>
          </w:tcPr>
          <w:p w14:paraId="5BDFCC1C" w14:textId="77777777" w:rsidR="005C518C" w:rsidRPr="00A10369" w:rsidRDefault="005C518C" w:rsidP="005C518C">
            <w:pPr>
              <w:keepNext/>
              <w:spacing w:after="120"/>
              <w:jc w:val="both"/>
              <w:rPr>
                <w:rFonts w:ascii="Arial" w:hAnsi="Arial" w:cs="Arial"/>
                <w:i/>
                <w:color w:val="FF8500"/>
                <w:sz w:val="16"/>
                <w:szCs w:val="16"/>
              </w:rPr>
            </w:pPr>
            <w:r w:rsidRPr="00A10369">
              <w:rPr>
                <w:rFonts w:ascii="Arial" w:hAnsi="Arial" w:cs="Arial"/>
                <w:i/>
                <w:color w:val="FF8500"/>
                <w:sz w:val="16"/>
                <w:szCs w:val="16"/>
              </w:rPr>
              <w:t>Forrás: Eurostat, Takarékbank előrejelzés (árnyékolt terület)</w:t>
            </w:r>
          </w:p>
        </w:tc>
      </w:tr>
    </w:tbl>
    <w:p w14:paraId="08E6A66E" w14:textId="77777777" w:rsidR="001F0FB1" w:rsidRDefault="00ED4F85" w:rsidP="00F90BB0">
      <w:pPr>
        <w:spacing w:after="240" w:line="360" w:lineRule="auto"/>
        <w:jc w:val="both"/>
        <w:rPr>
          <w:rFonts w:ascii="Arial" w:hAnsi="Arial" w:cs="Arial"/>
          <w:sz w:val="20"/>
          <w:szCs w:val="20"/>
        </w:rPr>
      </w:pPr>
      <w:r>
        <w:rPr>
          <w:rFonts w:ascii="Arial" w:hAnsi="Arial" w:cs="Arial"/>
          <w:b/>
          <w:sz w:val="20"/>
          <w:szCs w:val="20"/>
        </w:rPr>
        <w:t>Az EU gazdasága 2</w:t>
      </w:r>
      <w:r w:rsidR="00DB7DF3">
        <w:rPr>
          <w:rFonts w:ascii="Arial" w:hAnsi="Arial" w:cs="Arial"/>
          <w:b/>
          <w:sz w:val="20"/>
          <w:szCs w:val="20"/>
        </w:rPr>
        <w:t>,1</w:t>
      </w:r>
      <w:r w:rsidR="005C518C" w:rsidRPr="00FD658E">
        <w:rPr>
          <w:rFonts w:ascii="Arial" w:hAnsi="Arial" w:cs="Arial"/>
          <w:b/>
          <w:sz w:val="20"/>
          <w:szCs w:val="20"/>
        </w:rPr>
        <w:t xml:space="preserve">%-kal, az </w:t>
      </w:r>
      <w:r w:rsidR="00E01AB2">
        <w:rPr>
          <w:rFonts w:ascii="Arial" w:hAnsi="Arial" w:cs="Arial"/>
          <w:b/>
          <w:sz w:val="20"/>
          <w:szCs w:val="20"/>
        </w:rPr>
        <w:t>Euró-övezet gazdasága pedi</w:t>
      </w:r>
      <w:r>
        <w:rPr>
          <w:rFonts w:ascii="Arial" w:hAnsi="Arial" w:cs="Arial"/>
          <w:b/>
          <w:sz w:val="20"/>
          <w:szCs w:val="20"/>
        </w:rPr>
        <w:t>g 2,2</w:t>
      </w:r>
      <w:r w:rsidR="005C518C" w:rsidRPr="00FD658E">
        <w:rPr>
          <w:rFonts w:ascii="Arial" w:hAnsi="Arial" w:cs="Arial"/>
          <w:b/>
          <w:sz w:val="20"/>
          <w:szCs w:val="20"/>
        </w:rPr>
        <w:t xml:space="preserve">%-kal </w:t>
      </w:r>
      <w:r>
        <w:rPr>
          <w:rFonts w:ascii="Arial" w:hAnsi="Arial" w:cs="Arial"/>
          <w:b/>
          <w:sz w:val="20"/>
          <w:szCs w:val="20"/>
        </w:rPr>
        <w:t>nőtt</w:t>
      </w:r>
      <w:r w:rsidR="00E01AB2">
        <w:rPr>
          <w:rFonts w:ascii="Arial" w:hAnsi="Arial" w:cs="Arial"/>
          <w:sz w:val="20"/>
          <w:szCs w:val="20"/>
        </w:rPr>
        <w:t xml:space="preserve"> </w:t>
      </w:r>
      <w:r w:rsidR="005D27C8">
        <w:rPr>
          <w:rFonts w:ascii="Arial" w:hAnsi="Arial" w:cs="Arial"/>
          <w:sz w:val="20"/>
          <w:szCs w:val="20"/>
        </w:rPr>
        <w:t>a második</w:t>
      </w:r>
      <w:r w:rsidR="005C518C" w:rsidRPr="00FD658E">
        <w:rPr>
          <w:rFonts w:ascii="Arial" w:hAnsi="Arial" w:cs="Arial"/>
          <w:sz w:val="20"/>
          <w:szCs w:val="20"/>
        </w:rPr>
        <w:t xml:space="preserve"> negyedévhez képest, </w:t>
      </w:r>
      <w:r w:rsidR="005C518C" w:rsidRPr="00FD658E">
        <w:rPr>
          <w:rFonts w:ascii="Arial" w:hAnsi="Arial" w:cs="Arial"/>
          <w:b/>
          <w:sz w:val="20"/>
          <w:szCs w:val="20"/>
        </w:rPr>
        <w:t xml:space="preserve">így az egy évvel ezelőttihez képest az EU gazdasága </w:t>
      </w:r>
      <w:r w:rsidR="005D27C8">
        <w:rPr>
          <w:rFonts w:ascii="Arial" w:hAnsi="Arial" w:cs="Arial"/>
          <w:b/>
          <w:sz w:val="20"/>
          <w:szCs w:val="20"/>
        </w:rPr>
        <w:t>4,1</w:t>
      </w:r>
      <w:r w:rsidR="005C518C" w:rsidRPr="00FD658E">
        <w:rPr>
          <w:rFonts w:ascii="Arial" w:hAnsi="Arial" w:cs="Arial"/>
          <w:b/>
          <w:sz w:val="20"/>
          <w:szCs w:val="20"/>
        </w:rPr>
        <w:t xml:space="preserve">%-os, az euró-övezet gazdasága </w:t>
      </w:r>
      <w:r w:rsidR="005D27C8">
        <w:rPr>
          <w:rFonts w:ascii="Arial" w:hAnsi="Arial" w:cs="Arial"/>
          <w:b/>
          <w:sz w:val="20"/>
          <w:szCs w:val="20"/>
        </w:rPr>
        <w:t>3,9</w:t>
      </w:r>
      <w:r w:rsidR="005C518C" w:rsidRPr="00FD658E">
        <w:rPr>
          <w:rFonts w:ascii="Arial" w:hAnsi="Arial" w:cs="Arial"/>
          <w:b/>
          <w:sz w:val="20"/>
          <w:szCs w:val="20"/>
        </w:rPr>
        <w:t xml:space="preserve">%-os </w:t>
      </w:r>
      <w:r w:rsidR="005D27C8">
        <w:rPr>
          <w:rFonts w:ascii="Arial" w:hAnsi="Arial" w:cs="Arial"/>
          <w:b/>
          <w:sz w:val="20"/>
          <w:szCs w:val="20"/>
        </w:rPr>
        <w:t>növekedést</w:t>
      </w:r>
      <w:r w:rsidR="005C518C" w:rsidRPr="00FD658E">
        <w:rPr>
          <w:rFonts w:ascii="Arial" w:hAnsi="Arial" w:cs="Arial"/>
          <w:b/>
          <w:sz w:val="20"/>
          <w:szCs w:val="20"/>
        </w:rPr>
        <w:t xml:space="preserve"> mutatott. Németország gazdasága</w:t>
      </w:r>
      <w:r w:rsidR="005C518C" w:rsidRPr="00FD658E">
        <w:rPr>
          <w:rFonts w:ascii="Arial" w:hAnsi="Arial" w:cs="Arial"/>
          <w:sz w:val="20"/>
          <w:szCs w:val="20"/>
        </w:rPr>
        <w:t xml:space="preserve"> </w:t>
      </w:r>
      <w:r w:rsidR="005D27C8">
        <w:rPr>
          <w:rFonts w:ascii="Arial" w:hAnsi="Arial" w:cs="Arial"/>
          <w:sz w:val="20"/>
          <w:szCs w:val="20"/>
        </w:rPr>
        <w:t>1,7</w:t>
      </w:r>
      <w:r w:rsidR="005C518C" w:rsidRPr="00FD658E">
        <w:rPr>
          <w:rFonts w:ascii="Arial" w:hAnsi="Arial" w:cs="Arial"/>
          <w:sz w:val="20"/>
          <w:szCs w:val="20"/>
        </w:rPr>
        <w:t xml:space="preserve">%-kal </w:t>
      </w:r>
      <w:r>
        <w:rPr>
          <w:rFonts w:ascii="Arial" w:hAnsi="Arial" w:cs="Arial"/>
          <w:sz w:val="20"/>
          <w:szCs w:val="20"/>
        </w:rPr>
        <w:t>bővült</w:t>
      </w:r>
      <w:r w:rsidR="005C518C" w:rsidRPr="00FD658E">
        <w:rPr>
          <w:rFonts w:ascii="Arial" w:hAnsi="Arial" w:cs="Arial"/>
          <w:sz w:val="20"/>
          <w:szCs w:val="20"/>
        </w:rPr>
        <w:t xml:space="preserve"> egy negyedév, míg </w:t>
      </w:r>
      <w:r w:rsidR="005D27C8">
        <w:rPr>
          <w:rFonts w:ascii="Arial" w:hAnsi="Arial" w:cs="Arial"/>
          <w:b/>
          <w:sz w:val="20"/>
          <w:szCs w:val="20"/>
        </w:rPr>
        <w:t>2,6</w:t>
      </w:r>
      <w:r w:rsidR="005C518C" w:rsidRPr="00FD658E">
        <w:rPr>
          <w:rFonts w:ascii="Arial" w:hAnsi="Arial" w:cs="Arial"/>
          <w:b/>
          <w:sz w:val="20"/>
          <w:szCs w:val="20"/>
        </w:rPr>
        <w:t xml:space="preserve">%-kal </w:t>
      </w:r>
      <w:r>
        <w:rPr>
          <w:rFonts w:ascii="Arial" w:hAnsi="Arial" w:cs="Arial"/>
          <w:b/>
          <w:sz w:val="20"/>
          <w:szCs w:val="20"/>
        </w:rPr>
        <w:t>nőtt</w:t>
      </w:r>
      <w:r w:rsidR="00E01AB2">
        <w:rPr>
          <w:rFonts w:ascii="Arial" w:hAnsi="Arial" w:cs="Arial"/>
          <w:b/>
          <w:sz w:val="20"/>
          <w:szCs w:val="20"/>
        </w:rPr>
        <w:t xml:space="preserve"> </w:t>
      </w:r>
      <w:r w:rsidR="005C518C" w:rsidRPr="00FD658E">
        <w:rPr>
          <w:rFonts w:ascii="Arial" w:hAnsi="Arial" w:cs="Arial"/>
          <w:b/>
          <w:sz w:val="20"/>
          <w:szCs w:val="20"/>
        </w:rPr>
        <w:t>egy év alatt</w:t>
      </w:r>
      <w:r w:rsidR="005C518C" w:rsidRPr="00FD658E">
        <w:rPr>
          <w:rFonts w:ascii="Arial" w:hAnsi="Arial" w:cs="Arial"/>
          <w:sz w:val="20"/>
          <w:szCs w:val="20"/>
        </w:rPr>
        <w:t xml:space="preserve">. A német gazdaság </w:t>
      </w:r>
      <w:r>
        <w:rPr>
          <w:rFonts w:ascii="Arial" w:hAnsi="Arial" w:cs="Arial"/>
          <w:sz w:val="20"/>
          <w:szCs w:val="20"/>
        </w:rPr>
        <w:t>kilábalását hátráltatja</w:t>
      </w:r>
      <w:r w:rsidR="00DB7DF3">
        <w:rPr>
          <w:rFonts w:ascii="Arial" w:hAnsi="Arial" w:cs="Arial"/>
          <w:sz w:val="20"/>
          <w:szCs w:val="20"/>
        </w:rPr>
        <w:t xml:space="preserve"> a globális chiphiány és a beszállítói láncok akadozása</w:t>
      </w:r>
      <w:r w:rsidR="005C518C" w:rsidRPr="00FD658E">
        <w:rPr>
          <w:rFonts w:ascii="Arial" w:hAnsi="Arial" w:cs="Arial"/>
          <w:sz w:val="20"/>
          <w:szCs w:val="20"/>
        </w:rPr>
        <w:t xml:space="preserve">. </w:t>
      </w:r>
      <w:r w:rsidR="005D27C8">
        <w:rPr>
          <w:rFonts w:ascii="Arial" w:hAnsi="Arial" w:cs="Arial"/>
          <w:sz w:val="20"/>
          <w:szCs w:val="20"/>
        </w:rPr>
        <w:t>2,7</w:t>
      </w:r>
      <w:r>
        <w:rPr>
          <w:rFonts w:ascii="Arial" w:hAnsi="Arial" w:cs="Arial"/>
          <w:sz w:val="20"/>
          <w:szCs w:val="20"/>
        </w:rPr>
        <w:t xml:space="preserve">%-kal nőtt a spanyol, </w:t>
      </w:r>
      <w:r w:rsidR="005D27C8">
        <w:rPr>
          <w:rFonts w:ascii="Arial" w:hAnsi="Arial" w:cs="Arial"/>
          <w:sz w:val="20"/>
          <w:szCs w:val="20"/>
        </w:rPr>
        <w:t>3,3</w:t>
      </w:r>
      <w:r>
        <w:rPr>
          <w:rFonts w:ascii="Arial" w:hAnsi="Arial" w:cs="Arial"/>
          <w:sz w:val="20"/>
          <w:szCs w:val="20"/>
        </w:rPr>
        <w:t xml:space="preserve">%-kal a francia, </w:t>
      </w:r>
      <w:r w:rsidR="005D27C8">
        <w:rPr>
          <w:rFonts w:ascii="Arial" w:hAnsi="Arial" w:cs="Arial"/>
          <w:sz w:val="20"/>
          <w:szCs w:val="20"/>
        </w:rPr>
        <w:t>3,9%-kal az olasz, 13,4%-kal a görög, 15,5</w:t>
      </w:r>
      <w:r>
        <w:rPr>
          <w:rFonts w:ascii="Arial" w:hAnsi="Arial" w:cs="Arial"/>
          <w:sz w:val="20"/>
          <w:szCs w:val="20"/>
        </w:rPr>
        <w:t xml:space="preserve">%-kal a horvát gazdaság. </w:t>
      </w:r>
      <w:r w:rsidR="00E01AB2">
        <w:rPr>
          <w:rFonts w:ascii="Arial" w:hAnsi="Arial" w:cs="Arial"/>
          <w:sz w:val="20"/>
          <w:szCs w:val="20"/>
        </w:rPr>
        <w:t xml:space="preserve">Az ír gazdaság </w:t>
      </w:r>
      <w:r w:rsidR="00F47355">
        <w:rPr>
          <w:rFonts w:ascii="Arial" w:hAnsi="Arial" w:cs="Arial"/>
          <w:sz w:val="20"/>
          <w:szCs w:val="20"/>
        </w:rPr>
        <w:t>az adópolitikájának köszön</w:t>
      </w:r>
      <w:r w:rsidR="00A768CB">
        <w:rPr>
          <w:rFonts w:ascii="Arial" w:hAnsi="Arial" w:cs="Arial"/>
          <w:sz w:val="20"/>
          <w:szCs w:val="20"/>
        </w:rPr>
        <w:t xml:space="preserve">hető tőkeallokációk hatására </w:t>
      </w:r>
      <w:r w:rsidR="00085A96">
        <w:rPr>
          <w:rFonts w:ascii="Arial" w:hAnsi="Arial" w:cs="Arial"/>
          <w:sz w:val="20"/>
          <w:szCs w:val="20"/>
        </w:rPr>
        <w:t xml:space="preserve">egy negyedév alatt </w:t>
      </w:r>
      <w:r w:rsidR="005D27C8">
        <w:rPr>
          <w:rFonts w:ascii="Arial" w:hAnsi="Arial" w:cs="Arial"/>
          <w:sz w:val="20"/>
          <w:szCs w:val="20"/>
        </w:rPr>
        <w:t>0,9</w:t>
      </w:r>
      <w:r w:rsidR="00F47355">
        <w:rPr>
          <w:rFonts w:ascii="Arial" w:hAnsi="Arial" w:cs="Arial"/>
          <w:sz w:val="20"/>
          <w:szCs w:val="20"/>
        </w:rPr>
        <w:t>%-kal</w:t>
      </w:r>
      <w:r w:rsidR="00085A96">
        <w:rPr>
          <w:rFonts w:ascii="Arial" w:hAnsi="Arial" w:cs="Arial"/>
          <w:sz w:val="20"/>
          <w:szCs w:val="20"/>
        </w:rPr>
        <w:t xml:space="preserve">, egy év alatt pedig </w:t>
      </w:r>
      <w:r w:rsidR="005D27C8">
        <w:rPr>
          <w:rFonts w:ascii="Arial" w:hAnsi="Arial" w:cs="Arial"/>
          <w:sz w:val="20"/>
          <w:szCs w:val="20"/>
        </w:rPr>
        <w:t>11,4</w:t>
      </w:r>
      <w:r w:rsidR="00085A96">
        <w:rPr>
          <w:rFonts w:ascii="Arial" w:hAnsi="Arial" w:cs="Arial"/>
          <w:sz w:val="20"/>
          <w:szCs w:val="20"/>
        </w:rPr>
        <w:t xml:space="preserve">%-kal </w:t>
      </w:r>
      <w:r w:rsidR="005D27C8">
        <w:rPr>
          <w:rFonts w:ascii="Arial" w:hAnsi="Arial" w:cs="Arial"/>
          <w:sz w:val="20"/>
          <w:szCs w:val="20"/>
        </w:rPr>
        <w:t>bővült</w:t>
      </w:r>
      <w:r w:rsidR="00F47355">
        <w:rPr>
          <w:rFonts w:ascii="Arial" w:hAnsi="Arial" w:cs="Arial"/>
          <w:sz w:val="20"/>
          <w:szCs w:val="20"/>
        </w:rPr>
        <w:t xml:space="preserve">. </w:t>
      </w:r>
      <w:r w:rsidR="004E6AD0">
        <w:rPr>
          <w:rFonts w:ascii="Arial" w:hAnsi="Arial" w:cs="Arial"/>
          <w:sz w:val="20"/>
          <w:szCs w:val="20"/>
        </w:rPr>
        <w:t>Átfogóbb képet ad, amennyiben az egyes gazdaságok teljesítményét a járvány kitörése előtti, 2019 negyedik negyedév</w:t>
      </w:r>
      <w:r w:rsidR="0034260F">
        <w:rPr>
          <w:rFonts w:ascii="Arial" w:hAnsi="Arial" w:cs="Arial"/>
          <w:sz w:val="20"/>
          <w:szCs w:val="20"/>
        </w:rPr>
        <w:t>i</w:t>
      </w:r>
      <w:r w:rsidR="004E6AD0">
        <w:rPr>
          <w:rFonts w:ascii="Arial" w:hAnsi="Arial" w:cs="Arial"/>
          <w:sz w:val="20"/>
          <w:szCs w:val="20"/>
        </w:rPr>
        <w:t xml:space="preserve">hez hasonlítjuk, </w:t>
      </w:r>
      <w:r w:rsidR="0034260F">
        <w:rPr>
          <w:rFonts w:ascii="Arial" w:hAnsi="Arial" w:cs="Arial"/>
          <w:sz w:val="20"/>
          <w:szCs w:val="20"/>
        </w:rPr>
        <w:t xml:space="preserve">amely alapján </w:t>
      </w:r>
      <w:r w:rsidR="00F21F7E">
        <w:rPr>
          <w:rFonts w:ascii="Arial" w:hAnsi="Arial" w:cs="Arial"/>
          <w:sz w:val="20"/>
          <w:szCs w:val="20"/>
        </w:rPr>
        <w:t>tizenhat</w:t>
      </w:r>
      <w:r>
        <w:rPr>
          <w:rFonts w:ascii="Arial" w:hAnsi="Arial" w:cs="Arial"/>
          <w:sz w:val="20"/>
          <w:szCs w:val="20"/>
        </w:rPr>
        <w:t xml:space="preserve"> európai</w:t>
      </w:r>
      <w:r w:rsidR="0034260F">
        <w:rPr>
          <w:rFonts w:ascii="Arial" w:hAnsi="Arial" w:cs="Arial"/>
          <w:sz w:val="20"/>
          <w:szCs w:val="20"/>
        </w:rPr>
        <w:t xml:space="preserve"> gazdaság</w:t>
      </w:r>
      <w:r>
        <w:rPr>
          <w:rFonts w:ascii="Arial" w:hAnsi="Arial" w:cs="Arial"/>
          <w:sz w:val="20"/>
          <w:szCs w:val="20"/>
        </w:rPr>
        <w:t>, köztük a hazai,</w:t>
      </w:r>
      <w:r w:rsidR="0034260F">
        <w:rPr>
          <w:rFonts w:ascii="Arial" w:hAnsi="Arial" w:cs="Arial"/>
          <w:sz w:val="20"/>
          <w:szCs w:val="20"/>
        </w:rPr>
        <w:t xml:space="preserve"> már </w:t>
      </w:r>
      <w:r>
        <w:rPr>
          <w:rFonts w:ascii="Arial" w:hAnsi="Arial" w:cs="Arial"/>
          <w:sz w:val="20"/>
          <w:szCs w:val="20"/>
        </w:rPr>
        <w:t xml:space="preserve">elérte a járvány előtti szintet. </w:t>
      </w:r>
      <w:r w:rsidR="00814FFA" w:rsidRPr="00814FFA">
        <w:rPr>
          <w:rFonts w:ascii="Arial" w:hAnsi="Arial" w:cs="Arial"/>
          <w:sz w:val="20"/>
          <w:szCs w:val="20"/>
        </w:rPr>
        <w:t xml:space="preserve">Többnyire azon országoknak sikerült, ahol elhanyagolható a turizmus súlya, </w:t>
      </w:r>
      <w:r w:rsidR="001F0FB1">
        <w:rPr>
          <w:rFonts w:ascii="Arial" w:hAnsi="Arial" w:cs="Arial"/>
          <w:sz w:val="20"/>
          <w:szCs w:val="20"/>
        </w:rPr>
        <w:t>valamint nagy meglepetésre a görög</w:t>
      </w:r>
      <w:r w:rsidR="00D625C0">
        <w:rPr>
          <w:rFonts w:ascii="Arial" w:hAnsi="Arial" w:cs="Arial"/>
          <w:sz w:val="20"/>
          <w:szCs w:val="20"/>
        </w:rPr>
        <w:t xml:space="preserve"> és horvát</w:t>
      </w:r>
      <w:r w:rsidR="00814FFA" w:rsidRPr="00814FFA">
        <w:rPr>
          <w:rFonts w:ascii="Arial" w:hAnsi="Arial" w:cs="Arial"/>
          <w:sz w:val="20"/>
          <w:szCs w:val="20"/>
        </w:rPr>
        <w:t xml:space="preserve"> gazdas</w:t>
      </w:r>
      <w:r w:rsidR="00F21F7E">
        <w:rPr>
          <w:rFonts w:ascii="Arial" w:hAnsi="Arial" w:cs="Arial"/>
          <w:sz w:val="20"/>
          <w:szCs w:val="20"/>
        </w:rPr>
        <w:t>ág teljesítménye már meghaladta</w:t>
      </w:r>
      <w:r w:rsidR="00814FFA" w:rsidRPr="00814FFA">
        <w:rPr>
          <w:rFonts w:ascii="Arial" w:hAnsi="Arial" w:cs="Arial"/>
          <w:sz w:val="20"/>
          <w:szCs w:val="20"/>
        </w:rPr>
        <w:t xml:space="preserve"> a válság előtti szintet. A turizmus meghatározó szerepe miatt a dél-európai országok </w:t>
      </w:r>
      <w:r w:rsidR="001F0FB1">
        <w:rPr>
          <w:rFonts w:ascii="Arial" w:hAnsi="Arial" w:cs="Arial"/>
          <w:sz w:val="20"/>
          <w:szCs w:val="20"/>
        </w:rPr>
        <w:t xml:space="preserve">többsége </w:t>
      </w:r>
      <w:r w:rsidR="00814FFA" w:rsidRPr="00814FFA">
        <w:rPr>
          <w:rFonts w:ascii="Arial" w:hAnsi="Arial" w:cs="Arial"/>
          <w:sz w:val="20"/>
          <w:szCs w:val="20"/>
        </w:rPr>
        <w:t>még tetemes elmaradást mutatnak,</w:t>
      </w:r>
      <w:r w:rsidR="00D625C0">
        <w:rPr>
          <w:rFonts w:ascii="Arial" w:hAnsi="Arial" w:cs="Arial"/>
          <w:sz w:val="20"/>
          <w:szCs w:val="20"/>
        </w:rPr>
        <w:t xml:space="preserve"> köztük a spanyol 6,6</w:t>
      </w:r>
      <w:r w:rsidR="001F0FB1">
        <w:rPr>
          <w:rFonts w:ascii="Arial" w:hAnsi="Arial" w:cs="Arial"/>
          <w:sz w:val="20"/>
          <w:szCs w:val="20"/>
        </w:rPr>
        <w:t xml:space="preserve">%-kal, a máltai </w:t>
      </w:r>
      <w:r w:rsidR="00D625C0">
        <w:rPr>
          <w:rFonts w:ascii="Arial" w:hAnsi="Arial" w:cs="Arial"/>
          <w:sz w:val="20"/>
          <w:szCs w:val="20"/>
        </w:rPr>
        <w:t>2,8</w:t>
      </w:r>
      <w:r w:rsidR="001F0FB1">
        <w:rPr>
          <w:rFonts w:ascii="Arial" w:hAnsi="Arial" w:cs="Arial"/>
          <w:sz w:val="20"/>
          <w:szCs w:val="20"/>
        </w:rPr>
        <w:t xml:space="preserve">%-kal, a portugál </w:t>
      </w:r>
      <w:r w:rsidR="00D625C0">
        <w:rPr>
          <w:rFonts w:ascii="Arial" w:hAnsi="Arial" w:cs="Arial"/>
          <w:sz w:val="20"/>
          <w:szCs w:val="20"/>
        </w:rPr>
        <w:t>3,1</w:t>
      </w:r>
      <w:r w:rsidR="001F0FB1">
        <w:rPr>
          <w:rFonts w:ascii="Arial" w:hAnsi="Arial" w:cs="Arial"/>
          <w:sz w:val="20"/>
          <w:szCs w:val="20"/>
        </w:rPr>
        <w:t xml:space="preserve">%-kal, az olasz </w:t>
      </w:r>
      <w:r w:rsidR="00D625C0">
        <w:rPr>
          <w:rFonts w:ascii="Arial" w:hAnsi="Arial" w:cs="Arial"/>
          <w:sz w:val="20"/>
          <w:szCs w:val="20"/>
        </w:rPr>
        <w:t>1,3%-kal múlja alul. U</w:t>
      </w:r>
      <w:r w:rsidR="001F0FB1">
        <w:rPr>
          <w:rFonts w:ascii="Arial" w:hAnsi="Arial" w:cs="Arial"/>
          <w:sz w:val="20"/>
          <w:szCs w:val="20"/>
        </w:rPr>
        <w:t>gyanakkor</w:t>
      </w:r>
      <w:r w:rsidR="00814FFA" w:rsidRPr="00814FFA">
        <w:rPr>
          <w:rFonts w:ascii="Arial" w:hAnsi="Arial" w:cs="Arial"/>
          <w:sz w:val="20"/>
          <w:szCs w:val="20"/>
        </w:rPr>
        <w:t xml:space="preserve"> a félvezető és más alkatrészek, alapanyagok hiányától szenvedő ipar miatt a német</w:t>
      </w:r>
      <w:r w:rsidR="00D625C0">
        <w:rPr>
          <w:rFonts w:ascii="Arial" w:hAnsi="Arial" w:cs="Arial"/>
          <w:sz w:val="20"/>
          <w:szCs w:val="20"/>
        </w:rPr>
        <w:t>, a szlovák</w:t>
      </w:r>
      <w:r w:rsidR="00814FFA" w:rsidRPr="00814FFA">
        <w:rPr>
          <w:rFonts w:ascii="Arial" w:hAnsi="Arial" w:cs="Arial"/>
          <w:sz w:val="20"/>
          <w:szCs w:val="20"/>
        </w:rPr>
        <w:t xml:space="preserve"> és a cseh gazdaság</w:t>
      </w:r>
      <w:r w:rsidR="001F0FB1">
        <w:rPr>
          <w:rFonts w:ascii="Arial" w:hAnsi="Arial" w:cs="Arial"/>
          <w:sz w:val="20"/>
          <w:szCs w:val="20"/>
        </w:rPr>
        <w:t xml:space="preserve"> </w:t>
      </w:r>
      <w:r w:rsidR="00D625C0">
        <w:rPr>
          <w:rFonts w:ascii="Arial" w:hAnsi="Arial" w:cs="Arial"/>
          <w:sz w:val="20"/>
          <w:szCs w:val="20"/>
        </w:rPr>
        <w:t>1,3</w:t>
      </w:r>
      <w:r w:rsidR="001F0FB1">
        <w:rPr>
          <w:rFonts w:ascii="Arial" w:hAnsi="Arial" w:cs="Arial"/>
          <w:sz w:val="20"/>
          <w:szCs w:val="20"/>
        </w:rPr>
        <w:t>%-os,</w:t>
      </w:r>
      <w:r w:rsidR="00D625C0">
        <w:rPr>
          <w:rFonts w:ascii="Arial" w:hAnsi="Arial" w:cs="Arial"/>
          <w:sz w:val="20"/>
          <w:szCs w:val="20"/>
        </w:rPr>
        <w:t xml:space="preserve"> 1,5%-os,</w:t>
      </w:r>
      <w:r w:rsidR="001F0FB1">
        <w:rPr>
          <w:rFonts w:ascii="Arial" w:hAnsi="Arial" w:cs="Arial"/>
          <w:sz w:val="20"/>
          <w:szCs w:val="20"/>
        </w:rPr>
        <w:t xml:space="preserve"> illetve </w:t>
      </w:r>
      <w:r w:rsidR="00D625C0">
        <w:rPr>
          <w:rFonts w:ascii="Arial" w:hAnsi="Arial" w:cs="Arial"/>
          <w:sz w:val="20"/>
          <w:szCs w:val="20"/>
        </w:rPr>
        <w:t>3,1</w:t>
      </w:r>
      <w:r w:rsidR="001F0FB1">
        <w:rPr>
          <w:rFonts w:ascii="Arial" w:hAnsi="Arial" w:cs="Arial"/>
          <w:sz w:val="20"/>
          <w:szCs w:val="20"/>
        </w:rPr>
        <w:t>%-os</w:t>
      </w:r>
      <w:r w:rsidR="00814FFA" w:rsidRPr="00814FFA">
        <w:rPr>
          <w:rFonts w:ascii="Arial" w:hAnsi="Arial" w:cs="Arial"/>
          <w:sz w:val="20"/>
          <w:szCs w:val="20"/>
        </w:rPr>
        <w:t xml:space="preserve"> lemaradásban van. Ezért igen komoly sikernek nevezhető, hogy a hazai gazdaság összességében már majdnem </w:t>
      </w:r>
      <w:r w:rsidR="00D625C0">
        <w:rPr>
          <w:rFonts w:ascii="Arial" w:hAnsi="Arial" w:cs="Arial"/>
          <w:sz w:val="20"/>
          <w:szCs w:val="20"/>
        </w:rPr>
        <w:t>egy</w:t>
      </w:r>
      <w:r w:rsidR="00814FFA" w:rsidRPr="00814FFA">
        <w:rPr>
          <w:rFonts w:ascii="Arial" w:hAnsi="Arial" w:cs="Arial"/>
          <w:sz w:val="20"/>
          <w:szCs w:val="20"/>
        </w:rPr>
        <w:t xml:space="preserve"> százalékkal haladta meg a járvány előtt elért kibocsátást, mivel itthon magasabb a nemzetközi turizmustól és a járműgyártástól függő ágazatok súlya. </w:t>
      </w:r>
      <w:r>
        <w:rPr>
          <w:rFonts w:ascii="Arial" w:hAnsi="Arial" w:cs="Arial"/>
          <w:sz w:val="20"/>
          <w:szCs w:val="20"/>
        </w:rPr>
        <w:t xml:space="preserve">Az EU átlagosan </w:t>
      </w:r>
      <w:r w:rsidR="00D625C0">
        <w:rPr>
          <w:rFonts w:ascii="Arial" w:hAnsi="Arial" w:cs="Arial"/>
          <w:sz w:val="20"/>
          <w:szCs w:val="20"/>
        </w:rPr>
        <w:t>0,1</w:t>
      </w:r>
      <w:r w:rsidR="0034260F">
        <w:rPr>
          <w:rFonts w:ascii="Arial" w:hAnsi="Arial" w:cs="Arial"/>
          <w:sz w:val="20"/>
          <w:szCs w:val="20"/>
        </w:rPr>
        <w:t xml:space="preserve">%-kal, míg </w:t>
      </w:r>
      <w:r w:rsidR="00D625C0">
        <w:rPr>
          <w:rFonts w:ascii="Arial" w:hAnsi="Arial" w:cs="Arial"/>
          <w:sz w:val="20"/>
          <w:szCs w:val="20"/>
        </w:rPr>
        <w:t>az euró-övezet 0,4</w:t>
      </w:r>
      <w:r w:rsidR="0034260F">
        <w:rPr>
          <w:rFonts w:ascii="Arial" w:hAnsi="Arial" w:cs="Arial"/>
          <w:sz w:val="20"/>
          <w:szCs w:val="20"/>
        </w:rPr>
        <w:t xml:space="preserve">%-kal marad el a járvány előtti szinttől.  </w:t>
      </w:r>
    </w:p>
    <w:tbl>
      <w:tblPr>
        <w:tblW w:w="9447" w:type="dxa"/>
        <w:tblLook w:val="01E0" w:firstRow="1" w:lastRow="1" w:firstColumn="1" w:lastColumn="1" w:noHBand="0" w:noVBand="0"/>
      </w:tblPr>
      <w:tblGrid>
        <w:gridCol w:w="4716"/>
        <w:gridCol w:w="4731"/>
      </w:tblGrid>
      <w:tr w:rsidR="001F0FB1" w:rsidRPr="003536D7" w14:paraId="33BD673B" w14:textId="77777777" w:rsidTr="00892C7E">
        <w:tc>
          <w:tcPr>
            <w:tcW w:w="4716" w:type="dxa"/>
          </w:tcPr>
          <w:p w14:paraId="138B72E0" w14:textId="77777777" w:rsidR="001F0FB1" w:rsidRPr="00FD658E" w:rsidRDefault="006A4321" w:rsidP="001F0FB1">
            <w:pPr>
              <w:keepNext/>
              <w:jc w:val="center"/>
              <w:rPr>
                <w:rFonts w:ascii="Arial" w:hAnsi="Arial" w:cs="Arial"/>
                <w:color w:val="FF8500"/>
              </w:rPr>
            </w:pPr>
            <w:r>
              <w:rPr>
                <w:rFonts w:ascii="Arial" w:hAnsi="Arial" w:cs="Arial"/>
                <w:b/>
                <w:color w:val="FF8500"/>
              </w:rPr>
              <w:lastRenderedPageBreak/>
              <w:t>9</w:t>
            </w:r>
            <w:r w:rsidR="001F0FB1" w:rsidRPr="00FD658E">
              <w:rPr>
                <w:rFonts w:ascii="Arial" w:hAnsi="Arial" w:cs="Arial"/>
                <w:b/>
                <w:color w:val="FF8500"/>
              </w:rPr>
              <w:t xml:space="preserve">. ábra: </w:t>
            </w:r>
            <w:r w:rsidR="001F0FB1">
              <w:rPr>
                <w:rFonts w:ascii="Arial" w:hAnsi="Arial" w:cs="Arial"/>
                <w:bCs/>
                <w:color w:val="FF8500"/>
              </w:rPr>
              <w:t>Egyes uniós országok teljesítménye 2019 utolsó negyedévéhez képest</w:t>
            </w:r>
          </w:p>
        </w:tc>
        <w:tc>
          <w:tcPr>
            <w:tcW w:w="4731" w:type="dxa"/>
          </w:tcPr>
          <w:p w14:paraId="67C2B598" w14:textId="77777777" w:rsidR="001F0FB1" w:rsidRPr="00FD658E" w:rsidRDefault="006A4321" w:rsidP="00147CEB">
            <w:pPr>
              <w:keepNext/>
              <w:jc w:val="center"/>
              <w:rPr>
                <w:rFonts w:ascii="Arial" w:hAnsi="Arial" w:cs="Arial"/>
                <w:color w:val="FF8500"/>
              </w:rPr>
            </w:pPr>
            <w:r>
              <w:rPr>
                <w:rFonts w:ascii="Arial" w:hAnsi="Arial" w:cs="Arial"/>
                <w:b/>
                <w:color w:val="FF8500"/>
              </w:rPr>
              <w:t>10</w:t>
            </w:r>
            <w:r w:rsidR="001F0FB1" w:rsidRPr="00FD658E">
              <w:rPr>
                <w:rFonts w:ascii="Arial" w:hAnsi="Arial" w:cs="Arial"/>
                <w:b/>
                <w:color w:val="FF8500"/>
              </w:rPr>
              <w:t xml:space="preserve">. ábra: </w:t>
            </w:r>
            <w:r w:rsidR="001F0FB1">
              <w:rPr>
                <w:rFonts w:ascii="Arial" w:hAnsi="Arial" w:cs="Arial"/>
                <w:bCs/>
                <w:color w:val="FF8500"/>
              </w:rPr>
              <w:t xml:space="preserve">Az uniós tagállamok első </w:t>
            </w:r>
            <w:r w:rsidR="00147CEB">
              <w:rPr>
                <w:rFonts w:ascii="Arial" w:hAnsi="Arial" w:cs="Arial"/>
                <w:bCs/>
                <w:color w:val="FF8500"/>
              </w:rPr>
              <w:t>három</w:t>
            </w:r>
            <w:r w:rsidR="001F0FB1">
              <w:rPr>
                <w:rFonts w:ascii="Arial" w:hAnsi="Arial" w:cs="Arial"/>
                <w:bCs/>
                <w:color w:val="FF8500"/>
              </w:rPr>
              <w:t>negyedéves teljesítménye</w:t>
            </w:r>
          </w:p>
        </w:tc>
      </w:tr>
      <w:tr w:rsidR="001F0FB1" w:rsidRPr="003536D7" w14:paraId="376A7BE3" w14:textId="77777777" w:rsidTr="00892C7E">
        <w:tc>
          <w:tcPr>
            <w:tcW w:w="4716" w:type="dxa"/>
          </w:tcPr>
          <w:p w14:paraId="042E0234" w14:textId="77777777" w:rsidR="001F0FB1" w:rsidRPr="003536D7" w:rsidRDefault="00147CEB" w:rsidP="00892C7E">
            <w:pPr>
              <w:keepNext/>
              <w:spacing w:after="120"/>
              <w:jc w:val="both"/>
              <w:rPr>
                <w:rFonts w:ascii="Arial" w:hAnsi="Arial" w:cs="Arial"/>
              </w:rPr>
            </w:pPr>
            <w:r w:rsidRPr="00147CEB">
              <w:rPr>
                <w:rFonts w:ascii="Arial" w:hAnsi="Arial" w:cs="Arial"/>
                <w:noProof/>
                <w:lang w:eastAsia="hu-HU"/>
              </w:rPr>
              <w:drawing>
                <wp:inline distT="0" distB="0" distL="0" distR="0" wp14:anchorId="2610325A" wp14:editId="56685AB2">
                  <wp:extent cx="2857500" cy="1955800"/>
                  <wp:effectExtent l="0" t="0" r="0" b="6350"/>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1955800"/>
                          </a:xfrm>
                          <a:prstGeom prst="rect">
                            <a:avLst/>
                          </a:prstGeom>
                          <a:noFill/>
                          <a:ln>
                            <a:noFill/>
                          </a:ln>
                        </pic:spPr>
                      </pic:pic>
                    </a:graphicData>
                  </a:graphic>
                </wp:inline>
              </w:drawing>
            </w:r>
          </w:p>
        </w:tc>
        <w:tc>
          <w:tcPr>
            <w:tcW w:w="4731" w:type="dxa"/>
          </w:tcPr>
          <w:p w14:paraId="7417281B" w14:textId="77777777" w:rsidR="001F0FB1" w:rsidRPr="003536D7" w:rsidRDefault="00D7547E" w:rsidP="00892C7E">
            <w:pPr>
              <w:keepNext/>
              <w:spacing w:after="120"/>
              <w:jc w:val="both"/>
              <w:rPr>
                <w:rFonts w:ascii="Arial" w:hAnsi="Arial" w:cs="Arial"/>
              </w:rPr>
            </w:pPr>
            <w:r w:rsidRPr="00D7547E">
              <w:rPr>
                <w:rFonts w:ascii="Arial" w:hAnsi="Arial" w:cs="Arial"/>
                <w:noProof/>
                <w:lang w:eastAsia="hu-HU"/>
              </w:rPr>
              <w:drawing>
                <wp:inline distT="0" distB="0" distL="0" distR="0" wp14:anchorId="7C6C3ABF" wp14:editId="5F16BAA7">
                  <wp:extent cx="2838450" cy="1949450"/>
                  <wp:effectExtent l="0" t="0" r="0" b="0"/>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450" cy="1949450"/>
                          </a:xfrm>
                          <a:prstGeom prst="rect">
                            <a:avLst/>
                          </a:prstGeom>
                          <a:noFill/>
                          <a:ln>
                            <a:noFill/>
                          </a:ln>
                        </pic:spPr>
                      </pic:pic>
                    </a:graphicData>
                  </a:graphic>
                </wp:inline>
              </w:drawing>
            </w:r>
          </w:p>
        </w:tc>
      </w:tr>
      <w:tr w:rsidR="001F0FB1" w:rsidRPr="003536D7" w14:paraId="19A70043" w14:textId="77777777" w:rsidTr="00892C7E">
        <w:tc>
          <w:tcPr>
            <w:tcW w:w="4716" w:type="dxa"/>
          </w:tcPr>
          <w:p w14:paraId="0B1F727C" w14:textId="77777777" w:rsidR="001F0FB1" w:rsidRPr="00A10369" w:rsidRDefault="001F0FB1" w:rsidP="001F0FB1">
            <w:pPr>
              <w:keepNext/>
              <w:spacing w:after="120"/>
              <w:jc w:val="both"/>
              <w:rPr>
                <w:rFonts w:ascii="Arial" w:hAnsi="Arial" w:cs="Arial"/>
                <w:i/>
                <w:color w:val="FF8500"/>
                <w:sz w:val="16"/>
                <w:szCs w:val="16"/>
              </w:rPr>
            </w:pPr>
            <w:r w:rsidRPr="00A10369">
              <w:rPr>
                <w:rFonts w:ascii="Arial" w:hAnsi="Arial" w:cs="Arial"/>
                <w:i/>
                <w:color w:val="FF8500"/>
                <w:sz w:val="16"/>
                <w:szCs w:val="16"/>
              </w:rPr>
              <w:t xml:space="preserve">Forrás: Eurostat, Takarékbank </w:t>
            </w:r>
            <w:r>
              <w:rPr>
                <w:rFonts w:ascii="Arial" w:hAnsi="Arial" w:cs="Arial"/>
                <w:i/>
                <w:color w:val="FF8500"/>
                <w:sz w:val="16"/>
                <w:szCs w:val="16"/>
              </w:rPr>
              <w:t>számítás</w:t>
            </w:r>
          </w:p>
        </w:tc>
        <w:tc>
          <w:tcPr>
            <w:tcW w:w="4731" w:type="dxa"/>
          </w:tcPr>
          <w:p w14:paraId="5077A94E" w14:textId="77777777" w:rsidR="001F0FB1" w:rsidRPr="00A10369" w:rsidRDefault="001F0FB1" w:rsidP="001F0FB1">
            <w:pPr>
              <w:keepNext/>
              <w:spacing w:after="120"/>
              <w:jc w:val="both"/>
              <w:rPr>
                <w:rFonts w:ascii="Arial" w:hAnsi="Arial" w:cs="Arial"/>
                <w:i/>
                <w:color w:val="FF8500"/>
                <w:sz w:val="16"/>
                <w:szCs w:val="16"/>
              </w:rPr>
            </w:pPr>
            <w:r w:rsidRPr="00A10369">
              <w:rPr>
                <w:rFonts w:ascii="Arial" w:hAnsi="Arial" w:cs="Arial"/>
                <w:i/>
                <w:color w:val="FF8500"/>
                <w:sz w:val="16"/>
                <w:szCs w:val="16"/>
              </w:rPr>
              <w:t xml:space="preserve">Forrás: Eurostat, Takarékbank </w:t>
            </w:r>
            <w:r>
              <w:rPr>
                <w:rFonts w:ascii="Arial" w:hAnsi="Arial" w:cs="Arial"/>
                <w:i/>
                <w:color w:val="FF8500"/>
                <w:sz w:val="16"/>
                <w:szCs w:val="16"/>
              </w:rPr>
              <w:t>számítás</w:t>
            </w:r>
          </w:p>
        </w:tc>
      </w:tr>
    </w:tbl>
    <w:p w14:paraId="36C1C589" w14:textId="77777777" w:rsidR="005C518C" w:rsidRPr="00FD658E" w:rsidRDefault="00F47355" w:rsidP="00F90BB0">
      <w:pPr>
        <w:spacing w:after="240" w:line="360" w:lineRule="auto"/>
        <w:jc w:val="both"/>
        <w:rPr>
          <w:rFonts w:ascii="Arial" w:hAnsi="Arial" w:cs="Arial"/>
          <w:sz w:val="20"/>
          <w:szCs w:val="20"/>
        </w:rPr>
      </w:pPr>
      <w:r>
        <w:rPr>
          <w:rFonts w:ascii="Arial" w:hAnsi="Arial" w:cs="Arial"/>
          <w:sz w:val="20"/>
          <w:szCs w:val="20"/>
        </w:rPr>
        <w:t xml:space="preserve">  </w:t>
      </w:r>
      <w:r w:rsidR="005C518C" w:rsidRPr="00FD658E">
        <w:rPr>
          <w:rFonts w:ascii="Arial" w:hAnsi="Arial" w:cs="Arial"/>
          <w:b/>
          <w:sz w:val="20"/>
          <w:szCs w:val="20"/>
        </w:rPr>
        <w:t xml:space="preserve"> </w:t>
      </w:r>
    </w:p>
    <w:p w14:paraId="42C3DF47" w14:textId="77777777" w:rsidR="005C518C" w:rsidRPr="00FD658E" w:rsidRDefault="005C518C" w:rsidP="00316464">
      <w:pPr>
        <w:pStyle w:val="Alcmtbank"/>
      </w:pPr>
      <w:r w:rsidRPr="00FD658E">
        <w:t>Infláció</w:t>
      </w:r>
    </w:p>
    <w:p w14:paraId="6F597DB5" w14:textId="77777777" w:rsidR="005C518C" w:rsidRDefault="00D265F5" w:rsidP="00F90BB0">
      <w:pPr>
        <w:spacing w:after="240" w:line="360" w:lineRule="auto"/>
        <w:jc w:val="both"/>
        <w:rPr>
          <w:rFonts w:ascii="Arial" w:hAnsi="Arial" w:cs="Arial"/>
          <w:b/>
          <w:sz w:val="20"/>
          <w:szCs w:val="20"/>
        </w:rPr>
      </w:pPr>
      <w:r w:rsidRPr="00D265F5">
        <w:rPr>
          <w:rFonts w:ascii="Arial" w:hAnsi="Arial" w:cs="Arial"/>
          <w:b/>
          <w:bCs/>
          <w:sz w:val="20"/>
          <w:szCs w:val="20"/>
        </w:rPr>
        <w:t xml:space="preserve">7,4% maradt az infláció decemberben az igen széleskörű áremelkedés miatt, </w:t>
      </w:r>
      <w:r w:rsidRPr="00D265F5">
        <w:rPr>
          <w:rFonts w:ascii="Arial" w:hAnsi="Arial" w:cs="Arial"/>
          <w:bCs/>
          <w:sz w:val="20"/>
          <w:szCs w:val="20"/>
        </w:rPr>
        <w:t xml:space="preserve">mivel a dohánytermékek jövedéki adójának egy évvel ezelőtti emelésének hatása elkezdett kiesni a bázisból, valamint az üzemanyagárak egy évvel ezelőtti megugrása, illetve a november második felében bevezetett 480 forintos </w:t>
      </w:r>
      <w:proofErr w:type="spellStart"/>
      <w:r w:rsidRPr="00D265F5">
        <w:rPr>
          <w:rFonts w:ascii="Arial" w:hAnsi="Arial" w:cs="Arial"/>
          <w:bCs/>
          <w:sz w:val="20"/>
          <w:szCs w:val="20"/>
        </w:rPr>
        <w:t>árplafon</w:t>
      </w:r>
      <w:proofErr w:type="spellEnd"/>
      <w:r w:rsidRPr="00D265F5">
        <w:rPr>
          <w:rFonts w:ascii="Arial" w:hAnsi="Arial" w:cs="Arial"/>
          <w:bCs/>
          <w:sz w:val="20"/>
          <w:szCs w:val="20"/>
        </w:rPr>
        <w:t>, valamint az alá esése önmagában</w:t>
      </w:r>
      <w:r w:rsidRPr="00D265F5">
        <w:rPr>
          <w:rFonts w:ascii="Arial" w:hAnsi="Arial" w:cs="Arial"/>
          <w:b/>
          <w:bCs/>
          <w:sz w:val="20"/>
          <w:szCs w:val="20"/>
        </w:rPr>
        <w:t xml:space="preserve"> 0,8 százalékponttal mérsékelhette volna az inflációt. Az erősödő </w:t>
      </w:r>
      <w:proofErr w:type="spellStart"/>
      <w:r w:rsidRPr="00D265F5">
        <w:rPr>
          <w:rFonts w:ascii="Arial" w:hAnsi="Arial" w:cs="Arial"/>
          <w:b/>
          <w:bCs/>
          <w:sz w:val="20"/>
          <w:szCs w:val="20"/>
        </w:rPr>
        <w:t>árnyomást</w:t>
      </w:r>
      <w:proofErr w:type="spellEnd"/>
      <w:r w:rsidRPr="00D265F5">
        <w:rPr>
          <w:rFonts w:ascii="Arial" w:hAnsi="Arial" w:cs="Arial"/>
          <w:b/>
          <w:bCs/>
          <w:sz w:val="20"/>
          <w:szCs w:val="20"/>
        </w:rPr>
        <w:t xml:space="preserve"> tükrözi, hogy a maginfláció 6,4%-</w:t>
      </w:r>
      <w:proofErr w:type="spellStart"/>
      <w:r w:rsidRPr="00D265F5">
        <w:rPr>
          <w:rFonts w:ascii="Arial" w:hAnsi="Arial" w:cs="Arial"/>
          <w:b/>
          <w:bCs/>
          <w:sz w:val="20"/>
          <w:szCs w:val="20"/>
        </w:rPr>
        <w:t>ra</w:t>
      </w:r>
      <w:proofErr w:type="spellEnd"/>
      <w:r w:rsidRPr="00D265F5">
        <w:rPr>
          <w:rFonts w:ascii="Arial" w:hAnsi="Arial" w:cs="Arial"/>
          <w:b/>
          <w:bCs/>
          <w:sz w:val="20"/>
          <w:szCs w:val="20"/>
        </w:rPr>
        <w:t xml:space="preserve"> ugrott, </w:t>
      </w:r>
      <w:r w:rsidRPr="00D265F5">
        <w:rPr>
          <w:rFonts w:ascii="Arial" w:hAnsi="Arial" w:cs="Arial"/>
          <w:bCs/>
          <w:sz w:val="20"/>
          <w:szCs w:val="20"/>
        </w:rPr>
        <w:t>ami bőven felülmúlta a várakozásokat.</w:t>
      </w:r>
      <w:r w:rsidRPr="00D265F5">
        <w:rPr>
          <w:rFonts w:ascii="Arial" w:hAnsi="Arial" w:cs="Arial"/>
          <w:b/>
          <w:bCs/>
          <w:sz w:val="20"/>
          <w:szCs w:val="20"/>
        </w:rPr>
        <w:t xml:space="preserve"> A meglepetést a</w:t>
      </w:r>
      <w:r>
        <w:rPr>
          <w:rFonts w:ascii="Arial" w:hAnsi="Arial" w:cs="Arial"/>
          <w:b/>
          <w:bCs/>
          <w:sz w:val="20"/>
          <w:szCs w:val="20"/>
        </w:rPr>
        <w:t>z élelmiszerek és tartós fogyasz</w:t>
      </w:r>
      <w:r w:rsidRPr="00D265F5">
        <w:rPr>
          <w:rFonts w:ascii="Arial" w:hAnsi="Arial" w:cs="Arial"/>
          <w:b/>
          <w:bCs/>
          <w:sz w:val="20"/>
          <w:szCs w:val="20"/>
        </w:rPr>
        <w:t xml:space="preserve">tási cikkek vártnál lényegesen gyorsabb áremelkedése okozta. </w:t>
      </w:r>
      <w:r w:rsidRPr="00D265F5">
        <w:rPr>
          <w:rFonts w:ascii="Arial" w:hAnsi="Arial" w:cs="Arial"/>
          <w:bCs/>
          <w:sz w:val="20"/>
          <w:szCs w:val="20"/>
        </w:rPr>
        <w:t xml:space="preserve">Az egyre tartósabbnak ígérkező magas infláció miatt szükséges volt a kamatemelési ciklus elindítása, ráadásul még számos felfelé mutató kockázatot jelentenek a nyersanyagárak másodkörös hatásai, az </w:t>
      </w:r>
      <w:proofErr w:type="spellStart"/>
      <w:r w:rsidRPr="00D265F5">
        <w:rPr>
          <w:rFonts w:ascii="Arial" w:hAnsi="Arial" w:cs="Arial"/>
          <w:bCs/>
          <w:sz w:val="20"/>
          <w:szCs w:val="20"/>
        </w:rPr>
        <w:t>újranyitás</w:t>
      </w:r>
      <w:proofErr w:type="spellEnd"/>
      <w:r w:rsidRPr="00D265F5">
        <w:rPr>
          <w:rFonts w:ascii="Arial" w:hAnsi="Arial" w:cs="Arial"/>
          <w:bCs/>
          <w:sz w:val="20"/>
          <w:szCs w:val="20"/>
        </w:rPr>
        <w:t xml:space="preserve"> miatt felrobbanó kereslet, amit a kínálat lassabban tud követni, a munkaerőhiány miatt várhatóan érdemben megugró bérek, így az MNB a kamatemelési ciklus gyorsítására kényszerülhet.</w:t>
      </w:r>
      <w:r w:rsidRPr="00D265F5">
        <w:rPr>
          <w:rFonts w:ascii="Arial" w:hAnsi="Arial" w:cs="Arial"/>
          <w:b/>
          <w:bCs/>
          <w:sz w:val="20"/>
          <w:szCs w:val="20"/>
        </w:rPr>
        <w:t xml:space="preserve">  </w:t>
      </w:r>
      <w:r w:rsidRPr="00D265F5">
        <w:rPr>
          <w:rFonts w:ascii="Arial" w:hAnsi="Arial" w:cs="Arial"/>
          <w:bCs/>
          <w:sz w:val="20"/>
          <w:szCs w:val="20"/>
        </w:rPr>
        <w:t>Egyes alapvető élelmiszerek árainak rögzítése a következő hónapokban némileg mérsékelheti az inflációt, ugyanakkor</w:t>
      </w:r>
      <w:r w:rsidRPr="00D265F5">
        <w:rPr>
          <w:rFonts w:ascii="Arial" w:hAnsi="Arial" w:cs="Arial"/>
          <w:b/>
          <w:bCs/>
          <w:sz w:val="20"/>
          <w:szCs w:val="20"/>
        </w:rPr>
        <w:t xml:space="preserve"> a tőzsdei gázárak elszállásának még beláthatatlan következményei lehetnek. </w:t>
      </w:r>
      <w:r w:rsidRPr="00D265F5">
        <w:rPr>
          <w:rFonts w:ascii="Arial" w:hAnsi="Arial" w:cs="Arial"/>
          <w:bCs/>
          <w:sz w:val="20"/>
          <w:szCs w:val="20"/>
        </w:rPr>
        <w:t xml:space="preserve">Noha a hazai háztartási energiaárak feltehetően nem változnak a közeljövőben, a gázárak </w:t>
      </w:r>
      <w:proofErr w:type="spellStart"/>
      <w:r w:rsidRPr="00D265F5">
        <w:rPr>
          <w:rFonts w:ascii="Arial" w:hAnsi="Arial" w:cs="Arial"/>
          <w:bCs/>
          <w:sz w:val="20"/>
          <w:szCs w:val="20"/>
        </w:rPr>
        <w:t>megötszöröződése</w:t>
      </w:r>
      <w:proofErr w:type="spellEnd"/>
      <w:r w:rsidRPr="00D265F5">
        <w:rPr>
          <w:rFonts w:ascii="Arial" w:hAnsi="Arial" w:cs="Arial"/>
          <w:bCs/>
          <w:sz w:val="20"/>
          <w:szCs w:val="20"/>
        </w:rPr>
        <w:t xml:space="preserve">, az áramárak </w:t>
      </w:r>
      <w:proofErr w:type="spellStart"/>
      <w:r w:rsidRPr="00D265F5">
        <w:rPr>
          <w:rFonts w:ascii="Arial" w:hAnsi="Arial" w:cs="Arial"/>
          <w:bCs/>
          <w:sz w:val="20"/>
          <w:szCs w:val="20"/>
        </w:rPr>
        <w:t>megháromszorozódása</w:t>
      </w:r>
      <w:proofErr w:type="spellEnd"/>
      <w:r w:rsidRPr="00D265F5">
        <w:rPr>
          <w:rFonts w:ascii="Arial" w:hAnsi="Arial" w:cs="Arial"/>
          <w:b/>
          <w:bCs/>
          <w:sz w:val="20"/>
          <w:szCs w:val="20"/>
        </w:rPr>
        <w:t xml:space="preserve"> számos ágazatban, és szinte minden ipari folyamatban megjelenhet, </w:t>
      </w:r>
      <w:r w:rsidRPr="00D265F5">
        <w:rPr>
          <w:rFonts w:ascii="Arial" w:hAnsi="Arial" w:cs="Arial"/>
          <w:bCs/>
          <w:sz w:val="20"/>
          <w:szCs w:val="20"/>
        </w:rPr>
        <w:t xml:space="preserve">így a pékáruktól az élelmiszertermeléshez szükséges </w:t>
      </w:r>
      <w:proofErr w:type="gramStart"/>
      <w:r w:rsidRPr="00D265F5">
        <w:rPr>
          <w:rFonts w:ascii="Arial" w:hAnsi="Arial" w:cs="Arial"/>
          <w:bCs/>
          <w:sz w:val="20"/>
          <w:szCs w:val="20"/>
        </w:rPr>
        <w:t>műtrágyáig  jelentős</w:t>
      </w:r>
      <w:proofErr w:type="gramEnd"/>
      <w:r w:rsidRPr="00D265F5">
        <w:rPr>
          <w:rFonts w:ascii="Arial" w:hAnsi="Arial" w:cs="Arial"/>
          <w:bCs/>
          <w:sz w:val="20"/>
          <w:szCs w:val="20"/>
        </w:rPr>
        <w:t xml:space="preserve"> mértékű drágulást okozhat. Az inflációban ugyanakkor hangsúlyosan jelen vannak</w:t>
      </w:r>
      <w:r w:rsidRPr="00D265F5">
        <w:rPr>
          <w:rFonts w:ascii="Arial" w:hAnsi="Arial" w:cs="Arial"/>
          <w:b/>
          <w:bCs/>
          <w:sz w:val="20"/>
          <w:szCs w:val="20"/>
        </w:rPr>
        <w:t xml:space="preserve"> egyszeri tényezők is, </w:t>
      </w:r>
      <w:r w:rsidRPr="00D265F5">
        <w:rPr>
          <w:rFonts w:ascii="Arial" w:hAnsi="Arial" w:cs="Arial"/>
          <w:bCs/>
          <w:sz w:val="20"/>
          <w:szCs w:val="20"/>
        </w:rPr>
        <w:t xml:space="preserve">mint a dohánytermékek jövedéki adóemelése, ami önmagában 1,2 százalékponttal növelte az inflációt, a tavalyi év végétől idén áprilisig pedig két lépésben ugyanennyivel vissza fogja húzni az inflációt, ezért </w:t>
      </w:r>
      <w:r w:rsidRPr="00D265F5">
        <w:rPr>
          <w:rFonts w:ascii="Arial" w:hAnsi="Arial" w:cs="Arial"/>
          <w:b/>
          <w:bCs/>
          <w:sz w:val="20"/>
          <w:szCs w:val="20"/>
        </w:rPr>
        <w:t xml:space="preserve">az idei év végére már visszatérhet az infláció a toleranciasáv felső széle, 4% alá. </w:t>
      </w:r>
      <w:r w:rsidRPr="00D265F5">
        <w:rPr>
          <w:rFonts w:ascii="Arial" w:hAnsi="Arial" w:cs="Arial"/>
          <w:bCs/>
          <w:sz w:val="20"/>
          <w:szCs w:val="20"/>
        </w:rPr>
        <w:t xml:space="preserve">Ugyanakkor az előbb említett kockázatok hosszabb távú hatással járhatnak. </w:t>
      </w:r>
      <w:r w:rsidR="00F17054" w:rsidRPr="00F17054">
        <w:rPr>
          <w:rFonts w:ascii="Arial" w:hAnsi="Arial" w:cs="Arial"/>
          <w:bCs/>
          <w:sz w:val="20"/>
          <w:szCs w:val="20"/>
        </w:rPr>
        <w:t xml:space="preserve"> </w:t>
      </w:r>
      <w:r w:rsidR="005C518C" w:rsidRPr="00460A2D">
        <w:rPr>
          <w:rFonts w:ascii="Arial" w:hAnsi="Arial" w:cs="Arial"/>
          <w:b/>
          <w:sz w:val="20"/>
          <w:szCs w:val="20"/>
        </w:rPr>
        <w:t xml:space="preserve"> </w:t>
      </w:r>
    </w:p>
    <w:tbl>
      <w:tblPr>
        <w:tblW w:w="9804" w:type="dxa"/>
        <w:tblLook w:val="01E0" w:firstRow="1" w:lastRow="1" w:firstColumn="1" w:lastColumn="1" w:noHBand="0" w:noVBand="0"/>
      </w:tblPr>
      <w:tblGrid>
        <w:gridCol w:w="4686"/>
        <w:gridCol w:w="222"/>
        <w:gridCol w:w="4896"/>
      </w:tblGrid>
      <w:tr w:rsidR="00B673C3" w:rsidRPr="00FD658E" w14:paraId="0C2D1B75" w14:textId="77777777" w:rsidTr="00DD33D9">
        <w:tc>
          <w:tcPr>
            <w:tcW w:w="4686" w:type="dxa"/>
          </w:tcPr>
          <w:p w14:paraId="57387D91" w14:textId="77777777" w:rsidR="00720614" w:rsidRPr="00FD658E" w:rsidRDefault="006A4321" w:rsidP="00892C7E">
            <w:pPr>
              <w:jc w:val="center"/>
              <w:rPr>
                <w:rFonts w:ascii="Arial" w:hAnsi="Arial" w:cs="Arial"/>
                <w:b/>
                <w:color w:val="FF8500"/>
              </w:rPr>
            </w:pPr>
            <w:r>
              <w:rPr>
                <w:rFonts w:ascii="Arial" w:hAnsi="Arial" w:cs="Arial"/>
                <w:b/>
                <w:color w:val="FF8500"/>
              </w:rPr>
              <w:lastRenderedPageBreak/>
              <w:t>11</w:t>
            </w:r>
            <w:r w:rsidR="00720614" w:rsidRPr="00FD658E">
              <w:rPr>
                <w:rFonts w:ascii="Arial" w:hAnsi="Arial" w:cs="Arial"/>
                <w:b/>
                <w:color w:val="FF8500"/>
              </w:rPr>
              <w:t xml:space="preserve">. ábra: </w:t>
            </w:r>
            <w:r w:rsidR="00720614" w:rsidRPr="00316464">
              <w:rPr>
                <w:rFonts w:ascii="Arial" w:hAnsi="Arial" w:cs="Arial"/>
                <w:bCs/>
                <w:color w:val="FF8500"/>
              </w:rPr>
              <w:t>A 12-havi infláció alakulása</w:t>
            </w:r>
            <w:r w:rsidR="00720614" w:rsidRPr="00FD658E">
              <w:rPr>
                <w:rFonts w:ascii="Arial" w:hAnsi="Arial" w:cs="Arial"/>
                <w:b/>
                <w:color w:val="FF8500"/>
              </w:rPr>
              <w:t xml:space="preserve"> </w:t>
            </w:r>
            <w:r w:rsidR="00720614">
              <w:rPr>
                <w:rFonts w:ascii="Arial" w:hAnsi="Arial" w:cs="Arial"/>
                <w:b/>
                <w:color w:val="FF8500"/>
              </w:rPr>
              <w:br/>
            </w:r>
            <w:r w:rsidR="00720614" w:rsidRPr="00FD658E">
              <w:rPr>
                <w:rFonts w:ascii="Arial" w:hAnsi="Arial" w:cs="Arial"/>
                <w:color w:val="FF8500"/>
              </w:rPr>
              <w:t>(</w:t>
            </w:r>
            <w:proofErr w:type="spellStart"/>
            <w:r w:rsidR="00720614" w:rsidRPr="00FD658E">
              <w:rPr>
                <w:rFonts w:ascii="Arial" w:hAnsi="Arial" w:cs="Arial"/>
                <w:color w:val="FF8500"/>
              </w:rPr>
              <w:t>növ</w:t>
            </w:r>
            <w:proofErr w:type="spellEnd"/>
            <w:r w:rsidR="00720614" w:rsidRPr="00FD658E">
              <w:rPr>
                <w:rFonts w:ascii="Arial" w:hAnsi="Arial" w:cs="Arial"/>
                <w:color w:val="FF8500"/>
              </w:rPr>
              <w:t>. ütem %-ban)</w:t>
            </w:r>
          </w:p>
        </w:tc>
        <w:tc>
          <w:tcPr>
            <w:tcW w:w="222" w:type="dxa"/>
          </w:tcPr>
          <w:p w14:paraId="2D360469" w14:textId="77777777" w:rsidR="00720614" w:rsidRPr="00FD658E" w:rsidRDefault="00720614" w:rsidP="00892C7E">
            <w:pPr>
              <w:spacing w:after="120"/>
              <w:jc w:val="center"/>
              <w:rPr>
                <w:rFonts w:ascii="Arial" w:hAnsi="Arial" w:cs="Arial"/>
                <w:b/>
                <w:color w:val="FF8500"/>
              </w:rPr>
            </w:pPr>
          </w:p>
        </w:tc>
        <w:tc>
          <w:tcPr>
            <w:tcW w:w="4896" w:type="dxa"/>
          </w:tcPr>
          <w:p w14:paraId="0C53F6BB" w14:textId="77777777" w:rsidR="00720614" w:rsidRPr="00FD658E" w:rsidRDefault="006A4321" w:rsidP="00892C7E">
            <w:pPr>
              <w:spacing w:after="120"/>
              <w:jc w:val="center"/>
              <w:rPr>
                <w:rFonts w:ascii="Arial" w:hAnsi="Arial" w:cs="Arial"/>
                <w:b/>
                <w:color w:val="FF8500"/>
              </w:rPr>
            </w:pPr>
            <w:r>
              <w:rPr>
                <w:rFonts w:ascii="Arial" w:hAnsi="Arial" w:cs="Arial"/>
                <w:b/>
                <w:color w:val="FF8500"/>
              </w:rPr>
              <w:t>12</w:t>
            </w:r>
            <w:r w:rsidR="00720614" w:rsidRPr="00FD658E">
              <w:rPr>
                <w:rFonts w:ascii="Arial" w:hAnsi="Arial" w:cs="Arial"/>
                <w:b/>
                <w:color w:val="FF8500"/>
              </w:rPr>
              <w:t xml:space="preserve">. ábra: </w:t>
            </w:r>
            <w:r w:rsidR="00720614" w:rsidRPr="00316464">
              <w:rPr>
                <w:rFonts w:ascii="Arial" w:hAnsi="Arial" w:cs="Arial"/>
                <w:bCs/>
                <w:color w:val="FF8500"/>
              </w:rPr>
              <w:t>A fogyasztói árindex felbontása</w:t>
            </w:r>
          </w:p>
        </w:tc>
      </w:tr>
      <w:tr w:rsidR="00B673C3" w:rsidRPr="003536D7" w14:paraId="151D1880" w14:textId="77777777" w:rsidTr="00DD33D9">
        <w:tc>
          <w:tcPr>
            <w:tcW w:w="4686" w:type="dxa"/>
          </w:tcPr>
          <w:p w14:paraId="398321D5" w14:textId="77777777" w:rsidR="00720614" w:rsidRPr="003536D7" w:rsidRDefault="007D26AB" w:rsidP="00892C7E">
            <w:pPr>
              <w:spacing w:after="120"/>
              <w:jc w:val="both"/>
              <w:rPr>
                <w:rFonts w:ascii="Arial" w:hAnsi="Arial" w:cs="Arial"/>
              </w:rPr>
            </w:pPr>
            <w:r w:rsidRPr="007D26AB">
              <w:rPr>
                <w:rFonts w:ascii="Arial" w:hAnsi="Arial" w:cs="Arial"/>
                <w:noProof/>
                <w:lang w:eastAsia="hu-HU"/>
              </w:rPr>
              <w:drawing>
                <wp:inline distT="0" distB="0" distL="0" distR="0" wp14:anchorId="06038FE2" wp14:editId="51B38434">
                  <wp:extent cx="2832100" cy="1924050"/>
                  <wp:effectExtent l="0" t="0" r="635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2100" cy="1924050"/>
                          </a:xfrm>
                          <a:prstGeom prst="rect">
                            <a:avLst/>
                          </a:prstGeom>
                          <a:noFill/>
                          <a:ln>
                            <a:noFill/>
                          </a:ln>
                        </pic:spPr>
                      </pic:pic>
                    </a:graphicData>
                  </a:graphic>
                </wp:inline>
              </w:drawing>
            </w:r>
          </w:p>
        </w:tc>
        <w:tc>
          <w:tcPr>
            <w:tcW w:w="222" w:type="dxa"/>
          </w:tcPr>
          <w:p w14:paraId="76B5C968" w14:textId="77777777" w:rsidR="00720614" w:rsidRDefault="00720614" w:rsidP="00892C7E">
            <w:pPr>
              <w:spacing w:after="120"/>
              <w:jc w:val="both"/>
              <w:rPr>
                <w:rFonts w:ascii="Arial" w:hAnsi="Arial" w:cs="Arial"/>
                <w:noProof/>
                <w:lang w:eastAsia="hu-HU"/>
              </w:rPr>
            </w:pPr>
          </w:p>
        </w:tc>
        <w:tc>
          <w:tcPr>
            <w:tcW w:w="4896" w:type="dxa"/>
          </w:tcPr>
          <w:p w14:paraId="36FCA39A" w14:textId="77777777" w:rsidR="00720614" w:rsidRPr="003536D7" w:rsidRDefault="007D26AB" w:rsidP="00892C7E">
            <w:pPr>
              <w:spacing w:after="120"/>
              <w:jc w:val="both"/>
              <w:rPr>
                <w:rFonts w:ascii="Arial" w:hAnsi="Arial" w:cs="Arial"/>
              </w:rPr>
            </w:pPr>
            <w:r w:rsidRPr="007D26AB">
              <w:rPr>
                <w:rFonts w:ascii="Arial" w:hAnsi="Arial" w:cs="Arial"/>
                <w:noProof/>
                <w:lang w:eastAsia="hu-HU"/>
              </w:rPr>
              <w:drawing>
                <wp:inline distT="0" distB="0" distL="0" distR="0" wp14:anchorId="6EE39415" wp14:editId="2BB4D7A0">
                  <wp:extent cx="2964201" cy="1967343"/>
                  <wp:effectExtent l="0" t="0" r="762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061" cy="1971896"/>
                          </a:xfrm>
                          <a:prstGeom prst="rect">
                            <a:avLst/>
                          </a:prstGeom>
                          <a:noFill/>
                          <a:ln>
                            <a:noFill/>
                          </a:ln>
                        </pic:spPr>
                      </pic:pic>
                    </a:graphicData>
                  </a:graphic>
                </wp:inline>
              </w:drawing>
            </w:r>
          </w:p>
        </w:tc>
      </w:tr>
      <w:tr w:rsidR="00B673C3" w:rsidRPr="003536D7" w14:paraId="2D823D48" w14:textId="77777777" w:rsidTr="00DD33D9">
        <w:tc>
          <w:tcPr>
            <w:tcW w:w="4686" w:type="dxa"/>
          </w:tcPr>
          <w:p w14:paraId="184199E7" w14:textId="77777777" w:rsidR="00720614" w:rsidRPr="003536D7" w:rsidRDefault="00720614" w:rsidP="00892C7E">
            <w:pPr>
              <w:pStyle w:val="Kpalrstbank"/>
            </w:pPr>
            <w:r w:rsidRPr="003536D7">
              <w:t>Forrás: KSH, Takarékbank előrejelzés (árnyékolt terület)</w:t>
            </w:r>
          </w:p>
        </w:tc>
        <w:tc>
          <w:tcPr>
            <w:tcW w:w="222" w:type="dxa"/>
          </w:tcPr>
          <w:p w14:paraId="27B9FDA0" w14:textId="77777777" w:rsidR="00720614" w:rsidRPr="003536D7" w:rsidRDefault="00720614" w:rsidP="00892C7E">
            <w:pPr>
              <w:pStyle w:val="Kpalrstbank"/>
            </w:pPr>
          </w:p>
        </w:tc>
        <w:tc>
          <w:tcPr>
            <w:tcW w:w="4896" w:type="dxa"/>
          </w:tcPr>
          <w:p w14:paraId="25439A46" w14:textId="77777777" w:rsidR="00720614" w:rsidRPr="003536D7" w:rsidRDefault="00720614" w:rsidP="00892C7E">
            <w:pPr>
              <w:pStyle w:val="Kpalrstbank"/>
            </w:pPr>
            <w:r w:rsidRPr="003536D7">
              <w:t>Forrás: KSH, Takarékbank előrejelzés (árnyékolt terület)</w:t>
            </w:r>
          </w:p>
        </w:tc>
      </w:tr>
    </w:tbl>
    <w:p w14:paraId="7875C26D" w14:textId="77777777" w:rsidR="00FD658E" w:rsidRDefault="00DD33D9" w:rsidP="00F90BB0">
      <w:pPr>
        <w:spacing w:after="180" w:line="360" w:lineRule="auto"/>
        <w:jc w:val="both"/>
        <w:rPr>
          <w:rFonts w:ascii="Arial" w:hAnsi="Arial" w:cs="Arial"/>
          <w:bCs/>
          <w:sz w:val="20"/>
          <w:szCs w:val="20"/>
        </w:rPr>
      </w:pPr>
      <w:r w:rsidRPr="00DD33D9">
        <w:rPr>
          <w:rFonts w:ascii="Arial" w:hAnsi="Arial" w:cs="Arial"/>
          <w:bCs/>
          <w:sz w:val="20"/>
          <w:szCs w:val="20"/>
        </w:rPr>
        <w:t xml:space="preserve">A következő hónapokban </w:t>
      </w:r>
      <w:r w:rsidRPr="00DD33D9">
        <w:rPr>
          <w:rFonts w:ascii="Arial" w:hAnsi="Arial" w:cs="Arial"/>
          <w:b/>
          <w:bCs/>
          <w:sz w:val="20"/>
          <w:szCs w:val="20"/>
        </w:rPr>
        <w:t>bázishatások miatt már mérséklődhet az infláció</w:t>
      </w:r>
      <w:r w:rsidRPr="00DD33D9">
        <w:rPr>
          <w:rFonts w:ascii="Arial" w:hAnsi="Arial" w:cs="Arial"/>
          <w:bCs/>
          <w:sz w:val="20"/>
          <w:szCs w:val="20"/>
        </w:rPr>
        <w:t xml:space="preserve">, azonban a számos terméket érintő nemzetközi hatások miatt messze </w:t>
      </w:r>
      <w:r w:rsidRPr="00DD33D9">
        <w:rPr>
          <w:rFonts w:ascii="Arial" w:hAnsi="Arial" w:cs="Arial"/>
          <w:b/>
          <w:bCs/>
          <w:sz w:val="20"/>
          <w:szCs w:val="20"/>
        </w:rPr>
        <w:t>magasabb lesz</w:t>
      </w:r>
      <w:r w:rsidRPr="00DD33D9">
        <w:rPr>
          <w:rFonts w:ascii="Arial" w:hAnsi="Arial" w:cs="Arial"/>
          <w:bCs/>
          <w:sz w:val="20"/>
          <w:szCs w:val="20"/>
        </w:rPr>
        <w:t xml:space="preserve">, mint amire korábban számítani lehetett. A vártnál jóval szélesebb körű, és meredekebb áremelkedések hatására </w:t>
      </w:r>
      <w:r w:rsidRPr="00DD33D9">
        <w:rPr>
          <w:rFonts w:ascii="Arial" w:hAnsi="Arial" w:cs="Arial"/>
          <w:b/>
          <w:bCs/>
          <w:sz w:val="20"/>
          <w:szCs w:val="20"/>
        </w:rPr>
        <w:t>az idei inflációs várakozásunkat 5%-</w:t>
      </w:r>
      <w:proofErr w:type="spellStart"/>
      <w:r w:rsidRPr="00DD33D9">
        <w:rPr>
          <w:rFonts w:ascii="Arial" w:hAnsi="Arial" w:cs="Arial"/>
          <w:b/>
          <w:bCs/>
          <w:sz w:val="20"/>
          <w:szCs w:val="20"/>
        </w:rPr>
        <w:t>ról</w:t>
      </w:r>
      <w:proofErr w:type="spellEnd"/>
      <w:r w:rsidRPr="00DD33D9">
        <w:rPr>
          <w:rFonts w:ascii="Arial" w:hAnsi="Arial" w:cs="Arial"/>
          <w:b/>
          <w:bCs/>
          <w:sz w:val="20"/>
          <w:szCs w:val="20"/>
        </w:rPr>
        <w:t xml:space="preserve"> 5,5%-</w:t>
      </w:r>
      <w:proofErr w:type="spellStart"/>
      <w:r w:rsidRPr="00DD33D9">
        <w:rPr>
          <w:rFonts w:ascii="Arial" w:hAnsi="Arial" w:cs="Arial"/>
          <w:b/>
          <w:bCs/>
          <w:sz w:val="20"/>
          <w:szCs w:val="20"/>
        </w:rPr>
        <w:t>ra</w:t>
      </w:r>
      <w:proofErr w:type="spellEnd"/>
      <w:r w:rsidRPr="00DD33D9">
        <w:rPr>
          <w:rFonts w:ascii="Arial" w:hAnsi="Arial" w:cs="Arial"/>
          <w:b/>
          <w:bCs/>
          <w:sz w:val="20"/>
          <w:szCs w:val="20"/>
        </w:rPr>
        <w:t xml:space="preserve"> emeljük,</w:t>
      </w:r>
      <w:r w:rsidRPr="00DD33D9">
        <w:rPr>
          <w:rFonts w:ascii="Arial" w:hAnsi="Arial" w:cs="Arial"/>
          <w:bCs/>
          <w:sz w:val="20"/>
          <w:szCs w:val="20"/>
        </w:rPr>
        <w:t xml:space="preserve"> továbbra is </w:t>
      </w:r>
      <w:r>
        <w:rPr>
          <w:rFonts w:ascii="Arial" w:hAnsi="Arial" w:cs="Arial"/>
          <w:bCs/>
          <w:sz w:val="20"/>
          <w:szCs w:val="20"/>
        </w:rPr>
        <w:t>jelentős</w:t>
      </w:r>
      <w:r w:rsidRPr="00DD33D9">
        <w:rPr>
          <w:rFonts w:ascii="Arial" w:hAnsi="Arial" w:cs="Arial"/>
          <w:bCs/>
          <w:sz w:val="20"/>
          <w:szCs w:val="20"/>
        </w:rPr>
        <w:t xml:space="preserve"> felfelé mutató kockázatokkal, amit a globális alapanyag-, nyersanyag-, alkatrészhiány, a nemzetközi szállítási árak elszállása és a globális energiaválság okoz. Az inflációra emellett a jelentős béremelések, a bérköltségek érdemi növekedése, a lakosság többletjövedelmei miatt várható keresletélénkülés is kockázatot jelent.</w:t>
      </w:r>
    </w:p>
    <w:p w14:paraId="58B0D68B" w14:textId="77777777" w:rsidR="00DD44F6" w:rsidRPr="00460A2D" w:rsidRDefault="00DD44F6" w:rsidP="00F90BB0">
      <w:pPr>
        <w:spacing w:after="180" w:line="360" w:lineRule="auto"/>
        <w:jc w:val="both"/>
        <w:rPr>
          <w:rFonts w:ascii="Arial" w:hAnsi="Arial" w:cs="Arial"/>
          <w:sz w:val="20"/>
          <w:szCs w:val="20"/>
        </w:rPr>
      </w:pPr>
      <w:r w:rsidRPr="00DD44F6">
        <w:rPr>
          <w:rFonts w:ascii="Arial" w:hAnsi="Arial" w:cs="Arial"/>
          <w:sz w:val="20"/>
          <w:szCs w:val="20"/>
        </w:rPr>
        <w:t xml:space="preserve">A tavalyi év elején mérsékelte az inflációt a sertéspestis következtében elszálló sertéshúsárak kiesése a bázisból, valamint a sertéshúsárak csökkenése. Ezzel szemben az előző év elejéhez képest lényegesen gyengébb forint erősítette az inflációt, ami látszik a tartós fogyasztási cikkek esetében, az új autók árának emelkedését azonban a lényegesen magasabb műszaki tartalom is befolyásolja, azonban a faárak elszállása már érezteti hatását a bútorárakban is. A tartós fogyasztási cikkek árait jelentőse növeli a nyersanyagárak elszállása, az alkatrészhiány, a szállítási költségek elszállása is. A széleskörű áremelkedést tükrözi, hogy időjárási tényezők, a klímaváltozás, a zöldátállás, valamint egyes geopolitikai feszültségek miatt még a gyapot és a cellulóz ára is </w:t>
      </w:r>
      <w:proofErr w:type="spellStart"/>
      <w:r w:rsidRPr="00DD44F6">
        <w:rPr>
          <w:rFonts w:ascii="Arial" w:hAnsi="Arial" w:cs="Arial"/>
          <w:sz w:val="20"/>
          <w:szCs w:val="20"/>
        </w:rPr>
        <w:t>elszállt</w:t>
      </w:r>
      <w:proofErr w:type="spellEnd"/>
      <w:r w:rsidRPr="00DD44F6">
        <w:rPr>
          <w:rFonts w:ascii="Arial" w:hAnsi="Arial" w:cs="Arial"/>
          <w:sz w:val="20"/>
          <w:szCs w:val="20"/>
        </w:rPr>
        <w:t xml:space="preserve">, ami a ruházati és papírtermékek árát fogja érdemben növelni. A lakbérek és más piaci szolgáltatások </w:t>
      </w:r>
      <w:proofErr w:type="spellStart"/>
      <w:r w:rsidRPr="00DD44F6">
        <w:rPr>
          <w:rFonts w:ascii="Arial" w:hAnsi="Arial" w:cs="Arial"/>
          <w:sz w:val="20"/>
          <w:szCs w:val="20"/>
        </w:rPr>
        <w:t>árnövekedése</w:t>
      </w:r>
      <w:proofErr w:type="spellEnd"/>
      <w:r w:rsidRPr="00DD44F6">
        <w:rPr>
          <w:rFonts w:ascii="Arial" w:hAnsi="Arial" w:cs="Arial"/>
          <w:sz w:val="20"/>
          <w:szCs w:val="20"/>
        </w:rPr>
        <w:t xml:space="preserve"> is gyorsul. Az üdülési szolgáltatások árait jelentősen mérsékelték a járvány második hulláma miatt meghozott újabb utazási korlátozások és az idegenforgalom ismételt zuhanása, míg a korlátozások feloldása után érdemben növekedtek. Ellentétesen alakulnak az élelmiszerárak is, a sertés, és általában a húsárak az utóbbi néhány hónapban csökkentek, ugyanakkor a gabona- és takarmányárak elszállása előbb-utóbb megjelenik a fogyasztói árakban is.  A katasztrofális tavalyi gyümölcstermés miatt elszálltak a gyümölcsárak, ez azonban tavaly már kiesett a bázisból, a búzaárak emelkedése miatt azonban emelkedhetnek a lisztnagykereskedelmi és a pékáruk árai. A kínálati oldal gyengülése, kapacitások kiesése párosulva a felfutó kereslettel magasabb inflációhoz vezethet, ugyanakkor a folytatódó kamatemelési ciklus miatt a forint erősödhet, ami viszont mérsékelheti az inflációt.</w:t>
      </w:r>
    </w:p>
    <w:p w14:paraId="13237195" w14:textId="77777777" w:rsidR="005C518C" w:rsidRPr="00FD658E" w:rsidRDefault="00830AFF" w:rsidP="00F90BB0">
      <w:pPr>
        <w:spacing w:after="180" w:line="360" w:lineRule="auto"/>
        <w:jc w:val="both"/>
        <w:rPr>
          <w:rFonts w:ascii="Arial" w:hAnsi="Arial" w:cs="Arial"/>
          <w:sz w:val="20"/>
          <w:szCs w:val="20"/>
        </w:rPr>
      </w:pPr>
      <w:r w:rsidRPr="00830AFF">
        <w:rPr>
          <w:rFonts w:ascii="Arial" w:hAnsi="Arial" w:cs="Arial"/>
          <w:sz w:val="20"/>
          <w:szCs w:val="20"/>
        </w:rPr>
        <w:lastRenderedPageBreak/>
        <w:t xml:space="preserve">Egy év alatt </w:t>
      </w:r>
      <w:r w:rsidRPr="00830AFF">
        <w:rPr>
          <w:rFonts w:ascii="Arial" w:hAnsi="Arial" w:cs="Arial"/>
          <w:b/>
          <w:sz w:val="20"/>
          <w:szCs w:val="20"/>
        </w:rPr>
        <w:t>az élelmiszerek árai 8%-kal nőttek</w:t>
      </w:r>
      <w:r w:rsidRPr="00830AFF">
        <w:rPr>
          <w:rFonts w:ascii="Arial" w:hAnsi="Arial" w:cs="Arial"/>
          <w:sz w:val="20"/>
          <w:szCs w:val="20"/>
        </w:rPr>
        <w:t xml:space="preserve">, ami érdemi gyorsulás a tavaszi hónapokban mért 3% körüli növekedéshez képest. Ezen belül a Kínában kitört afrikai sertéspestis következtében a tavalyielőtti év végétől kiemelkedő mértékben dráguló a sertéshús árak novemberben 1,6%-kal csökkentek az előző év első hónapjaiban mért 28% körüli növekedéssel szemben, azonban a Németországban kitört sertéspestis miatt az unióban maradt húskínálat is lenyomta az árakat. A baromfihús árak azonban 13,4%-kal emelkedtek. A párizsi, kolbász árak 1%-kal nőttek, a szalámi, sonka árak pedig 0,1%-kal csökkentek. A tojás ára 9,4%-kal nőtt, a tej ára 12,1%-kal emelkedett, az étolaj 26,8%-kal, a liszté 23,7%-kal, a margariné 22,8%-kal, a munkahelyi étkezésé 9,9%-kal, az éttermi étkezésé 9,6%-kal emelkedett. Decemberben a kenyér 15,2%-kal, a cukor 9,4%-kal drágult, míg a gyümölcsök árai 3,6%-kal emelkedtek. A szeszes italok, dohányáruk ára átlagosan 8,9%-kal, ezen belül </w:t>
      </w:r>
      <w:r w:rsidRPr="00830AFF">
        <w:rPr>
          <w:rFonts w:ascii="Arial" w:hAnsi="Arial" w:cs="Arial"/>
          <w:b/>
          <w:sz w:val="20"/>
          <w:szCs w:val="20"/>
        </w:rPr>
        <w:t>a dohányáruké 12,7%-kal emelkedett</w:t>
      </w:r>
      <w:r w:rsidRPr="00830AFF">
        <w:rPr>
          <w:rFonts w:ascii="Arial" w:hAnsi="Arial" w:cs="Arial"/>
          <w:sz w:val="20"/>
          <w:szCs w:val="20"/>
        </w:rPr>
        <w:t xml:space="preserve">.  </w:t>
      </w:r>
      <w:r w:rsidRPr="00830AFF">
        <w:rPr>
          <w:rFonts w:ascii="Arial" w:hAnsi="Arial" w:cs="Arial"/>
          <w:b/>
          <w:sz w:val="20"/>
          <w:szCs w:val="20"/>
        </w:rPr>
        <w:t>A ruházkodási termékek árai 2,8%-kal nőttek, a tartós fogyasztási cikkek árai pedig 7,5%-kal emelkedtek,</w:t>
      </w:r>
      <w:r w:rsidRPr="00830AFF">
        <w:rPr>
          <w:rFonts w:ascii="Arial" w:hAnsi="Arial" w:cs="Arial"/>
          <w:sz w:val="20"/>
          <w:szCs w:val="20"/>
        </w:rPr>
        <w:t xml:space="preserve"> részben az új személygépkocsi árak 8,4%-os emelkedése – amit nagyrészben a jóval magasabb műszaki tartalom és a károsanyagkibocsátás költségeinek áthárítása magyaráz –, míg egyre erőteljesebben érezhető a forint tavalyi gyengülésének hatása is, amit tükröz, hogy több termékkategóriában is gyorsult az áremelkedés mértéke, amit a faárak miatt dráguló bútorok (a szobabútorok 14,5%-kal, a konyhabútorok 15,3%-kal drágultak), vagy a réz- és acélárak miatt dráguló tartós háztartási cikkek is fokoznak. </w:t>
      </w:r>
      <w:r w:rsidRPr="00830AFF">
        <w:rPr>
          <w:rFonts w:ascii="Arial" w:hAnsi="Arial" w:cs="Arial"/>
          <w:b/>
          <w:sz w:val="20"/>
          <w:szCs w:val="20"/>
        </w:rPr>
        <w:t>A háztartási energiaárak 1,2%-kal nőttek</w:t>
      </w:r>
      <w:r w:rsidRPr="00830AFF">
        <w:rPr>
          <w:rFonts w:ascii="Arial" w:hAnsi="Arial" w:cs="Arial"/>
          <w:sz w:val="20"/>
          <w:szCs w:val="20"/>
        </w:rPr>
        <w:t xml:space="preserve">, a szén (9,8%), a tűzifa (9%) és a palackos gáz árainak emelkedése miatt. </w:t>
      </w:r>
      <w:r w:rsidRPr="00830AFF">
        <w:rPr>
          <w:rFonts w:ascii="Arial" w:hAnsi="Arial" w:cs="Arial"/>
          <w:b/>
          <w:sz w:val="20"/>
          <w:szCs w:val="20"/>
        </w:rPr>
        <w:t>Az egyéb cikkek árai 11,7%-kal nőttek</w:t>
      </w:r>
      <w:r w:rsidRPr="00830AFF">
        <w:rPr>
          <w:rFonts w:ascii="Arial" w:hAnsi="Arial" w:cs="Arial"/>
          <w:sz w:val="20"/>
          <w:szCs w:val="20"/>
        </w:rPr>
        <w:t xml:space="preserve">, ezen belül az </w:t>
      </w:r>
      <w:r w:rsidRPr="00830AFF">
        <w:rPr>
          <w:rFonts w:ascii="Arial" w:hAnsi="Arial" w:cs="Arial"/>
          <w:b/>
          <w:sz w:val="20"/>
          <w:szCs w:val="20"/>
        </w:rPr>
        <w:t>üzemanyagárak 25,9%-kal emelkedtek</w:t>
      </w:r>
      <w:r w:rsidRPr="00830AFF">
        <w:rPr>
          <w:rFonts w:ascii="Arial" w:hAnsi="Arial" w:cs="Arial"/>
          <w:sz w:val="20"/>
          <w:szCs w:val="20"/>
        </w:rPr>
        <w:t xml:space="preserve"> az előző havi 37,7% után, de a kategórián belül szinte minden termék áremelkedése gyorsult. </w:t>
      </w:r>
      <w:r w:rsidRPr="00830AFF">
        <w:rPr>
          <w:rFonts w:ascii="Arial" w:hAnsi="Arial" w:cs="Arial"/>
          <w:b/>
          <w:sz w:val="20"/>
          <w:szCs w:val="20"/>
        </w:rPr>
        <w:t>5%-kal drágultak a szolgáltatások</w:t>
      </w:r>
      <w:r w:rsidRPr="00830AFF">
        <w:rPr>
          <w:rFonts w:ascii="Arial" w:hAnsi="Arial" w:cs="Arial"/>
          <w:sz w:val="20"/>
          <w:szCs w:val="20"/>
        </w:rPr>
        <w:t>, részben az alacsonyabb tavalyi bázis hatására, amit a parkolási díjak átmeneti felfüggesztése okozott, míg decemberben 4,6%-</w:t>
      </w:r>
      <w:proofErr w:type="spellStart"/>
      <w:r w:rsidRPr="00830AFF">
        <w:rPr>
          <w:rFonts w:ascii="Arial" w:hAnsi="Arial" w:cs="Arial"/>
          <w:sz w:val="20"/>
          <w:szCs w:val="20"/>
        </w:rPr>
        <w:t>ra</w:t>
      </w:r>
      <w:proofErr w:type="spellEnd"/>
      <w:r w:rsidRPr="00830AFF">
        <w:rPr>
          <w:rFonts w:ascii="Arial" w:hAnsi="Arial" w:cs="Arial"/>
          <w:sz w:val="20"/>
          <w:szCs w:val="20"/>
        </w:rPr>
        <w:t xml:space="preserve"> gyorsult az üdülési szolgáltatások </w:t>
      </w:r>
      <w:proofErr w:type="spellStart"/>
      <w:r w:rsidRPr="00830AFF">
        <w:rPr>
          <w:rFonts w:ascii="Arial" w:hAnsi="Arial" w:cs="Arial"/>
          <w:sz w:val="20"/>
          <w:szCs w:val="20"/>
        </w:rPr>
        <w:t>árnövekedési</w:t>
      </w:r>
      <w:proofErr w:type="spellEnd"/>
      <w:r w:rsidRPr="00830AFF">
        <w:rPr>
          <w:rFonts w:ascii="Arial" w:hAnsi="Arial" w:cs="Arial"/>
          <w:sz w:val="20"/>
          <w:szCs w:val="20"/>
        </w:rPr>
        <w:t xml:space="preserve"> üteme, ezen belül a belföldi árak 4,9%-kal, a külföldi utazások árai 3,6%-kal emelkedtek. Az albérleti piac lassú magára találása miatt 5,2%-</w:t>
      </w:r>
      <w:proofErr w:type="spellStart"/>
      <w:r w:rsidRPr="00830AFF">
        <w:rPr>
          <w:rFonts w:ascii="Arial" w:hAnsi="Arial" w:cs="Arial"/>
          <w:sz w:val="20"/>
          <w:szCs w:val="20"/>
        </w:rPr>
        <w:t>ra</w:t>
      </w:r>
      <w:proofErr w:type="spellEnd"/>
      <w:r w:rsidRPr="00830AFF">
        <w:rPr>
          <w:rFonts w:ascii="Arial" w:hAnsi="Arial" w:cs="Arial"/>
          <w:sz w:val="20"/>
          <w:szCs w:val="20"/>
        </w:rPr>
        <w:t xml:space="preserve"> gyorsult a lakbérek árainak növekedése decemberben. A lakásjavítás, karbantartás drágulása ugyanakkor továbbra is gyors, 14,5% volt, a háztartási szolgáltatásoké 9,1%, a járműjavításé pedig 9,6% volt decemberben.</w:t>
      </w:r>
    </w:p>
    <w:p w14:paraId="51C927DC" w14:textId="77777777" w:rsidR="005C518C" w:rsidRPr="003536D7" w:rsidRDefault="005C518C" w:rsidP="00316464">
      <w:pPr>
        <w:pStyle w:val="Alcmtbank"/>
      </w:pPr>
      <w:r w:rsidRPr="003536D7">
        <w:t>Monetáris politika, jegybanki alapkamat</w:t>
      </w:r>
    </w:p>
    <w:p w14:paraId="2D0B0EBF" w14:textId="77777777" w:rsidR="00E86D4B" w:rsidRDefault="005553B8" w:rsidP="00FD658E">
      <w:pPr>
        <w:spacing w:after="180" w:line="360" w:lineRule="auto"/>
        <w:jc w:val="both"/>
        <w:rPr>
          <w:rFonts w:ascii="Arial" w:hAnsi="Arial" w:cs="Arial"/>
          <w:sz w:val="20"/>
          <w:szCs w:val="20"/>
        </w:rPr>
      </w:pPr>
      <w:r w:rsidRPr="005553B8">
        <w:rPr>
          <w:rFonts w:ascii="Arial" w:hAnsi="Arial" w:cs="Arial"/>
          <w:b/>
          <w:sz w:val="20"/>
          <w:szCs w:val="20"/>
        </w:rPr>
        <w:t>2,40</w:t>
      </w:r>
      <w:r w:rsidR="00C2546C" w:rsidRPr="005553B8">
        <w:rPr>
          <w:rFonts w:ascii="Arial" w:hAnsi="Arial" w:cs="Arial"/>
          <w:b/>
          <w:sz w:val="20"/>
          <w:szCs w:val="20"/>
        </w:rPr>
        <w:t>%-</w:t>
      </w:r>
      <w:proofErr w:type="spellStart"/>
      <w:r w:rsidR="00C2546C" w:rsidRPr="00C2546C">
        <w:rPr>
          <w:rFonts w:ascii="Arial" w:hAnsi="Arial" w:cs="Arial"/>
          <w:b/>
          <w:sz w:val="20"/>
          <w:szCs w:val="20"/>
        </w:rPr>
        <w:t>ra</w:t>
      </w:r>
      <w:proofErr w:type="spellEnd"/>
      <w:r w:rsidR="00C2546C" w:rsidRPr="00C2546C">
        <w:rPr>
          <w:rFonts w:ascii="Arial" w:hAnsi="Arial" w:cs="Arial"/>
          <w:b/>
          <w:sz w:val="20"/>
          <w:szCs w:val="20"/>
        </w:rPr>
        <w:t xml:space="preserve"> emelkedett az alapkamat</w:t>
      </w:r>
      <w:r>
        <w:rPr>
          <w:rFonts w:ascii="Arial" w:hAnsi="Arial" w:cs="Arial"/>
          <w:b/>
          <w:sz w:val="20"/>
          <w:szCs w:val="20"/>
        </w:rPr>
        <w:t xml:space="preserve"> decemberben</w:t>
      </w:r>
      <w:r>
        <w:rPr>
          <w:rFonts w:ascii="Arial" w:hAnsi="Arial" w:cs="Arial"/>
          <w:sz w:val="20"/>
          <w:szCs w:val="20"/>
        </w:rPr>
        <w:t xml:space="preserve"> a</w:t>
      </w:r>
      <w:r w:rsidR="00C2546C" w:rsidRPr="00C2546C">
        <w:rPr>
          <w:rFonts w:ascii="Arial" w:hAnsi="Arial" w:cs="Arial"/>
          <w:sz w:val="20"/>
          <w:szCs w:val="20"/>
        </w:rPr>
        <w:t xml:space="preserve"> </w:t>
      </w:r>
      <w:r>
        <w:rPr>
          <w:rFonts w:ascii="Arial" w:hAnsi="Arial" w:cs="Arial"/>
          <w:sz w:val="20"/>
          <w:szCs w:val="20"/>
        </w:rPr>
        <w:t>korábbi 2,1</w:t>
      </w:r>
      <w:r w:rsidR="00C2546C" w:rsidRPr="00C2546C">
        <w:rPr>
          <w:rFonts w:ascii="Arial" w:hAnsi="Arial" w:cs="Arial"/>
          <w:sz w:val="20"/>
          <w:szCs w:val="20"/>
        </w:rPr>
        <w:t>0%-</w:t>
      </w:r>
      <w:proofErr w:type="spellStart"/>
      <w:r w:rsidR="00C2546C" w:rsidRPr="00C2546C">
        <w:rPr>
          <w:rFonts w:ascii="Arial" w:hAnsi="Arial" w:cs="Arial"/>
          <w:sz w:val="20"/>
          <w:szCs w:val="20"/>
        </w:rPr>
        <w:t>ról</w:t>
      </w:r>
      <w:proofErr w:type="spellEnd"/>
      <w:r w:rsidR="00C2546C" w:rsidRPr="00C2546C">
        <w:rPr>
          <w:rFonts w:ascii="Arial" w:hAnsi="Arial" w:cs="Arial"/>
          <w:sz w:val="20"/>
          <w:szCs w:val="20"/>
        </w:rPr>
        <w:t>, a Monetári</w:t>
      </w:r>
      <w:r w:rsidR="00C2546C">
        <w:rPr>
          <w:rFonts w:ascii="Arial" w:hAnsi="Arial" w:cs="Arial"/>
          <w:sz w:val="20"/>
          <w:szCs w:val="20"/>
        </w:rPr>
        <w:t xml:space="preserve">s Tanács </w:t>
      </w:r>
      <w:r w:rsidRPr="005553B8">
        <w:rPr>
          <w:rFonts w:ascii="Arial" w:hAnsi="Arial" w:cs="Arial"/>
          <w:sz w:val="20"/>
          <w:szCs w:val="20"/>
        </w:rPr>
        <w:t xml:space="preserve">emellett 80p-tal </w:t>
      </w:r>
      <w:r w:rsidRPr="005553B8">
        <w:rPr>
          <w:rFonts w:ascii="Arial" w:hAnsi="Arial" w:cs="Arial"/>
          <w:b/>
          <w:sz w:val="20"/>
          <w:szCs w:val="20"/>
        </w:rPr>
        <w:t>2,40%-</w:t>
      </w:r>
      <w:proofErr w:type="spellStart"/>
      <w:r w:rsidRPr="005553B8">
        <w:rPr>
          <w:rFonts w:ascii="Arial" w:hAnsi="Arial" w:cs="Arial"/>
          <w:b/>
          <w:sz w:val="20"/>
          <w:szCs w:val="20"/>
        </w:rPr>
        <w:t>ra</w:t>
      </w:r>
      <w:proofErr w:type="spellEnd"/>
      <w:r w:rsidRPr="005553B8">
        <w:rPr>
          <w:rFonts w:ascii="Arial" w:hAnsi="Arial" w:cs="Arial"/>
          <w:b/>
          <w:sz w:val="20"/>
          <w:szCs w:val="20"/>
        </w:rPr>
        <w:t xml:space="preserve"> emelte az egynapos betéti</w:t>
      </w:r>
      <w:r w:rsidRPr="005553B8">
        <w:rPr>
          <w:rFonts w:ascii="Arial" w:hAnsi="Arial" w:cs="Arial"/>
          <w:sz w:val="20"/>
          <w:szCs w:val="20"/>
        </w:rPr>
        <w:t xml:space="preserve">, valamint 30bp-tal </w:t>
      </w:r>
      <w:r w:rsidRPr="005553B8">
        <w:rPr>
          <w:rFonts w:ascii="Arial" w:hAnsi="Arial" w:cs="Arial"/>
          <w:b/>
          <w:sz w:val="20"/>
          <w:szCs w:val="20"/>
        </w:rPr>
        <w:t>4,40%-</w:t>
      </w:r>
      <w:proofErr w:type="spellStart"/>
      <w:r w:rsidRPr="005553B8">
        <w:rPr>
          <w:rFonts w:ascii="Arial" w:hAnsi="Arial" w:cs="Arial"/>
          <w:b/>
          <w:sz w:val="20"/>
          <w:szCs w:val="20"/>
        </w:rPr>
        <w:t>ra</w:t>
      </w:r>
      <w:proofErr w:type="spellEnd"/>
      <w:r w:rsidRPr="005553B8">
        <w:rPr>
          <w:rFonts w:ascii="Arial" w:hAnsi="Arial" w:cs="Arial"/>
          <w:b/>
          <w:sz w:val="20"/>
          <w:szCs w:val="20"/>
        </w:rPr>
        <w:t xml:space="preserve"> az egynapos és egyhetes fedezett hitel</w:t>
      </w:r>
      <w:r>
        <w:rPr>
          <w:rFonts w:ascii="Arial" w:hAnsi="Arial" w:cs="Arial"/>
          <w:sz w:val="20"/>
          <w:szCs w:val="20"/>
        </w:rPr>
        <w:t xml:space="preserve"> kamatát</w:t>
      </w:r>
      <w:r w:rsidR="00C2546C" w:rsidRPr="00C2546C">
        <w:rPr>
          <w:rFonts w:ascii="Arial" w:hAnsi="Arial" w:cs="Arial"/>
          <w:sz w:val="20"/>
          <w:szCs w:val="20"/>
        </w:rPr>
        <w:t xml:space="preserve">. </w:t>
      </w:r>
      <w:r w:rsidR="00C2546C" w:rsidRPr="00C2546C">
        <w:rPr>
          <w:rFonts w:ascii="Arial" w:hAnsi="Arial" w:cs="Arial"/>
          <w:b/>
          <w:sz w:val="20"/>
          <w:szCs w:val="20"/>
        </w:rPr>
        <w:t xml:space="preserve">Az egyhetes betéti kamat </w:t>
      </w:r>
      <w:r>
        <w:rPr>
          <w:rFonts w:ascii="Arial" w:hAnsi="Arial" w:cs="Arial"/>
          <w:b/>
          <w:sz w:val="20"/>
          <w:szCs w:val="20"/>
        </w:rPr>
        <w:t>a tavalyi év végére 4,00</w:t>
      </w:r>
      <w:r w:rsidR="00C2546C" w:rsidRPr="00C2546C">
        <w:rPr>
          <w:rFonts w:ascii="Arial" w:hAnsi="Arial" w:cs="Arial"/>
          <w:b/>
          <w:sz w:val="20"/>
          <w:szCs w:val="20"/>
        </w:rPr>
        <w:t>%-</w:t>
      </w:r>
      <w:proofErr w:type="spellStart"/>
      <w:r w:rsidR="00C2546C" w:rsidRPr="00C2546C">
        <w:rPr>
          <w:rFonts w:ascii="Arial" w:hAnsi="Arial" w:cs="Arial"/>
          <w:b/>
          <w:sz w:val="20"/>
          <w:szCs w:val="20"/>
        </w:rPr>
        <w:t>ra</w:t>
      </w:r>
      <w:proofErr w:type="spellEnd"/>
      <w:r w:rsidR="00C2546C" w:rsidRPr="00C2546C">
        <w:rPr>
          <w:rFonts w:ascii="Arial" w:hAnsi="Arial" w:cs="Arial"/>
          <w:b/>
          <w:sz w:val="20"/>
          <w:szCs w:val="20"/>
        </w:rPr>
        <w:t xml:space="preserve"> emelkedett</w:t>
      </w:r>
      <w:r w:rsidR="00C2546C" w:rsidRPr="00C2546C">
        <w:rPr>
          <w:rFonts w:ascii="Arial" w:hAnsi="Arial" w:cs="Arial"/>
          <w:sz w:val="20"/>
          <w:szCs w:val="20"/>
        </w:rPr>
        <w:t>.</w:t>
      </w:r>
      <w:r>
        <w:rPr>
          <w:rFonts w:ascii="Arial" w:hAnsi="Arial" w:cs="Arial"/>
          <w:sz w:val="20"/>
          <w:szCs w:val="20"/>
        </w:rPr>
        <w:t xml:space="preserve"> </w:t>
      </w:r>
      <w:r w:rsidRPr="005553B8">
        <w:rPr>
          <w:rFonts w:ascii="Arial" w:hAnsi="Arial" w:cs="Arial"/>
          <w:sz w:val="20"/>
          <w:szCs w:val="20"/>
        </w:rPr>
        <w:t xml:space="preserve">Az inflációs kockázatok fokozódása és a korábbi várakozásoknál messze magasabb infláció miatt az MNB a közelmúltban </w:t>
      </w:r>
      <w:r w:rsidRPr="005553B8">
        <w:rPr>
          <w:rFonts w:ascii="Arial" w:hAnsi="Arial" w:cs="Arial"/>
          <w:b/>
          <w:sz w:val="20"/>
          <w:szCs w:val="20"/>
        </w:rPr>
        <w:t>elválasztotta az effektív egyhetes betéti kamatot az alapkamattól</w:t>
      </w:r>
      <w:r w:rsidRPr="005553B8">
        <w:rPr>
          <w:rFonts w:ascii="Arial" w:hAnsi="Arial" w:cs="Arial"/>
          <w:sz w:val="20"/>
          <w:szCs w:val="20"/>
        </w:rPr>
        <w:t xml:space="preserve">, ezenkívül kiszélesítette, valamint aszimmetrikussá tette a kamatfolyosót, annak érdekében, hogy a pénz- és árupiaci mozgások kiszámíthatatlansága miatt </w:t>
      </w:r>
      <w:r w:rsidRPr="005553B8">
        <w:rPr>
          <w:rFonts w:ascii="Arial" w:hAnsi="Arial" w:cs="Arial"/>
          <w:b/>
          <w:sz w:val="20"/>
          <w:szCs w:val="20"/>
        </w:rPr>
        <w:t>növelje a mozgásterét</w:t>
      </w:r>
      <w:r w:rsidRPr="005553B8">
        <w:rPr>
          <w:rFonts w:ascii="Arial" w:hAnsi="Arial" w:cs="Arial"/>
          <w:sz w:val="20"/>
          <w:szCs w:val="20"/>
        </w:rPr>
        <w:t>.</w:t>
      </w:r>
      <w:r w:rsidR="00221D93">
        <w:rPr>
          <w:rFonts w:ascii="Arial" w:hAnsi="Arial" w:cs="Arial"/>
          <w:sz w:val="20"/>
          <w:szCs w:val="20"/>
        </w:rPr>
        <w:t xml:space="preserve"> A Monetáris Tanács decemberi ülésén </w:t>
      </w:r>
      <w:r w:rsidR="00221D93" w:rsidRPr="008F2099">
        <w:rPr>
          <w:rFonts w:ascii="Arial" w:hAnsi="Arial" w:cs="Arial"/>
          <w:b/>
          <w:sz w:val="20"/>
          <w:szCs w:val="20"/>
        </w:rPr>
        <w:t>Növekedési Kötvényprogram és az állampapír-vásárlási program lezárásáról</w:t>
      </w:r>
      <w:r w:rsidR="00221D93" w:rsidRPr="00221D93">
        <w:rPr>
          <w:rFonts w:ascii="Arial" w:hAnsi="Arial" w:cs="Arial"/>
          <w:sz w:val="20"/>
          <w:szCs w:val="20"/>
        </w:rPr>
        <w:t xml:space="preserve"> is döntött</w:t>
      </w:r>
      <w:r w:rsidR="00221D93">
        <w:rPr>
          <w:rFonts w:ascii="Arial" w:hAnsi="Arial" w:cs="Arial"/>
          <w:sz w:val="20"/>
          <w:szCs w:val="20"/>
        </w:rPr>
        <w:t xml:space="preserve">. </w:t>
      </w:r>
      <w:r w:rsidR="00221D93" w:rsidRPr="00221D93">
        <w:rPr>
          <w:rFonts w:ascii="Arial" w:hAnsi="Arial" w:cs="Arial"/>
          <w:sz w:val="20"/>
          <w:szCs w:val="20"/>
        </w:rPr>
        <w:t xml:space="preserve">A Monetáris Tanács szerint az állampapírpiac stabil likviditási helyzete </w:t>
      </w:r>
      <w:proofErr w:type="spellStart"/>
      <w:r w:rsidR="00221D93" w:rsidRPr="00221D93">
        <w:rPr>
          <w:rFonts w:ascii="Arial" w:hAnsi="Arial" w:cs="Arial"/>
          <w:sz w:val="20"/>
          <w:szCs w:val="20"/>
        </w:rPr>
        <w:t>előretekintve</w:t>
      </w:r>
      <w:proofErr w:type="spellEnd"/>
      <w:r w:rsidR="00221D93" w:rsidRPr="00221D93">
        <w:rPr>
          <w:rFonts w:ascii="Arial" w:hAnsi="Arial" w:cs="Arial"/>
          <w:sz w:val="20"/>
          <w:szCs w:val="20"/>
        </w:rPr>
        <w:t xml:space="preserve"> is kulcsfontosságú a monetáris transzmisszió hatékonysága szempontjából. Az MNB az állampapírpiac likviditási folyamatait a jövőben is szoros figyelemmel követi, és szükség esetén készen áll átmeneti és célzott állampapír-vásárlásokkal beavatkozni az </w:t>
      </w:r>
      <w:r w:rsidR="00221D93" w:rsidRPr="00221D93">
        <w:rPr>
          <w:rFonts w:ascii="Arial" w:hAnsi="Arial" w:cs="Arial"/>
          <w:sz w:val="20"/>
          <w:szCs w:val="20"/>
        </w:rPr>
        <w:lastRenderedPageBreak/>
        <w:t xml:space="preserve">állampapírpiac stabilitásának fenntartása érdekében. Az eseti állampapír-vásárlások nem jelentik a monetáris politikai irányultság megváltozását. A jegybank a tulajdonában lévő állampapírokat </w:t>
      </w:r>
      <w:r w:rsidR="00221D93" w:rsidRPr="008F2099">
        <w:rPr>
          <w:rFonts w:ascii="Arial" w:hAnsi="Arial" w:cs="Arial"/>
          <w:b/>
          <w:sz w:val="20"/>
          <w:szCs w:val="20"/>
        </w:rPr>
        <w:t>lejáratig</w:t>
      </w:r>
      <w:r w:rsidR="00221D93" w:rsidRPr="00221D93">
        <w:rPr>
          <w:rFonts w:ascii="Arial" w:hAnsi="Arial" w:cs="Arial"/>
          <w:sz w:val="20"/>
          <w:szCs w:val="20"/>
        </w:rPr>
        <w:t xml:space="preserve"> tartja.</w:t>
      </w:r>
    </w:p>
    <w:p w14:paraId="1C41777A" w14:textId="77777777" w:rsidR="005553B8" w:rsidRDefault="00E86D4B" w:rsidP="00E86D4B">
      <w:pPr>
        <w:spacing w:after="180" w:line="360" w:lineRule="auto"/>
        <w:jc w:val="both"/>
        <w:rPr>
          <w:rFonts w:ascii="Arial" w:hAnsi="Arial" w:cs="Arial"/>
          <w:sz w:val="20"/>
          <w:szCs w:val="20"/>
        </w:rPr>
      </w:pPr>
      <w:r w:rsidRPr="00E86D4B">
        <w:rPr>
          <w:rFonts w:ascii="Arial" w:hAnsi="Arial" w:cs="Arial"/>
          <w:sz w:val="20"/>
          <w:szCs w:val="20"/>
        </w:rPr>
        <w:t xml:space="preserve">A Monetáris Tanács megítélése szerint az inflációt övező </w:t>
      </w:r>
      <w:r w:rsidRPr="00E86D4B">
        <w:rPr>
          <w:rFonts w:ascii="Arial" w:hAnsi="Arial" w:cs="Arial"/>
          <w:b/>
          <w:sz w:val="20"/>
          <w:szCs w:val="20"/>
        </w:rPr>
        <w:t>kockázatok</w:t>
      </w:r>
      <w:r w:rsidRPr="00E86D4B">
        <w:rPr>
          <w:rFonts w:ascii="Arial" w:hAnsi="Arial" w:cs="Arial"/>
          <w:sz w:val="20"/>
          <w:szCs w:val="20"/>
        </w:rPr>
        <w:t xml:space="preserve"> továbbra is </w:t>
      </w:r>
      <w:r w:rsidRPr="00E86D4B">
        <w:rPr>
          <w:rFonts w:ascii="Arial" w:hAnsi="Arial" w:cs="Arial"/>
          <w:b/>
          <w:sz w:val="20"/>
          <w:szCs w:val="20"/>
        </w:rPr>
        <w:t>felfelé mutatnak</w:t>
      </w:r>
      <w:r w:rsidRPr="00E86D4B">
        <w:rPr>
          <w:rFonts w:ascii="Arial" w:hAnsi="Arial" w:cs="Arial"/>
          <w:sz w:val="20"/>
          <w:szCs w:val="20"/>
        </w:rPr>
        <w:t>. Az inflációs várakozások emelkedtek az elmúlt hónapokban. A t</w:t>
      </w:r>
      <w:r w:rsidRPr="00E86D4B">
        <w:rPr>
          <w:rFonts w:ascii="Arial" w:hAnsi="Arial" w:cs="Arial"/>
          <w:b/>
          <w:sz w:val="20"/>
          <w:szCs w:val="20"/>
        </w:rPr>
        <w:t>artósan magas nyersanyag- és energiaárak, a nemzetközi szállítmányozás költségeinek emelkedése</w:t>
      </w:r>
      <w:r w:rsidRPr="00E86D4B">
        <w:rPr>
          <w:rFonts w:ascii="Arial" w:hAnsi="Arial" w:cs="Arial"/>
          <w:sz w:val="20"/>
          <w:szCs w:val="20"/>
        </w:rPr>
        <w:t xml:space="preserve">, valamint az egyre szélesebb körű </w:t>
      </w:r>
      <w:r w:rsidRPr="00E86D4B">
        <w:rPr>
          <w:rFonts w:ascii="Arial" w:hAnsi="Arial" w:cs="Arial"/>
          <w:b/>
          <w:sz w:val="20"/>
          <w:szCs w:val="20"/>
        </w:rPr>
        <w:t>ellátási nehézségek</w:t>
      </w:r>
      <w:r w:rsidRPr="00E86D4B">
        <w:rPr>
          <w:rFonts w:ascii="Arial" w:hAnsi="Arial" w:cs="Arial"/>
          <w:sz w:val="20"/>
          <w:szCs w:val="20"/>
        </w:rPr>
        <w:t xml:space="preserve"> változatlanul tartósabb külső inflációs nyomás irányába mutatnak. Eközben a feszes munkaerőpiac az </w:t>
      </w:r>
      <w:r w:rsidRPr="00E86D4B">
        <w:rPr>
          <w:rFonts w:ascii="Arial" w:hAnsi="Arial" w:cs="Arial"/>
          <w:b/>
          <w:sz w:val="20"/>
          <w:szCs w:val="20"/>
        </w:rPr>
        <w:t>élénkülő bérdinamikával</w:t>
      </w:r>
      <w:r w:rsidRPr="00E86D4B">
        <w:rPr>
          <w:rFonts w:ascii="Arial" w:hAnsi="Arial" w:cs="Arial"/>
          <w:sz w:val="20"/>
          <w:szCs w:val="20"/>
        </w:rPr>
        <w:t xml:space="preserve"> és a magasabb inflációs környezettel párosulva az inflációs várakozások további emelkedését és a </w:t>
      </w:r>
      <w:r w:rsidRPr="00E86D4B">
        <w:rPr>
          <w:rFonts w:ascii="Arial" w:hAnsi="Arial" w:cs="Arial"/>
          <w:b/>
          <w:sz w:val="20"/>
          <w:szCs w:val="20"/>
        </w:rPr>
        <w:t>másodkörös inflációs kockázatok erősödését</w:t>
      </w:r>
      <w:r>
        <w:rPr>
          <w:rFonts w:ascii="Arial" w:hAnsi="Arial" w:cs="Arial"/>
          <w:sz w:val="20"/>
          <w:szCs w:val="20"/>
        </w:rPr>
        <w:t xml:space="preserve"> eredményezheti. </w:t>
      </w:r>
      <w:r w:rsidRPr="00E86D4B">
        <w:rPr>
          <w:rFonts w:ascii="Arial" w:hAnsi="Arial" w:cs="Arial"/>
          <w:sz w:val="20"/>
          <w:szCs w:val="20"/>
        </w:rPr>
        <w:t>A másodkörös inflációs kockázatok mérséklése és a várakozások megfelelő alakítása hosszabb ideig tartó, kiszámítható monetáris politikai szigorítást tesz szükségessé. A Tanács változatlanul az alapkamat-emelési ciklus havi ütemű folytatását tartja szükségesnek. Az egyhetes betéti rátában bekövetkező lépések tartósan beépülnek az MNB kamatemelési ciklusába. Az egyhetes betéti ráta emelésével az MNB továbbra is készen áll a rövid távú pénz- és árupiaci kockázatokra gyorsan és rugalmasan reagálni. A Monetáris Tanács a kamatemelési ciklust addig folytatja, ameddig az inflációs kilátások fenntartható módon a jegybanki célon stabilizálódnak, és az inflációs kockázatok a monetáris politika időhorizontján újra kiegyensúlyozottá válnak.</w:t>
      </w:r>
      <w:r w:rsidR="00221D93">
        <w:rPr>
          <w:rFonts w:ascii="Arial" w:hAnsi="Arial" w:cs="Arial"/>
          <w:sz w:val="20"/>
          <w:szCs w:val="20"/>
        </w:rPr>
        <w:t xml:space="preserve"> </w:t>
      </w:r>
      <w:r w:rsidR="005553B8" w:rsidRPr="005553B8">
        <w:rPr>
          <w:rFonts w:ascii="Arial" w:hAnsi="Arial" w:cs="Arial"/>
          <w:sz w:val="20"/>
          <w:szCs w:val="20"/>
        </w:rPr>
        <w:t xml:space="preserve"> </w:t>
      </w:r>
      <w:r w:rsidR="007507E9" w:rsidRPr="001D435A">
        <w:rPr>
          <w:rFonts w:ascii="Arial" w:hAnsi="Arial" w:cs="Arial"/>
          <w:sz w:val="20"/>
          <w:szCs w:val="20"/>
        </w:rPr>
        <w:t xml:space="preserve"> </w:t>
      </w:r>
    </w:p>
    <w:p w14:paraId="16913EBE" w14:textId="77777777" w:rsidR="0055412A" w:rsidRDefault="005F0C61" w:rsidP="00FD658E">
      <w:pPr>
        <w:spacing w:after="180" w:line="360" w:lineRule="auto"/>
        <w:jc w:val="both"/>
        <w:rPr>
          <w:rFonts w:ascii="Arial" w:hAnsi="Arial" w:cs="Arial"/>
          <w:b/>
          <w:sz w:val="20"/>
          <w:szCs w:val="20"/>
        </w:rPr>
      </w:pPr>
      <w:r w:rsidRPr="005F0C61">
        <w:rPr>
          <w:rFonts w:ascii="Arial" w:hAnsi="Arial" w:cs="Arial"/>
          <w:sz w:val="20"/>
          <w:szCs w:val="20"/>
        </w:rPr>
        <w:t xml:space="preserve">A szeptemberi kamatdöntés óta meredeken elszálltak a földgáz-, áram-, és olajárak, ami jelentős, és széleskörű inflációs nyomáshoz vezethet a háztartási energiaárak szinten tartása mellett is. Az MNB vezetése üzeneteiben már előkészítette a kamatemelési ciklus folytatását az inflációs kockázatok érdemi emelkedése miatt, amit szinte minden oldalról érkező külső nyersanyagár sokkok mellett az </w:t>
      </w:r>
      <w:proofErr w:type="spellStart"/>
      <w:r w:rsidRPr="005F0C61">
        <w:rPr>
          <w:rFonts w:ascii="Arial" w:hAnsi="Arial" w:cs="Arial"/>
          <w:sz w:val="20"/>
          <w:szCs w:val="20"/>
        </w:rPr>
        <w:t>újranyitás</w:t>
      </w:r>
      <w:proofErr w:type="spellEnd"/>
      <w:r w:rsidRPr="005F0C61">
        <w:rPr>
          <w:rFonts w:ascii="Arial" w:hAnsi="Arial" w:cs="Arial"/>
          <w:sz w:val="20"/>
          <w:szCs w:val="20"/>
        </w:rPr>
        <w:t xml:space="preserve"> kereslet –kínálati súrlódásai okoznak. Noha az infláció a</w:t>
      </w:r>
      <w:r w:rsidR="00246880">
        <w:rPr>
          <w:rFonts w:ascii="Arial" w:hAnsi="Arial" w:cs="Arial"/>
          <w:sz w:val="20"/>
          <w:szCs w:val="20"/>
        </w:rPr>
        <w:t>z</w:t>
      </w:r>
      <w:r w:rsidRPr="005F0C61">
        <w:rPr>
          <w:rFonts w:ascii="Arial" w:hAnsi="Arial" w:cs="Arial"/>
          <w:sz w:val="20"/>
          <w:szCs w:val="20"/>
        </w:rPr>
        <w:t xml:space="preserve"> év elején bázishatások miatt mérséklődhet, az előbb említett tényezők jóval magasabb inflációs pályát eredményeznek a következő hónapokban, miközben a minimálbér jelentős emelése mellett a</w:t>
      </w:r>
      <w:r w:rsidR="00925D6E">
        <w:rPr>
          <w:rFonts w:ascii="Arial" w:hAnsi="Arial" w:cs="Arial"/>
          <w:sz w:val="20"/>
          <w:szCs w:val="20"/>
        </w:rPr>
        <w:t>z</w:t>
      </w:r>
      <w:r w:rsidRPr="005F0C61">
        <w:rPr>
          <w:rFonts w:ascii="Arial" w:hAnsi="Arial" w:cs="Arial"/>
          <w:sz w:val="20"/>
          <w:szCs w:val="20"/>
        </w:rPr>
        <w:t xml:space="preserve"> szja visszatérítés, a rendvédelmi állomány hathavi bónusza, az idén kifizetésre kerülő nyugdíjprémium, valamint a februári 13. havi nyugdíj mintegy </w:t>
      </w:r>
      <w:r w:rsidRPr="00246880">
        <w:rPr>
          <w:rFonts w:ascii="Arial" w:hAnsi="Arial" w:cs="Arial"/>
          <w:b/>
          <w:sz w:val="20"/>
          <w:szCs w:val="20"/>
        </w:rPr>
        <w:t xml:space="preserve">1200 milliárd forinttal növeli a háztartások jövedelmét, </w:t>
      </w:r>
      <w:r w:rsidRPr="005F0C61">
        <w:rPr>
          <w:rFonts w:ascii="Arial" w:hAnsi="Arial" w:cs="Arial"/>
          <w:sz w:val="20"/>
          <w:szCs w:val="20"/>
        </w:rPr>
        <w:t xml:space="preserve">ami érdemi lökést adhat a </w:t>
      </w:r>
      <w:r w:rsidRPr="00246880">
        <w:rPr>
          <w:rFonts w:ascii="Arial" w:hAnsi="Arial" w:cs="Arial"/>
          <w:b/>
          <w:sz w:val="20"/>
          <w:szCs w:val="20"/>
        </w:rPr>
        <w:t>fogyasztásnak</w:t>
      </w:r>
      <w:r w:rsidRPr="005F0C61">
        <w:rPr>
          <w:rFonts w:ascii="Arial" w:hAnsi="Arial" w:cs="Arial"/>
          <w:sz w:val="20"/>
          <w:szCs w:val="20"/>
        </w:rPr>
        <w:t xml:space="preserve">, a gazdasági növekedésnek, ugyanakkor az </w:t>
      </w:r>
      <w:r w:rsidRPr="00246880">
        <w:rPr>
          <w:rFonts w:ascii="Arial" w:hAnsi="Arial" w:cs="Arial"/>
          <w:b/>
          <w:sz w:val="20"/>
          <w:szCs w:val="20"/>
        </w:rPr>
        <w:t>inflációnak</w:t>
      </w:r>
      <w:r w:rsidRPr="005F0C61">
        <w:rPr>
          <w:rFonts w:ascii="Arial" w:hAnsi="Arial" w:cs="Arial"/>
          <w:sz w:val="20"/>
          <w:szCs w:val="20"/>
        </w:rPr>
        <w:t xml:space="preserve"> is. Az infláció a nyári átmeneti mérséklődés után érdemben emelkedett, ami világszerte megfigyelt jelenség. A következő hónapokban az enyhén mérséklődhet az infláció, mivel a dohánytermékek jövedéki adóemelése jövő év áprilisáig kiesik a bázisból, ami 1,2 százalékponttal csökkentheti az inflációt. A nyersanyagárak robbanásszerű emelkedése ugyanakkor továbbra is felfelé mutató kockázatokat jelent, mivel számottevő másodkörös hatással járhatnak, csakúgy, mint az újra megjelent munkaerőhiány hatására várhatóan élénkülő bérnövekedési dinamika. Az inflációt az MNB megítélése szerint a költségvetési kiadások tervezett növelése is fűtheti. Ezért az </w:t>
      </w:r>
      <w:r w:rsidRPr="00B636B7">
        <w:rPr>
          <w:rFonts w:ascii="Arial" w:hAnsi="Arial" w:cs="Arial"/>
          <w:b/>
          <w:sz w:val="20"/>
          <w:szCs w:val="20"/>
        </w:rPr>
        <w:t>MNB proaktív jelleggel kamatemelési ciklust</w:t>
      </w:r>
      <w:r w:rsidRPr="005F0C61">
        <w:rPr>
          <w:rFonts w:ascii="Arial" w:hAnsi="Arial" w:cs="Arial"/>
          <w:sz w:val="20"/>
          <w:szCs w:val="20"/>
        </w:rPr>
        <w:t xml:space="preserve"> kezdett, ami az MNB iránymutatása szerint </w:t>
      </w:r>
      <w:r w:rsidRPr="00B636B7">
        <w:rPr>
          <w:rFonts w:ascii="Arial" w:hAnsi="Arial" w:cs="Arial"/>
          <w:b/>
          <w:sz w:val="20"/>
          <w:szCs w:val="20"/>
        </w:rPr>
        <w:t>a</w:t>
      </w:r>
      <w:r w:rsidR="00B636B7" w:rsidRPr="00B636B7">
        <w:rPr>
          <w:rFonts w:ascii="Arial" w:hAnsi="Arial" w:cs="Arial"/>
          <w:b/>
          <w:sz w:val="20"/>
          <w:szCs w:val="20"/>
        </w:rPr>
        <w:t>z idei</w:t>
      </w:r>
      <w:r w:rsidRPr="00B636B7">
        <w:rPr>
          <w:rFonts w:ascii="Arial" w:hAnsi="Arial" w:cs="Arial"/>
          <w:b/>
          <w:sz w:val="20"/>
          <w:szCs w:val="20"/>
        </w:rPr>
        <w:t xml:space="preserve"> év elején is határozott ütemben</w:t>
      </w:r>
      <w:r w:rsidRPr="005F0C61">
        <w:rPr>
          <w:rFonts w:ascii="Arial" w:hAnsi="Arial" w:cs="Arial"/>
          <w:sz w:val="20"/>
          <w:szCs w:val="20"/>
        </w:rPr>
        <w:t xml:space="preserve"> folytatódhat, így a tavaszi hónapokig </w:t>
      </w:r>
      <w:r w:rsidRPr="00B636B7">
        <w:rPr>
          <w:rFonts w:ascii="Arial" w:hAnsi="Arial" w:cs="Arial"/>
          <w:b/>
          <w:sz w:val="20"/>
          <w:szCs w:val="20"/>
        </w:rPr>
        <w:t>további kamatemelésekre</w:t>
      </w:r>
      <w:r w:rsidRPr="005F0C61">
        <w:rPr>
          <w:rFonts w:ascii="Arial" w:hAnsi="Arial" w:cs="Arial"/>
          <w:sz w:val="20"/>
          <w:szCs w:val="20"/>
        </w:rPr>
        <w:t xml:space="preserve"> számítunk. A </w:t>
      </w:r>
      <w:r w:rsidR="00B636B7">
        <w:rPr>
          <w:rFonts w:ascii="Arial" w:hAnsi="Arial" w:cs="Arial"/>
          <w:sz w:val="20"/>
          <w:szCs w:val="20"/>
        </w:rPr>
        <w:t>tavaszi hónapokban</w:t>
      </w:r>
      <w:r w:rsidRPr="005F0C61">
        <w:rPr>
          <w:rFonts w:ascii="Arial" w:hAnsi="Arial" w:cs="Arial"/>
          <w:sz w:val="20"/>
          <w:szCs w:val="20"/>
        </w:rPr>
        <w:t xml:space="preserve"> véget érhet a kamatemelési ciklus, mivel </w:t>
      </w:r>
      <w:r w:rsidR="00B636B7">
        <w:rPr>
          <w:rFonts w:ascii="Arial" w:hAnsi="Arial" w:cs="Arial"/>
          <w:sz w:val="20"/>
          <w:szCs w:val="20"/>
        </w:rPr>
        <w:t>az idei</w:t>
      </w:r>
      <w:r w:rsidRPr="005F0C61">
        <w:rPr>
          <w:rFonts w:ascii="Arial" w:hAnsi="Arial" w:cs="Arial"/>
          <w:sz w:val="20"/>
          <w:szCs w:val="20"/>
        </w:rPr>
        <w:t xml:space="preserve"> inflációs kilátásokat számos bázishatás javíthatja, így feltehetően nem lesz szükség további szigorításra. Az inflációs kockázatok számottevő fokozódása miatt azonban tovább emeljük a kamatemelési várakozásunkat, ennek megfelelően </w:t>
      </w:r>
      <w:r w:rsidR="00B636B7">
        <w:rPr>
          <w:rFonts w:ascii="Arial" w:hAnsi="Arial" w:cs="Arial"/>
          <w:sz w:val="20"/>
          <w:szCs w:val="20"/>
        </w:rPr>
        <w:t xml:space="preserve">az első negyedévében </w:t>
      </w:r>
      <w:r w:rsidR="006C20E8">
        <w:rPr>
          <w:rFonts w:ascii="Arial" w:hAnsi="Arial" w:cs="Arial"/>
          <w:b/>
          <w:sz w:val="20"/>
          <w:szCs w:val="20"/>
        </w:rPr>
        <w:t>4,0</w:t>
      </w:r>
      <w:r w:rsidRPr="00B636B7">
        <w:rPr>
          <w:rFonts w:ascii="Arial" w:hAnsi="Arial" w:cs="Arial"/>
          <w:b/>
          <w:sz w:val="20"/>
          <w:szCs w:val="20"/>
        </w:rPr>
        <w:t>0%-</w:t>
      </w:r>
      <w:proofErr w:type="spellStart"/>
      <w:r w:rsidRPr="00B636B7">
        <w:rPr>
          <w:rFonts w:ascii="Arial" w:hAnsi="Arial" w:cs="Arial"/>
          <w:b/>
          <w:sz w:val="20"/>
          <w:szCs w:val="20"/>
        </w:rPr>
        <w:t>ig</w:t>
      </w:r>
      <w:proofErr w:type="spellEnd"/>
      <w:r w:rsidRPr="00B636B7">
        <w:rPr>
          <w:rFonts w:ascii="Arial" w:hAnsi="Arial" w:cs="Arial"/>
          <w:b/>
          <w:sz w:val="20"/>
          <w:szCs w:val="20"/>
        </w:rPr>
        <w:t xml:space="preserve"> emelkedhet az alapkamat</w:t>
      </w:r>
      <w:r w:rsidRPr="005F0C61">
        <w:rPr>
          <w:rFonts w:ascii="Arial" w:hAnsi="Arial" w:cs="Arial"/>
          <w:sz w:val="20"/>
          <w:szCs w:val="20"/>
        </w:rPr>
        <w:t xml:space="preserve">, ami az év végéig ezen a szinten </w:t>
      </w:r>
      <w:r w:rsidRPr="005F0C61">
        <w:rPr>
          <w:rFonts w:ascii="Arial" w:hAnsi="Arial" w:cs="Arial"/>
          <w:sz w:val="20"/>
          <w:szCs w:val="20"/>
        </w:rPr>
        <w:lastRenderedPageBreak/>
        <w:t xml:space="preserve">maradhat, míg </w:t>
      </w:r>
      <w:r w:rsidRPr="00B636B7">
        <w:rPr>
          <w:rFonts w:ascii="Arial" w:hAnsi="Arial" w:cs="Arial"/>
          <w:b/>
          <w:sz w:val="20"/>
          <w:szCs w:val="20"/>
        </w:rPr>
        <w:t>az egyhetes betéti kamat az inflác</w:t>
      </w:r>
      <w:r w:rsidR="006C20E8">
        <w:rPr>
          <w:rFonts w:ascii="Arial" w:hAnsi="Arial" w:cs="Arial"/>
          <w:b/>
          <w:sz w:val="20"/>
          <w:szCs w:val="20"/>
        </w:rPr>
        <w:t>ió alakulásának függvényében 4,75-5,0</w:t>
      </w:r>
      <w:r w:rsidRPr="00B636B7">
        <w:rPr>
          <w:rFonts w:ascii="Arial" w:hAnsi="Arial" w:cs="Arial"/>
          <w:b/>
          <w:sz w:val="20"/>
          <w:szCs w:val="20"/>
        </w:rPr>
        <w:t>0%-</w:t>
      </w:r>
      <w:proofErr w:type="spellStart"/>
      <w:r w:rsidRPr="00B636B7">
        <w:rPr>
          <w:rFonts w:ascii="Arial" w:hAnsi="Arial" w:cs="Arial"/>
          <w:b/>
          <w:sz w:val="20"/>
          <w:szCs w:val="20"/>
        </w:rPr>
        <w:t>ig</w:t>
      </w:r>
      <w:proofErr w:type="spellEnd"/>
      <w:r w:rsidRPr="00B636B7">
        <w:rPr>
          <w:rFonts w:ascii="Arial" w:hAnsi="Arial" w:cs="Arial"/>
          <w:b/>
          <w:sz w:val="20"/>
          <w:szCs w:val="20"/>
        </w:rPr>
        <w:t xml:space="preserve"> emelkedhet</w:t>
      </w:r>
      <w:r w:rsidRPr="005F0C61">
        <w:rPr>
          <w:rFonts w:ascii="Arial" w:hAnsi="Arial" w:cs="Arial"/>
          <w:sz w:val="20"/>
          <w:szCs w:val="20"/>
        </w:rPr>
        <w:t>. A</w:t>
      </w:r>
      <w:r w:rsidR="00B636B7">
        <w:rPr>
          <w:rFonts w:ascii="Arial" w:hAnsi="Arial" w:cs="Arial"/>
          <w:sz w:val="20"/>
          <w:szCs w:val="20"/>
        </w:rPr>
        <w:t>z</w:t>
      </w:r>
      <w:r w:rsidRPr="005F0C61">
        <w:rPr>
          <w:rFonts w:ascii="Arial" w:hAnsi="Arial" w:cs="Arial"/>
          <w:sz w:val="20"/>
          <w:szCs w:val="20"/>
        </w:rPr>
        <w:t xml:space="preserve"> év végétől azonban elkezdődhet </w:t>
      </w:r>
      <w:r w:rsidRPr="00B636B7">
        <w:rPr>
          <w:rFonts w:ascii="Arial" w:hAnsi="Arial" w:cs="Arial"/>
          <w:b/>
          <w:sz w:val="20"/>
          <w:szCs w:val="20"/>
        </w:rPr>
        <w:t>az egyhetes betéti kamat mérséklése</w:t>
      </w:r>
      <w:r w:rsidRPr="005F0C61">
        <w:rPr>
          <w:rFonts w:ascii="Arial" w:hAnsi="Arial" w:cs="Arial"/>
          <w:sz w:val="20"/>
          <w:szCs w:val="20"/>
        </w:rPr>
        <w:t xml:space="preserve">, valamint fokozatos </w:t>
      </w:r>
      <w:r w:rsidRPr="00B636B7">
        <w:rPr>
          <w:rFonts w:ascii="Arial" w:hAnsi="Arial" w:cs="Arial"/>
          <w:b/>
          <w:sz w:val="20"/>
          <w:szCs w:val="20"/>
        </w:rPr>
        <w:t>visszazárása</w:t>
      </w:r>
      <w:r w:rsidRPr="005F0C61">
        <w:rPr>
          <w:rFonts w:ascii="Arial" w:hAnsi="Arial" w:cs="Arial"/>
          <w:sz w:val="20"/>
          <w:szCs w:val="20"/>
        </w:rPr>
        <w:t xml:space="preserve"> az alapkamathoz, amennyiben az inflációs előrejelzések a bázishatások miatt arra utalnak, hogy az infláció 2023-ban visszatérhet a toleranciasávba.</w:t>
      </w:r>
    </w:p>
    <w:p w14:paraId="5D20B412" w14:textId="77777777" w:rsidR="00486DAC" w:rsidRDefault="00EE5836" w:rsidP="00FD658E">
      <w:pPr>
        <w:spacing w:after="180" w:line="360" w:lineRule="auto"/>
        <w:jc w:val="both"/>
        <w:rPr>
          <w:rFonts w:ascii="Arial" w:hAnsi="Arial" w:cs="Arial"/>
          <w:b/>
          <w:sz w:val="20"/>
          <w:szCs w:val="20"/>
        </w:rPr>
      </w:pPr>
      <w:r w:rsidRPr="00EE5836">
        <w:rPr>
          <w:rFonts w:ascii="Arial" w:hAnsi="Arial" w:cs="Arial"/>
          <w:sz w:val="20"/>
          <w:szCs w:val="20"/>
        </w:rPr>
        <w:t xml:space="preserve">A jegybank számára változatlanul kiemelt szempont, hogy a rövid oldali kamatok minden részpiacon és minden időszakban a Monetáris Tanács által optimálisnak tartott rövid oldali kamatszinttel összhangban alakuljanak. Ezen cél érdekében az MNB ismét aktívan, mennyiségi korlát nélkül használja a devizalikviditást nyújtó </w:t>
      </w:r>
      <w:proofErr w:type="spellStart"/>
      <w:r w:rsidRPr="00EE5836">
        <w:rPr>
          <w:rFonts w:ascii="Arial" w:hAnsi="Arial" w:cs="Arial"/>
          <w:sz w:val="20"/>
          <w:szCs w:val="20"/>
        </w:rPr>
        <w:t>swapeszközét</w:t>
      </w:r>
      <w:proofErr w:type="spellEnd"/>
      <w:r w:rsidRPr="00EE5836">
        <w:rPr>
          <w:rFonts w:ascii="Arial" w:hAnsi="Arial" w:cs="Arial"/>
          <w:sz w:val="20"/>
          <w:szCs w:val="20"/>
        </w:rPr>
        <w:t>, amelynek keretében 2021 decemberében összesen négy tendert tart. Emellett a rövid futamidejű diszkontkötvény aukció tovább erősíti a pénzügyi rendszerben lévő likv</w:t>
      </w:r>
      <w:r>
        <w:rPr>
          <w:rFonts w:ascii="Arial" w:hAnsi="Arial" w:cs="Arial"/>
          <w:sz w:val="20"/>
          <w:szCs w:val="20"/>
        </w:rPr>
        <w:t>iditás hatékony sterilizációját</w:t>
      </w:r>
      <w:r w:rsidR="002D628E" w:rsidRPr="002D628E">
        <w:rPr>
          <w:rFonts w:ascii="Arial" w:hAnsi="Arial" w:cs="Arial"/>
          <w:sz w:val="20"/>
          <w:szCs w:val="20"/>
        </w:rPr>
        <w:t xml:space="preserve">. Ugyanezen célt erősítve a jegybank a </w:t>
      </w:r>
      <w:proofErr w:type="spellStart"/>
      <w:r w:rsidR="002D628E" w:rsidRPr="002D628E">
        <w:rPr>
          <w:rFonts w:ascii="Arial" w:hAnsi="Arial" w:cs="Arial"/>
          <w:sz w:val="20"/>
          <w:szCs w:val="20"/>
        </w:rPr>
        <w:t>swappiaci</w:t>
      </w:r>
      <w:proofErr w:type="spellEnd"/>
      <w:r w:rsidR="002D628E" w:rsidRPr="002D628E">
        <w:rPr>
          <w:rFonts w:ascii="Arial" w:hAnsi="Arial" w:cs="Arial"/>
          <w:sz w:val="20"/>
          <w:szCs w:val="20"/>
        </w:rPr>
        <w:t xml:space="preserve"> folyamatokat figy</w:t>
      </w:r>
      <w:r>
        <w:rPr>
          <w:rFonts w:ascii="Arial" w:hAnsi="Arial" w:cs="Arial"/>
          <w:sz w:val="20"/>
          <w:szCs w:val="20"/>
        </w:rPr>
        <w:t>elembe véve fokozatosan kivezette</w:t>
      </w:r>
      <w:r w:rsidR="002D628E" w:rsidRPr="002D628E">
        <w:rPr>
          <w:rFonts w:ascii="Arial" w:hAnsi="Arial" w:cs="Arial"/>
          <w:sz w:val="20"/>
          <w:szCs w:val="20"/>
        </w:rPr>
        <w:t xml:space="preserve"> a forintlikviditást nyújtó </w:t>
      </w:r>
      <w:proofErr w:type="spellStart"/>
      <w:r w:rsidR="002D628E" w:rsidRPr="002D628E">
        <w:rPr>
          <w:rFonts w:ascii="Arial" w:hAnsi="Arial" w:cs="Arial"/>
          <w:sz w:val="20"/>
          <w:szCs w:val="20"/>
        </w:rPr>
        <w:t>swapeszközét</w:t>
      </w:r>
      <w:proofErr w:type="spellEnd"/>
      <w:r w:rsidR="002D628E" w:rsidRPr="002D628E">
        <w:rPr>
          <w:rFonts w:ascii="Arial" w:hAnsi="Arial" w:cs="Arial"/>
          <w:sz w:val="20"/>
          <w:szCs w:val="20"/>
        </w:rPr>
        <w:t>.</w:t>
      </w:r>
    </w:p>
    <w:tbl>
      <w:tblPr>
        <w:tblW w:w="0" w:type="auto"/>
        <w:tblLook w:val="01E0" w:firstRow="1" w:lastRow="1" w:firstColumn="1" w:lastColumn="1" w:noHBand="0" w:noVBand="0"/>
      </w:tblPr>
      <w:tblGrid>
        <w:gridCol w:w="4586"/>
        <w:gridCol w:w="474"/>
        <w:gridCol w:w="4581"/>
      </w:tblGrid>
      <w:tr w:rsidR="00FC514B" w:rsidRPr="003536D7" w14:paraId="6B0933F2" w14:textId="77777777" w:rsidTr="0074106B">
        <w:trPr>
          <w:trHeight w:val="568"/>
        </w:trPr>
        <w:tc>
          <w:tcPr>
            <w:tcW w:w="4586" w:type="dxa"/>
          </w:tcPr>
          <w:p w14:paraId="4AA90775" w14:textId="77777777" w:rsidR="00FC514B" w:rsidRPr="00FD658E" w:rsidRDefault="006A4321" w:rsidP="0074106B">
            <w:pPr>
              <w:spacing w:after="120"/>
              <w:jc w:val="center"/>
              <w:rPr>
                <w:rFonts w:ascii="Arial" w:hAnsi="Arial" w:cs="Arial"/>
                <w:b/>
                <w:color w:val="FF8500"/>
              </w:rPr>
            </w:pPr>
            <w:r>
              <w:rPr>
                <w:rFonts w:ascii="Arial" w:hAnsi="Arial" w:cs="Arial"/>
                <w:b/>
                <w:color w:val="FF8500"/>
              </w:rPr>
              <w:t>13</w:t>
            </w:r>
            <w:r w:rsidR="00FC514B" w:rsidRPr="00FD658E">
              <w:rPr>
                <w:rFonts w:ascii="Arial" w:hAnsi="Arial" w:cs="Arial"/>
                <w:b/>
                <w:color w:val="FF8500"/>
              </w:rPr>
              <w:t xml:space="preserve">. ábra: </w:t>
            </w:r>
            <w:r w:rsidR="00FC514B" w:rsidRPr="00A10369">
              <w:rPr>
                <w:rFonts w:ascii="Arial" w:hAnsi="Arial" w:cs="Arial"/>
                <w:bCs/>
                <w:color w:val="FF8500"/>
              </w:rPr>
              <w:t>A 3 hónapos DKJ-hozam és a jegybanki alapkamat alakulása</w:t>
            </w:r>
            <w:r w:rsidR="00FC514B" w:rsidRPr="00FD658E">
              <w:rPr>
                <w:rFonts w:ascii="Arial" w:hAnsi="Arial" w:cs="Arial"/>
                <w:b/>
                <w:color w:val="FF8500"/>
              </w:rPr>
              <w:t xml:space="preserve"> </w:t>
            </w:r>
            <w:r w:rsidR="00FC514B" w:rsidRPr="00FD658E">
              <w:rPr>
                <w:rFonts w:ascii="Arial" w:hAnsi="Arial" w:cs="Arial"/>
                <w:color w:val="FF8500"/>
              </w:rPr>
              <w:t>(%)</w:t>
            </w:r>
          </w:p>
        </w:tc>
        <w:tc>
          <w:tcPr>
            <w:tcW w:w="474" w:type="dxa"/>
          </w:tcPr>
          <w:p w14:paraId="518FE314" w14:textId="77777777" w:rsidR="00FC514B" w:rsidRPr="00FD658E" w:rsidRDefault="00FC514B" w:rsidP="0074106B">
            <w:pPr>
              <w:spacing w:after="120"/>
              <w:jc w:val="center"/>
              <w:rPr>
                <w:rFonts w:ascii="Arial" w:hAnsi="Arial" w:cs="Arial"/>
                <w:b/>
                <w:color w:val="FF8500"/>
              </w:rPr>
            </w:pPr>
          </w:p>
        </w:tc>
        <w:tc>
          <w:tcPr>
            <w:tcW w:w="4581" w:type="dxa"/>
          </w:tcPr>
          <w:p w14:paraId="18074C5C" w14:textId="77777777" w:rsidR="00FC514B" w:rsidRPr="00FD658E" w:rsidRDefault="006A4321" w:rsidP="0074106B">
            <w:pPr>
              <w:spacing w:after="120"/>
              <w:jc w:val="center"/>
              <w:rPr>
                <w:rFonts w:ascii="Arial" w:hAnsi="Arial" w:cs="Arial"/>
                <w:b/>
                <w:color w:val="FF8500"/>
              </w:rPr>
            </w:pPr>
            <w:r>
              <w:rPr>
                <w:rFonts w:ascii="Arial" w:hAnsi="Arial" w:cs="Arial"/>
                <w:b/>
                <w:color w:val="FF8500"/>
              </w:rPr>
              <w:t>14</w:t>
            </w:r>
            <w:r w:rsidR="00FC514B" w:rsidRPr="00FD658E">
              <w:rPr>
                <w:rFonts w:ascii="Arial" w:hAnsi="Arial" w:cs="Arial"/>
                <w:b/>
                <w:color w:val="FF8500"/>
              </w:rPr>
              <w:t>. ábra:</w:t>
            </w:r>
            <w:r w:rsidR="00FC514B" w:rsidRPr="00FD658E">
              <w:rPr>
                <w:rFonts w:ascii="Arial" w:hAnsi="Arial" w:cs="Arial"/>
                <w:color w:val="FF8500"/>
              </w:rPr>
              <w:t xml:space="preserve"> </w:t>
            </w:r>
            <w:r w:rsidR="00FC514B" w:rsidRPr="00A10369">
              <w:rPr>
                <w:rFonts w:ascii="Arial" w:hAnsi="Arial" w:cs="Arial"/>
                <w:bCs/>
                <w:color w:val="FF8500"/>
              </w:rPr>
              <w:t>A 12 havi infláció és az MNB alapkamat alakulása</w:t>
            </w:r>
          </w:p>
        </w:tc>
      </w:tr>
      <w:tr w:rsidR="00FC514B" w:rsidRPr="003536D7" w14:paraId="129C4A93" w14:textId="77777777" w:rsidTr="0074106B">
        <w:tblPrEx>
          <w:tblCellMar>
            <w:left w:w="70" w:type="dxa"/>
            <w:right w:w="70" w:type="dxa"/>
          </w:tblCellMar>
        </w:tblPrEx>
        <w:trPr>
          <w:trHeight w:val="2979"/>
        </w:trPr>
        <w:tc>
          <w:tcPr>
            <w:tcW w:w="4586" w:type="dxa"/>
          </w:tcPr>
          <w:p w14:paraId="5B1AB28A" w14:textId="77777777" w:rsidR="00FC514B" w:rsidRPr="003536D7" w:rsidRDefault="00EE5836" w:rsidP="0074106B">
            <w:pPr>
              <w:spacing w:after="120"/>
              <w:jc w:val="both"/>
              <w:rPr>
                <w:rFonts w:ascii="Arial" w:hAnsi="Arial" w:cs="Arial"/>
              </w:rPr>
            </w:pPr>
            <w:r>
              <w:rPr>
                <w:rFonts w:ascii="Arial" w:hAnsi="Arial" w:cs="Arial"/>
                <w:noProof/>
                <w:lang w:eastAsia="hu-HU"/>
              </w:rPr>
              <w:drawing>
                <wp:inline distT="0" distB="0" distL="0" distR="0" wp14:anchorId="53C0E17A" wp14:editId="2996E2AF">
                  <wp:extent cx="2809875" cy="1962150"/>
                  <wp:effectExtent l="0" t="0" r="952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9875" cy="1962150"/>
                          </a:xfrm>
                          <a:prstGeom prst="rect">
                            <a:avLst/>
                          </a:prstGeom>
                          <a:noFill/>
                          <a:ln>
                            <a:noFill/>
                          </a:ln>
                        </pic:spPr>
                      </pic:pic>
                    </a:graphicData>
                  </a:graphic>
                </wp:inline>
              </w:drawing>
            </w:r>
          </w:p>
        </w:tc>
        <w:tc>
          <w:tcPr>
            <w:tcW w:w="474" w:type="dxa"/>
          </w:tcPr>
          <w:p w14:paraId="2A403A11" w14:textId="77777777" w:rsidR="00FC514B" w:rsidRDefault="00FC514B" w:rsidP="0074106B">
            <w:pPr>
              <w:spacing w:after="120"/>
              <w:jc w:val="center"/>
              <w:rPr>
                <w:rFonts w:ascii="Arial" w:hAnsi="Arial" w:cs="Arial"/>
                <w:noProof/>
                <w:lang w:eastAsia="hu-HU"/>
              </w:rPr>
            </w:pPr>
          </w:p>
        </w:tc>
        <w:tc>
          <w:tcPr>
            <w:tcW w:w="4581" w:type="dxa"/>
          </w:tcPr>
          <w:p w14:paraId="7D006129" w14:textId="77777777" w:rsidR="00FC514B" w:rsidRPr="003536D7" w:rsidRDefault="00EE5836" w:rsidP="0074106B">
            <w:pPr>
              <w:spacing w:after="120"/>
              <w:jc w:val="center"/>
              <w:rPr>
                <w:rFonts w:ascii="Arial" w:hAnsi="Arial" w:cs="Arial"/>
              </w:rPr>
            </w:pPr>
            <w:r>
              <w:rPr>
                <w:rFonts w:ascii="Arial" w:hAnsi="Arial" w:cs="Arial"/>
                <w:noProof/>
                <w:lang w:eastAsia="hu-HU"/>
              </w:rPr>
              <w:drawing>
                <wp:inline distT="0" distB="0" distL="0" distR="0" wp14:anchorId="1C83137E" wp14:editId="6B8F79ED">
                  <wp:extent cx="2819400" cy="1971675"/>
                  <wp:effectExtent l="0" t="0" r="0" b="952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9400" cy="1971675"/>
                          </a:xfrm>
                          <a:prstGeom prst="rect">
                            <a:avLst/>
                          </a:prstGeom>
                          <a:noFill/>
                          <a:ln>
                            <a:noFill/>
                          </a:ln>
                        </pic:spPr>
                      </pic:pic>
                    </a:graphicData>
                  </a:graphic>
                </wp:inline>
              </w:drawing>
            </w:r>
          </w:p>
        </w:tc>
      </w:tr>
      <w:tr w:rsidR="00FC514B" w:rsidRPr="003536D7" w14:paraId="471C9A72" w14:textId="77777777" w:rsidTr="0074106B">
        <w:trPr>
          <w:trHeight w:val="319"/>
        </w:trPr>
        <w:tc>
          <w:tcPr>
            <w:tcW w:w="4586" w:type="dxa"/>
          </w:tcPr>
          <w:p w14:paraId="10E59371" w14:textId="77777777" w:rsidR="00FC514B" w:rsidRPr="003536D7" w:rsidRDefault="00FC514B" w:rsidP="0074106B">
            <w:pPr>
              <w:pStyle w:val="Kpalrstbank"/>
            </w:pPr>
            <w:r w:rsidRPr="003536D7">
              <w:t>Forrás: ÁKK, MNB</w:t>
            </w:r>
          </w:p>
        </w:tc>
        <w:tc>
          <w:tcPr>
            <w:tcW w:w="474" w:type="dxa"/>
          </w:tcPr>
          <w:p w14:paraId="525605B4" w14:textId="77777777" w:rsidR="00FC514B" w:rsidRPr="003536D7" w:rsidRDefault="00FC514B" w:rsidP="0074106B">
            <w:pPr>
              <w:pStyle w:val="Kpalrstbank"/>
            </w:pPr>
          </w:p>
        </w:tc>
        <w:tc>
          <w:tcPr>
            <w:tcW w:w="4581" w:type="dxa"/>
          </w:tcPr>
          <w:p w14:paraId="4925B84F" w14:textId="77777777" w:rsidR="00FC514B" w:rsidRPr="003536D7" w:rsidRDefault="00FC514B" w:rsidP="0074106B">
            <w:pPr>
              <w:pStyle w:val="Kpalrstbank"/>
            </w:pPr>
            <w:r w:rsidRPr="003536D7">
              <w:t>Forrás: KSH, MNB</w:t>
            </w:r>
          </w:p>
        </w:tc>
      </w:tr>
    </w:tbl>
    <w:p w14:paraId="2F5DE8E6" w14:textId="77777777" w:rsidR="00486DAC" w:rsidRDefault="00486DAC" w:rsidP="00FD658E">
      <w:pPr>
        <w:spacing w:after="180" w:line="360" w:lineRule="auto"/>
        <w:jc w:val="both"/>
        <w:rPr>
          <w:rFonts w:ascii="Arial" w:hAnsi="Arial" w:cs="Arial"/>
          <w:sz w:val="20"/>
          <w:szCs w:val="20"/>
        </w:rPr>
      </w:pPr>
    </w:p>
    <w:p w14:paraId="40BC7F18" w14:textId="77777777" w:rsidR="005C518C" w:rsidRPr="00FD658E" w:rsidRDefault="007C3872" w:rsidP="00FD658E">
      <w:pPr>
        <w:spacing w:after="180" w:line="360" w:lineRule="auto"/>
        <w:jc w:val="both"/>
        <w:rPr>
          <w:rFonts w:ascii="Arial" w:hAnsi="Arial" w:cs="Arial"/>
          <w:sz w:val="20"/>
          <w:szCs w:val="20"/>
        </w:rPr>
      </w:pPr>
      <w:r>
        <w:rPr>
          <w:rFonts w:ascii="Arial" w:hAnsi="Arial" w:cs="Arial"/>
          <w:sz w:val="20"/>
          <w:szCs w:val="20"/>
        </w:rPr>
        <w:t>Az infláció meredek emelkedése miatt a cseh és a lengyel jegybank is kamatemelési sorozatot indított el. Az előbbi agresszívabban, 350 bázisponttal 3,75%-</w:t>
      </w:r>
      <w:proofErr w:type="spellStart"/>
      <w:r>
        <w:rPr>
          <w:rFonts w:ascii="Arial" w:hAnsi="Arial" w:cs="Arial"/>
          <w:sz w:val="20"/>
          <w:szCs w:val="20"/>
        </w:rPr>
        <w:t>ra</w:t>
      </w:r>
      <w:proofErr w:type="spellEnd"/>
      <w:r>
        <w:rPr>
          <w:rFonts w:ascii="Arial" w:hAnsi="Arial" w:cs="Arial"/>
          <w:sz w:val="20"/>
          <w:szCs w:val="20"/>
        </w:rPr>
        <w:t>, az utóbbi 165 bázisponttal 1,75%-</w:t>
      </w:r>
      <w:proofErr w:type="spellStart"/>
      <w:r>
        <w:rPr>
          <w:rFonts w:ascii="Arial" w:hAnsi="Arial" w:cs="Arial"/>
          <w:sz w:val="20"/>
          <w:szCs w:val="20"/>
        </w:rPr>
        <w:t>ra</w:t>
      </w:r>
      <w:proofErr w:type="spellEnd"/>
      <w:r>
        <w:rPr>
          <w:rFonts w:ascii="Arial" w:hAnsi="Arial" w:cs="Arial"/>
          <w:sz w:val="20"/>
          <w:szCs w:val="20"/>
        </w:rPr>
        <w:t xml:space="preserve"> emelte az alapkamatot 2021 végére</w:t>
      </w:r>
      <w:r w:rsidR="0055412A" w:rsidRPr="0055412A">
        <w:rPr>
          <w:rFonts w:ascii="Arial" w:hAnsi="Arial" w:cs="Arial"/>
          <w:sz w:val="20"/>
          <w:szCs w:val="20"/>
        </w:rPr>
        <w:t>. A járvány kitörése óta szinte minden jegybank csökkentette a kamatokat, a Fed 0%-</w:t>
      </w:r>
      <w:proofErr w:type="spellStart"/>
      <w:r w:rsidR="0055412A" w:rsidRPr="0055412A">
        <w:rPr>
          <w:rFonts w:ascii="Arial" w:hAnsi="Arial" w:cs="Arial"/>
          <w:sz w:val="20"/>
          <w:szCs w:val="20"/>
        </w:rPr>
        <w:t>ra</w:t>
      </w:r>
      <w:proofErr w:type="spellEnd"/>
      <w:r w:rsidR="0055412A" w:rsidRPr="0055412A">
        <w:rPr>
          <w:rFonts w:ascii="Arial" w:hAnsi="Arial" w:cs="Arial"/>
          <w:sz w:val="20"/>
          <w:szCs w:val="20"/>
        </w:rPr>
        <w:t xml:space="preserve"> csökkentette a kamatcélt, korlátlan eszközvásárlási programot jelentett be, az EKB 750 milliárd euró </w:t>
      </w:r>
      <w:proofErr w:type="spellStart"/>
      <w:r w:rsidR="0055412A" w:rsidRPr="0055412A">
        <w:rPr>
          <w:rFonts w:ascii="Arial" w:hAnsi="Arial" w:cs="Arial"/>
          <w:sz w:val="20"/>
          <w:szCs w:val="20"/>
        </w:rPr>
        <w:t>pandémiás</w:t>
      </w:r>
      <w:proofErr w:type="spellEnd"/>
      <w:r w:rsidR="0055412A" w:rsidRPr="0055412A">
        <w:rPr>
          <w:rFonts w:ascii="Arial" w:hAnsi="Arial" w:cs="Arial"/>
          <w:sz w:val="20"/>
          <w:szCs w:val="20"/>
        </w:rPr>
        <w:t xml:space="preserve"> eszközvásárlási programot jelentett be, amit 600, legutóbb pedig további 500 milliárd euróval bővített, emellett számos további jegybank is bejelentett már mennyiségi lazítást és kötvényvásárlási programot. </w:t>
      </w:r>
      <w:r w:rsidR="00F226B7">
        <w:rPr>
          <w:rFonts w:ascii="Arial" w:hAnsi="Arial" w:cs="Arial"/>
          <w:sz w:val="20"/>
          <w:szCs w:val="20"/>
        </w:rPr>
        <w:t xml:space="preserve">Az inflációs nyomás fokozódása miatt azonban </w:t>
      </w:r>
      <w:r w:rsidR="00F226B7">
        <w:rPr>
          <w:rFonts w:ascii="Arial" w:hAnsi="Arial" w:cs="Arial"/>
          <w:b/>
          <w:sz w:val="20"/>
          <w:szCs w:val="20"/>
        </w:rPr>
        <w:t>a</w:t>
      </w:r>
      <w:r w:rsidR="0055412A" w:rsidRPr="0055412A">
        <w:rPr>
          <w:rFonts w:ascii="Arial" w:hAnsi="Arial" w:cs="Arial"/>
          <w:b/>
          <w:sz w:val="20"/>
          <w:szCs w:val="20"/>
        </w:rPr>
        <w:t xml:space="preserve"> Fed</w:t>
      </w:r>
      <w:r w:rsidR="0055412A" w:rsidRPr="0055412A">
        <w:rPr>
          <w:rFonts w:ascii="Arial" w:hAnsi="Arial" w:cs="Arial"/>
          <w:sz w:val="20"/>
          <w:szCs w:val="20"/>
        </w:rPr>
        <w:t xml:space="preserve"> </w:t>
      </w:r>
      <w:r w:rsidR="00F226B7">
        <w:rPr>
          <w:rFonts w:ascii="Arial" w:hAnsi="Arial" w:cs="Arial"/>
          <w:sz w:val="20"/>
          <w:szCs w:val="20"/>
        </w:rPr>
        <w:t>elkezdte</w:t>
      </w:r>
      <w:r w:rsidR="00503D43">
        <w:rPr>
          <w:rFonts w:ascii="Arial" w:hAnsi="Arial" w:cs="Arial"/>
          <w:b/>
          <w:sz w:val="20"/>
          <w:szCs w:val="20"/>
        </w:rPr>
        <w:t xml:space="preserve"> az eszközvásárlási program </w:t>
      </w:r>
      <w:r w:rsidR="00F226B7">
        <w:rPr>
          <w:rFonts w:ascii="Arial" w:hAnsi="Arial" w:cs="Arial"/>
          <w:b/>
          <w:sz w:val="20"/>
          <w:szCs w:val="20"/>
        </w:rPr>
        <w:t>kivezetését, ami márciusra teljesülhet, ezt követően pedig idén és jövőre három-három, azt követően kettő kamatemeléssel számolnak</w:t>
      </w:r>
      <w:r w:rsidR="0055412A" w:rsidRPr="0055412A">
        <w:rPr>
          <w:rFonts w:ascii="Arial" w:hAnsi="Arial" w:cs="Arial"/>
          <w:sz w:val="20"/>
          <w:szCs w:val="20"/>
        </w:rPr>
        <w:t xml:space="preserve">. </w:t>
      </w:r>
      <w:r w:rsidR="00F226B7">
        <w:rPr>
          <w:rFonts w:ascii="Arial" w:hAnsi="Arial" w:cs="Arial"/>
          <w:sz w:val="20"/>
          <w:szCs w:val="20"/>
        </w:rPr>
        <w:t xml:space="preserve">Az EKB ezzel szemben továbbra is átmenetinek tekinti az infláció megugrását, ezért a piaci zavarok elkerülése érdekében a márciusban befejeződő </w:t>
      </w:r>
      <w:proofErr w:type="spellStart"/>
      <w:r w:rsidR="00F226B7">
        <w:rPr>
          <w:rFonts w:ascii="Arial" w:hAnsi="Arial" w:cs="Arial"/>
          <w:sz w:val="20"/>
          <w:szCs w:val="20"/>
        </w:rPr>
        <w:t>pandémiás</w:t>
      </w:r>
      <w:proofErr w:type="spellEnd"/>
      <w:r w:rsidR="00F226B7">
        <w:rPr>
          <w:rFonts w:ascii="Arial" w:hAnsi="Arial" w:cs="Arial"/>
          <w:sz w:val="20"/>
          <w:szCs w:val="20"/>
        </w:rPr>
        <w:t xml:space="preserve"> eszközvásárlási </w:t>
      </w:r>
      <w:r w:rsidR="00F226B7">
        <w:rPr>
          <w:rFonts w:ascii="Arial" w:hAnsi="Arial" w:cs="Arial"/>
          <w:sz w:val="20"/>
          <w:szCs w:val="20"/>
        </w:rPr>
        <w:lastRenderedPageBreak/>
        <w:t xml:space="preserve">program (PEPP) ellensúlyozására átmenetileg 20-ról 40 milliárd euróra növeli a korábban elindított eszközvásárlási program (AP) havi vásárlási összegét. </w:t>
      </w:r>
      <w:r w:rsidR="005C518C" w:rsidRPr="00FD658E">
        <w:rPr>
          <w:rFonts w:ascii="Arial" w:hAnsi="Arial" w:cs="Arial"/>
          <w:sz w:val="20"/>
          <w:szCs w:val="20"/>
        </w:rPr>
        <w:t xml:space="preserve">  </w:t>
      </w:r>
    </w:p>
    <w:p w14:paraId="1A6496C2" w14:textId="77777777" w:rsidR="005C518C" w:rsidRPr="003536D7" w:rsidRDefault="00A10369" w:rsidP="00316464">
      <w:pPr>
        <w:pStyle w:val="Alcmtbank"/>
      </w:pPr>
      <w:r>
        <w:br/>
      </w:r>
      <w:r w:rsidR="005C518C" w:rsidRPr="003536D7">
        <w:t>Foglalkoztatás, munkanélküliség és béralakulás</w:t>
      </w:r>
    </w:p>
    <w:p w14:paraId="1FF85E8E" w14:textId="77777777" w:rsidR="00F274C3" w:rsidRDefault="007A0A25" w:rsidP="00FD658E">
      <w:pPr>
        <w:spacing w:after="120" w:line="360" w:lineRule="auto"/>
        <w:jc w:val="both"/>
        <w:rPr>
          <w:rFonts w:ascii="Arial" w:hAnsi="Arial" w:cs="Arial"/>
          <w:sz w:val="20"/>
          <w:szCs w:val="20"/>
        </w:rPr>
      </w:pPr>
      <w:r>
        <w:rPr>
          <w:rFonts w:ascii="Arial" w:hAnsi="Arial" w:cs="Arial"/>
          <w:b/>
          <w:sz w:val="20"/>
          <w:szCs w:val="20"/>
        </w:rPr>
        <w:t>3,7</w:t>
      </w:r>
      <w:r w:rsidR="005C518C" w:rsidRPr="00FD658E">
        <w:rPr>
          <w:rFonts w:ascii="Arial" w:hAnsi="Arial" w:cs="Arial"/>
          <w:b/>
          <w:sz w:val="20"/>
          <w:szCs w:val="20"/>
        </w:rPr>
        <w:t>%-</w:t>
      </w:r>
      <w:proofErr w:type="spellStart"/>
      <w:r w:rsidR="005C518C" w:rsidRPr="00FD658E">
        <w:rPr>
          <w:rFonts w:ascii="Arial" w:hAnsi="Arial" w:cs="Arial"/>
          <w:b/>
          <w:sz w:val="20"/>
          <w:szCs w:val="20"/>
        </w:rPr>
        <w:t>ra</w:t>
      </w:r>
      <w:proofErr w:type="spellEnd"/>
      <w:r w:rsidR="005C518C" w:rsidRPr="00FD658E">
        <w:rPr>
          <w:rFonts w:ascii="Arial" w:hAnsi="Arial" w:cs="Arial"/>
          <w:b/>
          <w:sz w:val="20"/>
          <w:szCs w:val="20"/>
        </w:rPr>
        <w:t xml:space="preserve"> </w:t>
      </w:r>
      <w:r>
        <w:rPr>
          <w:rFonts w:ascii="Arial" w:hAnsi="Arial" w:cs="Arial"/>
          <w:b/>
          <w:sz w:val="20"/>
          <w:szCs w:val="20"/>
        </w:rPr>
        <w:t>csökkent</w:t>
      </w:r>
      <w:r w:rsidR="005C518C" w:rsidRPr="00FD658E">
        <w:rPr>
          <w:rFonts w:ascii="Arial" w:hAnsi="Arial" w:cs="Arial"/>
          <w:b/>
          <w:sz w:val="20"/>
          <w:szCs w:val="20"/>
        </w:rPr>
        <w:t xml:space="preserve"> a munkanélküliségi ráta </w:t>
      </w:r>
      <w:r>
        <w:rPr>
          <w:rFonts w:ascii="Arial" w:hAnsi="Arial" w:cs="Arial"/>
          <w:sz w:val="20"/>
          <w:szCs w:val="20"/>
        </w:rPr>
        <w:t>szeptember és november</w:t>
      </w:r>
      <w:r w:rsidR="00600873">
        <w:rPr>
          <w:rFonts w:ascii="Arial" w:hAnsi="Arial" w:cs="Arial"/>
          <w:sz w:val="20"/>
          <w:szCs w:val="20"/>
        </w:rPr>
        <w:t xml:space="preserve"> között az előző háromhavi </w:t>
      </w:r>
      <w:r>
        <w:rPr>
          <w:rFonts w:ascii="Arial" w:hAnsi="Arial" w:cs="Arial"/>
          <w:sz w:val="20"/>
          <w:szCs w:val="20"/>
        </w:rPr>
        <w:t>3,8</w:t>
      </w:r>
      <w:r w:rsidR="00600873">
        <w:rPr>
          <w:rFonts w:ascii="Arial" w:hAnsi="Arial" w:cs="Arial"/>
          <w:sz w:val="20"/>
          <w:szCs w:val="20"/>
        </w:rPr>
        <w:t>% után</w:t>
      </w:r>
      <w:r w:rsidR="005C518C" w:rsidRPr="00FD658E">
        <w:rPr>
          <w:rFonts w:ascii="Arial" w:hAnsi="Arial" w:cs="Arial"/>
          <w:sz w:val="20"/>
          <w:szCs w:val="20"/>
        </w:rPr>
        <w:t>.</w:t>
      </w:r>
      <w:r w:rsidR="00E179BE">
        <w:rPr>
          <w:rFonts w:ascii="Arial" w:hAnsi="Arial" w:cs="Arial"/>
          <w:sz w:val="20"/>
          <w:szCs w:val="20"/>
        </w:rPr>
        <w:t xml:space="preserve"> </w:t>
      </w:r>
      <w:r w:rsidR="00600873">
        <w:rPr>
          <w:rFonts w:ascii="Arial" w:hAnsi="Arial" w:cs="Arial"/>
          <w:b/>
          <w:sz w:val="20"/>
          <w:szCs w:val="20"/>
        </w:rPr>
        <w:t xml:space="preserve">Egy év alatt </w:t>
      </w:r>
      <w:r w:rsidR="00FE200D">
        <w:rPr>
          <w:rFonts w:ascii="Arial" w:hAnsi="Arial" w:cs="Arial"/>
          <w:b/>
          <w:sz w:val="20"/>
          <w:szCs w:val="20"/>
        </w:rPr>
        <w:t>70</w:t>
      </w:r>
      <w:r w:rsidR="00C4101E">
        <w:rPr>
          <w:rFonts w:ascii="Arial" w:hAnsi="Arial" w:cs="Arial"/>
          <w:b/>
          <w:sz w:val="20"/>
          <w:szCs w:val="20"/>
        </w:rPr>
        <w:t xml:space="preserve"> ezerrel, 4,</w:t>
      </w:r>
      <w:r w:rsidR="00FE200D">
        <w:rPr>
          <w:rFonts w:ascii="Arial" w:hAnsi="Arial" w:cs="Arial"/>
          <w:b/>
          <w:sz w:val="20"/>
          <w:szCs w:val="20"/>
        </w:rPr>
        <w:t>687</w:t>
      </w:r>
      <w:r w:rsidR="005C518C" w:rsidRPr="00FD658E">
        <w:rPr>
          <w:rFonts w:ascii="Arial" w:hAnsi="Arial" w:cs="Arial"/>
          <w:b/>
          <w:sz w:val="20"/>
          <w:szCs w:val="20"/>
        </w:rPr>
        <w:t xml:space="preserve"> millióra </w:t>
      </w:r>
      <w:r w:rsidR="002A7C8F">
        <w:rPr>
          <w:rFonts w:ascii="Arial" w:hAnsi="Arial" w:cs="Arial"/>
          <w:b/>
          <w:sz w:val="20"/>
          <w:szCs w:val="20"/>
        </w:rPr>
        <w:t>nőtt</w:t>
      </w:r>
      <w:r w:rsidR="005C518C" w:rsidRPr="00FD658E">
        <w:rPr>
          <w:rFonts w:ascii="Arial" w:hAnsi="Arial" w:cs="Arial"/>
          <w:b/>
          <w:sz w:val="20"/>
          <w:szCs w:val="20"/>
        </w:rPr>
        <w:t xml:space="preserve"> a foglalkoztatottak száma</w:t>
      </w:r>
      <w:r w:rsidR="002A7C8F">
        <w:rPr>
          <w:rFonts w:ascii="Arial" w:hAnsi="Arial" w:cs="Arial"/>
          <w:b/>
          <w:sz w:val="20"/>
          <w:szCs w:val="20"/>
        </w:rPr>
        <w:t>, ami nem csupán a járvány előtti szintet haladja meg, hanem a rendszerváltás óta a legmagasabb érték</w:t>
      </w:r>
      <w:r w:rsidR="005C518C" w:rsidRPr="00FD658E">
        <w:rPr>
          <w:rFonts w:ascii="Arial" w:hAnsi="Arial" w:cs="Arial"/>
          <w:sz w:val="20"/>
          <w:szCs w:val="20"/>
        </w:rPr>
        <w:t xml:space="preserve">. </w:t>
      </w:r>
      <w:r w:rsidR="00BB0CA5">
        <w:rPr>
          <w:rFonts w:ascii="Arial" w:hAnsi="Arial" w:cs="Arial"/>
          <w:b/>
          <w:sz w:val="20"/>
          <w:szCs w:val="20"/>
        </w:rPr>
        <w:t xml:space="preserve">Az elsődleges munkaerőpiacon </w:t>
      </w:r>
      <w:r w:rsidR="00FE200D">
        <w:rPr>
          <w:rFonts w:ascii="Arial" w:hAnsi="Arial" w:cs="Arial"/>
          <w:b/>
          <w:sz w:val="20"/>
          <w:szCs w:val="20"/>
        </w:rPr>
        <w:t>88</w:t>
      </w:r>
      <w:r w:rsidR="005C518C" w:rsidRPr="00FD658E">
        <w:rPr>
          <w:rFonts w:ascii="Arial" w:hAnsi="Arial" w:cs="Arial"/>
          <w:b/>
          <w:sz w:val="20"/>
          <w:szCs w:val="20"/>
        </w:rPr>
        <w:t xml:space="preserve"> ezerrel </w:t>
      </w:r>
      <w:r w:rsidR="00BB0CA5">
        <w:rPr>
          <w:rFonts w:ascii="Arial" w:hAnsi="Arial" w:cs="Arial"/>
          <w:b/>
          <w:sz w:val="20"/>
          <w:szCs w:val="20"/>
        </w:rPr>
        <w:t>nőtt</w:t>
      </w:r>
      <w:r w:rsidR="005C518C" w:rsidRPr="00FD658E">
        <w:rPr>
          <w:rFonts w:ascii="Arial" w:hAnsi="Arial" w:cs="Arial"/>
          <w:b/>
          <w:sz w:val="20"/>
          <w:szCs w:val="20"/>
        </w:rPr>
        <w:t xml:space="preserve"> a munkahelyek száma</w:t>
      </w:r>
      <w:r w:rsidR="005C518C" w:rsidRPr="00FD658E">
        <w:rPr>
          <w:rFonts w:ascii="Arial" w:hAnsi="Arial" w:cs="Arial"/>
          <w:sz w:val="20"/>
          <w:szCs w:val="20"/>
        </w:rPr>
        <w:t xml:space="preserve"> egy év alatt, </w:t>
      </w:r>
      <w:r w:rsidR="004B36CF">
        <w:rPr>
          <w:rFonts w:ascii="Arial" w:hAnsi="Arial" w:cs="Arial"/>
          <w:b/>
          <w:sz w:val="20"/>
          <w:szCs w:val="20"/>
        </w:rPr>
        <w:t>a közfoglalkoztatotta</w:t>
      </w:r>
      <w:r w:rsidR="00C4101E">
        <w:rPr>
          <w:rFonts w:ascii="Arial" w:hAnsi="Arial" w:cs="Arial"/>
          <w:b/>
          <w:sz w:val="20"/>
          <w:szCs w:val="20"/>
        </w:rPr>
        <w:t xml:space="preserve">k száma </w:t>
      </w:r>
      <w:r w:rsidR="00FE200D">
        <w:rPr>
          <w:rFonts w:ascii="Arial" w:hAnsi="Arial" w:cs="Arial"/>
          <w:b/>
          <w:sz w:val="20"/>
          <w:szCs w:val="20"/>
        </w:rPr>
        <w:t>4</w:t>
      </w:r>
      <w:r w:rsidR="005C518C" w:rsidRPr="00FD658E">
        <w:rPr>
          <w:rFonts w:ascii="Arial" w:hAnsi="Arial" w:cs="Arial"/>
          <w:b/>
          <w:sz w:val="20"/>
          <w:szCs w:val="20"/>
        </w:rPr>
        <w:t xml:space="preserve"> ezer fővel</w:t>
      </w:r>
      <w:r w:rsidR="005C518C" w:rsidRPr="00FD658E">
        <w:rPr>
          <w:rFonts w:ascii="Arial" w:hAnsi="Arial" w:cs="Arial"/>
          <w:sz w:val="20"/>
          <w:szCs w:val="20"/>
        </w:rPr>
        <w:t xml:space="preserve">, a külföldön dolgozók létszáma </w:t>
      </w:r>
      <w:r w:rsidR="00C4101E">
        <w:rPr>
          <w:rFonts w:ascii="Arial" w:hAnsi="Arial" w:cs="Arial"/>
          <w:sz w:val="20"/>
          <w:szCs w:val="20"/>
        </w:rPr>
        <w:t xml:space="preserve">pedig </w:t>
      </w:r>
      <w:r w:rsidR="00FE200D">
        <w:rPr>
          <w:rFonts w:ascii="Arial" w:hAnsi="Arial" w:cs="Arial"/>
          <w:sz w:val="20"/>
          <w:szCs w:val="20"/>
        </w:rPr>
        <w:t>14</w:t>
      </w:r>
      <w:r w:rsidR="005C518C" w:rsidRPr="00FD658E">
        <w:rPr>
          <w:rFonts w:ascii="Arial" w:hAnsi="Arial" w:cs="Arial"/>
          <w:sz w:val="20"/>
          <w:szCs w:val="20"/>
        </w:rPr>
        <w:t xml:space="preserve"> ezer fővel csökkent.</w:t>
      </w:r>
      <w:r w:rsidR="00E179BE">
        <w:rPr>
          <w:rFonts w:ascii="Arial" w:hAnsi="Arial" w:cs="Arial"/>
          <w:sz w:val="20"/>
          <w:szCs w:val="20"/>
        </w:rPr>
        <w:t xml:space="preserve"> </w:t>
      </w:r>
      <w:r w:rsidR="004B36CF">
        <w:rPr>
          <w:rFonts w:ascii="Arial" w:hAnsi="Arial" w:cs="Arial"/>
          <w:b/>
          <w:sz w:val="20"/>
          <w:szCs w:val="20"/>
        </w:rPr>
        <w:t>2021</w:t>
      </w:r>
      <w:r w:rsidR="00E179BE" w:rsidRPr="00BB0CA5">
        <w:rPr>
          <w:rFonts w:ascii="Arial" w:hAnsi="Arial" w:cs="Arial"/>
          <w:b/>
          <w:sz w:val="20"/>
          <w:szCs w:val="20"/>
        </w:rPr>
        <w:t xml:space="preserve"> </w:t>
      </w:r>
      <w:r w:rsidR="00FE200D">
        <w:rPr>
          <w:rFonts w:ascii="Arial" w:hAnsi="Arial" w:cs="Arial"/>
          <w:b/>
          <w:sz w:val="20"/>
          <w:szCs w:val="20"/>
        </w:rPr>
        <w:t>novemberében</w:t>
      </w:r>
      <w:r w:rsidR="00E179BE" w:rsidRPr="00E179BE">
        <w:rPr>
          <w:rFonts w:ascii="Arial" w:hAnsi="Arial" w:cs="Arial"/>
          <w:sz w:val="20"/>
          <w:szCs w:val="20"/>
        </w:rPr>
        <w:t xml:space="preserve"> a foglalkoztatottak átlagos havi létszáma </w:t>
      </w:r>
      <w:r w:rsidR="00C4101E">
        <w:rPr>
          <w:rFonts w:ascii="Arial" w:hAnsi="Arial" w:cs="Arial"/>
          <w:b/>
          <w:sz w:val="20"/>
          <w:szCs w:val="20"/>
        </w:rPr>
        <w:t xml:space="preserve">4 millió </w:t>
      </w:r>
      <w:r w:rsidR="002A7C8F">
        <w:rPr>
          <w:rFonts w:ascii="Arial" w:hAnsi="Arial" w:cs="Arial"/>
          <w:b/>
          <w:sz w:val="20"/>
          <w:szCs w:val="20"/>
        </w:rPr>
        <w:t>678</w:t>
      </w:r>
      <w:r w:rsidR="00C4101E">
        <w:rPr>
          <w:rFonts w:ascii="Arial" w:hAnsi="Arial" w:cs="Arial"/>
          <w:b/>
          <w:sz w:val="20"/>
          <w:szCs w:val="20"/>
        </w:rPr>
        <w:t xml:space="preserve"> ezer fő volt, </w:t>
      </w:r>
      <w:r w:rsidR="00FE200D">
        <w:rPr>
          <w:rFonts w:ascii="Arial" w:hAnsi="Arial" w:cs="Arial"/>
          <w:sz w:val="20"/>
          <w:szCs w:val="20"/>
        </w:rPr>
        <w:t>44</w:t>
      </w:r>
      <w:r w:rsidR="00E179BE" w:rsidRPr="00E179BE">
        <w:rPr>
          <w:rFonts w:ascii="Arial" w:hAnsi="Arial" w:cs="Arial"/>
          <w:sz w:val="20"/>
          <w:szCs w:val="20"/>
        </w:rPr>
        <w:t xml:space="preserve"> ezer fővel </w:t>
      </w:r>
      <w:r w:rsidR="00C4101E">
        <w:rPr>
          <w:rFonts w:ascii="Arial" w:hAnsi="Arial" w:cs="Arial"/>
          <w:sz w:val="20"/>
          <w:szCs w:val="20"/>
        </w:rPr>
        <w:t>több</w:t>
      </w:r>
      <w:r w:rsidR="00E179BE">
        <w:rPr>
          <w:rFonts w:ascii="Arial" w:hAnsi="Arial" w:cs="Arial"/>
          <w:sz w:val="20"/>
          <w:szCs w:val="20"/>
        </w:rPr>
        <w:t>, mint eg</w:t>
      </w:r>
      <w:r w:rsidR="00C4101E">
        <w:rPr>
          <w:rFonts w:ascii="Arial" w:hAnsi="Arial" w:cs="Arial"/>
          <w:sz w:val="20"/>
          <w:szCs w:val="20"/>
        </w:rPr>
        <w:t>y évvel korábban</w:t>
      </w:r>
      <w:r w:rsidR="00E179BE">
        <w:rPr>
          <w:rFonts w:ascii="Arial" w:hAnsi="Arial" w:cs="Arial"/>
          <w:sz w:val="20"/>
          <w:szCs w:val="20"/>
        </w:rPr>
        <w:t>.</w:t>
      </w:r>
      <w:r w:rsidR="005C518C" w:rsidRPr="00FD658E">
        <w:rPr>
          <w:rFonts w:ascii="Arial" w:hAnsi="Arial" w:cs="Arial"/>
          <w:sz w:val="20"/>
          <w:szCs w:val="20"/>
        </w:rPr>
        <w:t xml:space="preserve"> </w:t>
      </w:r>
      <w:r w:rsidR="005C518C" w:rsidRPr="00FD658E">
        <w:rPr>
          <w:rFonts w:ascii="Arial" w:hAnsi="Arial" w:cs="Arial"/>
          <w:b/>
          <w:sz w:val="20"/>
          <w:szCs w:val="20"/>
        </w:rPr>
        <w:t>A munkanélküliek száma</w:t>
      </w:r>
      <w:r w:rsidR="005C518C" w:rsidRPr="00FD658E">
        <w:rPr>
          <w:rFonts w:ascii="Arial" w:hAnsi="Arial" w:cs="Arial"/>
          <w:sz w:val="20"/>
          <w:szCs w:val="20"/>
        </w:rPr>
        <w:t xml:space="preserve"> </w:t>
      </w:r>
      <w:r w:rsidR="00FE200D">
        <w:rPr>
          <w:rFonts w:ascii="Arial" w:hAnsi="Arial" w:cs="Arial"/>
          <w:sz w:val="20"/>
          <w:szCs w:val="20"/>
        </w:rPr>
        <w:t>7</w:t>
      </w:r>
      <w:r w:rsidR="004B36CF">
        <w:rPr>
          <w:rFonts w:ascii="Arial" w:hAnsi="Arial" w:cs="Arial"/>
          <w:sz w:val="20"/>
          <w:szCs w:val="20"/>
        </w:rPr>
        <w:t xml:space="preserve"> ezer</w:t>
      </w:r>
      <w:r w:rsidR="005C518C" w:rsidRPr="00FD658E">
        <w:rPr>
          <w:rFonts w:ascii="Arial" w:hAnsi="Arial" w:cs="Arial"/>
          <w:sz w:val="20"/>
          <w:szCs w:val="20"/>
        </w:rPr>
        <w:t xml:space="preserve"> fővel </w:t>
      </w:r>
      <w:r w:rsidR="00FE200D">
        <w:rPr>
          <w:rFonts w:ascii="Arial" w:hAnsi="Arial" w:cs="Arial"/>
          <w:sz w:val="20"/>
          <w:szCs w:val="20"/>
        </w:rPr>
        <w:t>csökkent</w:t>
      </w:r>
      <w:r w:rsidR="005C518C" w:rsidRPr="00FD658E">
        <w:rPr>
          <w:rFonts w:ascii="Arial" w:hAnsi="Arial" w:cs="Arial"/>
          <w:sz w:val="20"/>
          <w:szCs w:val="20"/>
        </w:rPr>
        <w:t xml:space="preserve"> a</w:t>
      </w:r>
      <w:r w:rsidR="00BB0CA5">
        <w:rPr>
          <w:rFonts w:ascii="Arial" w:hAnsi="Arial" w:cs="Arial"/>
          <w:sz w:val="20"/>
          <w:szCs w:val="20"/>
        </w:rPr>
        <w:t>z</w:t>
      </w:r>
      <w:r w:rsidR="005C518C" w:rsidRPr="00FD658E">
        <w:rPr>
          <w:rFonts w:ascii="Arial" w:hAnsi="Arial" w:cs="Arial"/>
          <w:sz w:val="20"/>
          <w:szCs w:val="20"/>
        </w:rPr>
        <w:t xml:space="preserve"> </w:t>
      </w:r>
      <w:r w:rsidR="00BB0CA5">
        <w:rPr>
          <w:rFonts w:ascii="Arial" w:hAnsi="Arial" w:cs="Arial"/>
          <w:sz w:val="20"/>
          <w:szCs w:val="20"/>
        </w:rPr>
        <w:t>előző háromhavi</w:t>
      </w:r>
      <w:r w:rsidR="005C518C" w:rsidRPr="00FD658E">
        <w:rPr>
          <w:rFonts w:ascii="Arial" w:hAnsi="Arial" w:cs="Arial"/>
          <w:sz w:val="20"/>
          <w:szCs w:val="20"/>
        </w:rPr>
        <w:t xml:space="preserve"> átlaghoz képest, míg </w:t>
      </w:r>
      <w:r w:rsidR="00FE200D">
        <w:rPr>
          <w:rFonts w:ascii="Arial" w:hAnsi="Arial" w:cs="Arial"/>
          <w:b/>
          <w:sz w:val="20"/>
          <w:szCs w:val="20"/>
        </w:rPr>
        <w:t>23</w:t>
      </w:r>
      <w:r w:rsidR="005C518C" w:rsidRPr="00FD658E">
        <w:rPr>
          <w:rFonts w:ascii="Arial" w:hAnsi="Arial" w:cs="Arial"/>
          <w:b/>
          <w:sz w:val="20"/>
          <w:szCs w:val="20"/>
        </w:rPr>
        <w:t xml:space="preserve"> ezer fővel </w:t>
      </w:r>
      <w:r w:rsidR="002A7C8F">
        <w:rPr>
          <w:rFonts w:ascii="Arial" w:hAnsi="Arial" w:cs="Arial"/>
          <w:b/>
          <w:sz w:val="20"/>
          <w:szCs w:val="20"/>
        </w:rPr>
        <w:t>csökkent</w:t>
      </w:r>
      <w:r w:rsidR="005C518C" w:rsidRPr="00FD658E">
        <w:rPr>
          <w:rFonts w:ascii="Arial" w:hAnsi="Arial" w:cs="Arial"/>
          <w:sz w:val="20"/>
          <w:szCs w:val="20"/>
        </w:rPr>
        <w:t xml:space="preserve"> az egy évvel ezelőttihez képest,</w:t>
      </w:r>
      <w:r w:rsidR="004B36CF">
        <w:rPr>
          <w:rFonts w:ascii="Arial" w:hAnsi="Arial" w:cs="Arial"/>
          <w:sz w:val="20"/>
          <w:szCs w:val="20"/>
        </w:rPr>
        <w:t xml:space="preserve"> így a munkanélkülisé</w:t>
      </w:r>
      <w:r w:rsidR="002A7C8F">
        <w:rPr>
          <w:rFonts w:ascii="Arial" w:hAnsi="Arial" w:cs="Arial"/>
          <w:sz w:val="20"/>
          <w:szCs w:val="20"/>
        </w:rPr>
        <w:t xml:space="preserve">gi ráta </w:t>
      </w:r>
      <w:r w:rsidR="00FE200D">
        <w:rPr>
          <w:rFonts w:ascii="Arial" w:hAnsi="Arial" w:cs="Arial"/>
          <w:sz w:val="20"/>
          <w:szCs w:val="20"/>
        </w:rPr>
        <w:t>3,7</w:t>
      </w:r>
      <w:r w:rsidR="002A7C8F">
        <w:rPr>
          <w:rFonts w:ascii="Arial" w:hAnsi="Arial" w:cs="Arial"/>
          <w:sz w:val="20"/>
          <w:szCs w:val="20"/>
        </w:rPr>
        <w:t>%-</w:t>
      </w:r>
      <w:proofErr w:type="spellStart"/>
      <w:r w:rsidR="002A7C8F">
        <w:rPr>
          <w:rFonts w:ascii="Arial" w:hAnsi="Arial" w:cs="Arial"/>
          <w:sz w:val="20"/>
          <w:szCs w:val="20"/>
        </w:rPr>
        <w:t>ra</w:t>
      </w:r>
      <w:proofErr w:type="spellEnd"/>
      <w:r w:rsidR="002A7C8F">
        <w:rPr>
          <w:rFonts w:ascii="Arial" w:hAnsi="Arial" w:cs="Arial"/>
          <w:sz w:val="20"/>
          <w:szCs w:val="20"/>
        </w:rPr>
        <w:t xml:space="preserve"> mérséklődött</w:t>
      </w:r>
      <w:r w:rsidR="005C518C" w:rsidRPr="00FD658E">
        <w:rPr>
          <w:rFonts w:ascii="Arial" w:hAnsi="Arial" w:cs="Arial"/>
          <w:sz w:val="20"/>
          <w:szCs w:val="20"/>
        </w:rPr>
        <w:t xml:space="preserve"> az egy évve</w:t>
      </w:r>
      <w:r w:rsidR="00C4101E">
        <w:rPr>
          <w:rFonts w:ascii="Arial" w:hAnsi="Arial" w:cs="Arial"/>
          <w:sz w:val="20"/>
          <w:szCs w:val="20"/>
        </w:rPr>
        <w:t xml:space="preserve">l korábbi </w:t>
      </w:r>
      <w:r w:rsidR="00FE200D">
        <w:rPr>
          <w:rFonts w:ascii="Arial" w:hAnsi="Arial" w:cs="Arial"/>
          <w:sz w:val="20"/>
          <w:szCs w:val="20"/>
        </w:rPr>
        <w:t>4,2</w:t>
      </w:r>
      <w:r w:rsidR="005C518C" w:rsidRPr="00FD658E">
        <w:rPr>
          <w:rFonts w:ascii="Arial" w:hAnsi="Arial" w:cs="Arial"/>
          <w:sz w:val="20"/>
          <w:szCs w:val="20"/>
        </w:rPr>
        <w:t>%-</w:t>
      </w:r>
      <w:proofErr w:type="spellStart"/>
      <w:r w:rsidR="005C518C" w:rsidRPr="00FD658E">
        <w:rPr>
          <w:rFonts w:ascii="Arial" w:hAnsi="Arial" w:cs="Arial"/>
          <w:sz w:val="20"/>
          <w:szCs w:val="20"/>
        </w:rPr>
        <w:t>ról</w:t>
      </w:r>
      <w:proofErr w:type="spellEnd"/>
      <w:r w:rsidR="005C518C" w:rsidRPr="00FD658E">
        <w:rPr>
          <w:rFonts w:ascii="Arial" w:hAnsi="Arial" w:cs="Arial"/>
          <w:sz w:val="20"/>
          <w:szCs w:val="20"/>
        </w:rPr>
        <w:t xml:space="preserve">. A 15-74 éves korosztályban a gazdaságilag aktívak száma egy év alatt </w:t>
      </w:r>
      <w:r w:rsidR="00FE200D">
        <w:rPr>
          <w:rFonts w:ascii="Arial" w:hAnsi="Arial" w:cs="Arial"/>
          <w:sz w:val="20"/>
          <w:szCs w:val="20"/>
        </w:rPr>
        <w:t>45</w:t>
      </w:r>
      <w:r w:rsidR="00C4101E">
        <w:rPr>
          <w:rFonts w:ascii="Arial" w:hAnsi="Arial" w:cs="Arial"/>
          <w:sz w:val="20"/>
          <w:szCs w:val="20"/>
        </w:rPr>
        <w:t xml:space="preserve"> ezer fővel 4,</w:t>
      </w:r>
      <w:r w:rsidR="00FE200D">
        <w:rPr>
          <w:rFonts w:ascii="Arial" w:hAnsi="Arial" w:cs="Arial"/>
          <w:sz w:val="20"/>
          <w:szCs w:val="20"/>
        </w:rPr>
        <w:t>864</w:t>
      </w:r>
      <w:r w:rsidR="005C518C" w:rsidRPr="00FD658E">
        <w:rPr>
          <w:rFonts w:ascii="Arial" w:hAnsi="Arial" w:cs="Arial"/>
          <w:sz w:val="20"/>
          <w:szCs w:val="20"/>
        </w:rPr>
        <w:t xml:space="preserve"> millióra </w:t>
      </w:r>
      <w:r w:rsidR="004B36CF">
        <w:rPr>
          <w:rFonts w:ascii="Arial" w:hAnsi="Arial" w:cs="Arial"/>
          <w:sz w:val="20"/>
          <w:szCs w:val="20"/>
        </w:rPr>
        <w:t>nőtt</w:t>
      </w:r>
      <w:r w:rsidR="005C518C" w:rsidRPr="00FD658E">
        <w:rPr>
          <w:rFonts w:ascii="Arial" w:hAnsi="Arial" w:cs="Arial"/>
          <w:sz w:val="20"/>
          <w:szCs w:val="20"/>
        </w:rPr>
        <w:t xml:space="preserve">. A </w:t>
      </w:r>
      <w:r w:rsidR="005E661E">
        <w:rPr>
          <w:rFonts w:ascii="Arial" w:hAnsi="Arial" w:cs="Arial"/>
          <w:sz w:val="20"/>
          <w:szCs w:val="20"/>
        </w:rPr>
        <w:t>15</w:t>
      </w:r>
      <w:r w:rsidR="005C518C" w:rsidRPr="00FD658E">
        <w:rPr>
          <w:rFonts w:ascii="Arial" w:hAnsi="Arial" w:cs="Arial"/>
          <w:sz w:val="20"/>
          <w:szCs w:val="20"/>
        </w:rPr>
        <w:t>–64 éves korcsoport esetében</w:t>
      </w:r>
      <w:r w:rsidR="005E661E">
        <w:rPr>
          <w:rFonts w:ascii="Arial" w:hAnsi="Arial" w:cs="Arial"/>
          <w:sz w:val="20"/>
          <w:szCs w:val="20"/>
        </w:rPr>
        <w:t xml:space="preserve"> egy év alatt</w:t>
      </w:r>
      <w:r w:rsidR="005C518C" w:rsidRPr="00FD658E">
        <w:rPr>
          <w:rFonts w:ascii="Arial" w:hAnsi="Arial" w:cs="Arial"/>
          <w:sz w:val="20"/>
          <w:szCs w:val="20"/>
        </w:rPr>
        <w:t xml:space="preserve"> </w:t>
      </w:r>
      <w:r w:rsidR="005C518C" w:rsidRPr="00FD658E">
        <w:rPr>
          <w:rFonts w:ascii="Arial" w:hAnsi="Arial" w:cs="Arial"/>
          <w:b/>
          <w:sz w:val="20"/>
          <w:szCs w:val="20"/>
        </w:rPr>
        <w:t>a foglalkoztatás</w:t>
      </w:r>
      <w:r w:rsidR="002F3F93">
        <w:rPr>
          <w:rFonts w:ascii="Arial" w:hAnsi="Arial" w:cs="Arial"/>
          <w:b/>
          <w:sz w:val="20"/>
          <w:szCs w:val="20"/>
        </w:rPr>
        <w:t>i ráta 1,6 százalékponttal, 74</w:t>
      </w:r>
      <w:r w:rsidR="005C518C" w:rsidRPr="00FD658E">
        <w:rPr>
          <w:rFonts w:ascii="Arial" w:hAnsi="Arial" w:cs="Arial"/>
          <w:b/>
          <w:sz w:val="20"/>
          <w:szCs w:val="20"/>
        </w:rPr>
        <w:t>%-</w:t>
      </w:r>
      <w:proofErr w:type="spellStart"/>
      <w:r w:rsidR="005C518C" w:rsidRPr="00FD658E">
        <w:rPr>
          <w:rFonts w:ascii="Arial" w:hAnsi="Arial" w:cs="Arial"/>
          <w:b/>
          <w:sz w:val="20"/>
          <w:szCs w:val="20"/>
        </w:rPr>
        <w:t>ra</w:t>
      </w:r>
      <w:proofErr w:type="spellEnd"/>
      <w:r w:rsidR="005C518C" w:rsidRPr="00FD658E">
        <w:rPr>
          <w:rFonts w:ascii="Arial" w:hAnsi="Arial" w:cs="Arial"/>
          <w:b/>
          <w:sz w:val="20"/>
          <w:szCs w:val="20"/>
        </w:rPr>
        <w:t xml:space="preserve"> </w:t>
      </w:r>
      <w:r w:rsidR="005E661E">
        <w:rPr>
          <w:rFonts w:ascii="Arial" w:hAnsi="Arial" w:cs="Arial"/>
          <w:b/>
          <w:sz w:val="20"/>
          <w:szCs w:val="20"/>
        </w:rPr>
        <w:t>nőtt</w:t>
      </w:r>
      <w:r w:rsidR="00BB0CA5">
        <w:rPr>
          <w:rFonts w:ascii="Arial" w:hAnsi="Arial" w:cs="Arial"/>
          <w:sz w:val="20"/>
          <w:szCs w:val="20"/>
        </w:rPr>
        <w:t xml:space="preserve">. </w:t>
      </w:r>
      <w:r w:rsidR="00BB0CA5">
        <w:rPr>
          <w:rFonts w:ascii="Arial" w:hAnsi="Arial" w:cs="Arial"/>
          <w:sz w:val="20"/>
          <w:szCs w:val="20"/>
        </w:rPr>
        <w:tab/>
      </w:r>
    </w:p>
    <w:tbl>
      <w:tblPr>
        <w:tblW w:w="9490" w:type="dxa"/>
        <w:tblLayout w:type="fixed"/>
        <w:tblLook w:val="01E0" w:firstRow="1" w:lastRow="1" w:firstColumn="1" w:lastColumn="1" w:noHBand="0" w:noVBand="0"/>
      </w:tblPr>
      <w:tblGrid>
        <w:gridCol w:w="4746"/>
        <w:gridCol w:w="4744"/>
      </w:tblGrid>
      <w:tr w:rsidR="00F274C3" w:rsidRPr="003536D7" w14:paraId="700C6758" w14:textId="77777777" w:rsidTr="00584439">
        <w:tc>
          <w:tcPr>
            <w:tcW w:w="4746" w:type="dxa"/>
          </w:tcPr>
          <w:p w14:paraId="16502B68" w14:textId="77777777" w:rsidR="00F274C3" w:rsidRPr="00FD658E" w:rsidRDefault="006A4321" w:rsidP="00584439">
            <w:pPr>
              <w:spacing w:after="120"/>
              <w:jc w:val="center"/>
              <w:rPr>
                <w:rFonts w:ascii="Arial" w:hAnsi="Arial" w:cs="Arial"/>
                <w:b/>
                <w:color w:val="FF8500"/>
              </w:rPr>
            </w:pPr>
            <w:r>
              <w:rPr>
                <w:rFonts w:ascii="Arial" w:hAnsi="Arial" w:cs="Arial"/>
                <w:b/>
                <w:color w:val="FF8500"/>
              </w:rPr>
              <w:t>15</w:t>
            </w:r>
            <w:r w:rsidR="00F274C3" w:rsidRPr="00FD658E">
              <w:rPr>
                <w:rFonts w:ascii="Arial" w:hAnsi="Arial" w:cs="Arial"/>
                <w:b/>
                <w:color w:val="FF8500"/>
              </w:rPr>
              <w:t xml:space="preserve">. ábra: </w:t>
            </w:r>
            <w:r w:rsidR="00F274C3" w:rsidRPr="00A10369">
              <w:rPr>
                <w:rFonts w:ascii="Arial" w:hAnsi="Arial" w:cs="Arial"/>
                <w:bCs/>
                <w:color w:val="FF8500"/>
              </w:rPr>
              <w:t>A munkanélküliségi ráta alakulása</w:t>
            </w:r>
          </w:p>
        </w:tc>
        <w:tc>
          <w:tcPr>
            <w:tcW w:w="4744" w:type="dxa"/>
          </w:tcPr>
          <w:p w14:paraId="1C9DE2A4" w14:textId="77777777" w:rsidR="00F274C3" w:rsidRPr="00FD658E" w:rsidRDefault="006A4321" w:rsidP="00584439">
            <w:pPr>
              <w:spacing w:after="120"/>
              <w:jc w:val="center"/>
              <w:rPr>
                <w:rFonts w:ascii="Arial" w:hAnsi="Arial" w:cs="Arial"/>
                <w:b/>
                <w:color w:val="FF8500"/>
              </w:rPr>
            </w:pPr>
            <w:r>
              <w:rPr>
                <w:rFonts w:ascii="Arial" w:hAnsi="Arial" w:cs="Arial"/>
                <w:b/>
                <w:color w:val="FF8500"/>
              </w:rPr>
              <w:t>16</w:t>
            </w:r>
            <w:r w:rsidR="00F274C3" w:rsidRPr="00FD658E">
              <w:rPr>
                <w:rFonts w:ascii="Arial" w:hAnsi="Arial" w:cs="Arial"/>
                <w:b/>
                <w:color w:val="FF8500"/>
              </w:rPr>
              <w:t>. ábra:</w:t>
            </w:r>
            <w:r w:rsidR="00F274C3" w:rsidRPr="00FD658E">
              <w:rPr>
                <w:rFonts w:ascii="Arial" w:hAnsi="Arial" w:cs="Arial"/>
                <w:color w:val="FF8500"/>
                <w:sz w:val="18"/>
                <w:szCs w:val="18"/>
              </w:rPr>
              <w:t xml:space="preserve"> </w:t>
            </w:r>
            <w:r w:rsidR="00F274C3" w:rsidRPr="00A10369">
              <w:rPr>
                <w:rFonts w:ascii="Arial" w:hAnsi="Arial" w:cs="Arial"/>
                <w:bCs/>
                <w:color w:val="FF8500"/>
              </w:rPr>
              <w:t xml:space="preserve">A foglalkoztatás és </w:t>
            </w:r>
            <w:r w:rsidR="00F274C3" w:rsidRPr="00A10369">
              <w:rPr>
                <w:rFonts w:ascii="Arial" w:hAnsi="Arial" w:cs="Arial"/>
                <w:bCs/>
                <w:color w:val="FF8500"/>
              </w:rPr>
              <w:br/>
              <w:t>a munkanélküliség alakulása</w:t>
            </w:r>
          </w:p>
        </w:tc>
      </w:tr>
      <w:tr w:rsidR="00F274C3" w:rsidRPr="003536D7" w14:paraId="6DD821A5" w14:textId="77777777" w:rsidTr="00584439">
        <w:tblPrEx>
          <w:tblCellMar>
            <w:left w:w="70" w:type="dxa"/>
            <w:right w:w="70" w:type="dxa"/>
          </w:tblCellMar>
        </w:tblPrEx>
        <w:tc>
          <w:tcPr>
            <w:tcW w:w="4746" w:type="dxa"/>
          </w:tcPr>
          <w:p w14:paraId="26E59CE5" w14:textId="77777777" w:rsidR="00F274C3" w:rsidRPr="003536D7" w:rsidRDefault="002F3F93" w:rsidP="00584439">
            <w:pPr>
              <w:spacing w:after="120"/>
              <w:jc w:val="center"/>
              <w:rPr>
                <w:rFonts w:ascii="Arial" w:hAnsi="Arial" w:cs="Arial"/>
              </w:rPr>
            </w:pPr>
            <w:r w:rsidRPr="002F3F93">
              <w:rPr>
                <w:rFonts w:ascii="Arial" w:hAnsi="Arial" w:cs="Arial"/>
                <w:noProof/>
                <w:lang w:eastAsia="hu-HU"/>
              </w:rPr>
              <w:drawing>
                <wp:inline distT="0" distB="0" distL="0" distR="0" wp14:anchorId="7A4558ED" wp14:editId="51718896">
                  <wp:extent cx="2819400" cy="192405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9400" cy="1924050"/>
                          </a:xfrm>
                          <a:prstGeom prst="rect">
                            <a:avLst/>
                          </a:prstGeom>
                          <a:noFill/>
                          <a:ln>
                            <a:noFill/>
                          </a:ln>
                        </pic:spPr>
                      </pic:pic>
                    </a:graphicData>
                  </a:graphic>
                </wp:inline>
              </w:drawing>
            </w:r>
          </w:p>
        </w:tc>
        <w:tc>
          <w:tcPr>
            <w:tcW w:w="4744" w:type="dxa"/>
          </w:tcPr>
          <w:p w14:paraId="51C0D5D5" w14:textId="77777777" w:rsidR="00F274C3" w:rsidRPr="003536D7" w:rsidRDefault="002F3F93" w:rsidP="00584439">
            <w:pPr>
              <w:spacing w:after="120"/>
              <w:jc w:val="center"/>
              <w:rPr>
                <w:rFonts w:ascii="Arial" w:hAnsi="Arial" w:cs="Arial"/>
              </w:rPr>
            </w:pPr>
            <w:r w:rsidRPr="002F3F93">
              <w:rPr>
                <w:rFonts w:ascii="Arial" w:hAnsi="Arial" w:cs="Arial"/>
                <w:noProof/>
                <w:lang w:eastAsia="hu-HU"/>
              </w:rPr>
              <w:drawing>
                <wp:inline distT="0" distB="0" distL="0" distR="0" wp14:anchorId="0B91D283" wp14:editId="7445B444">
                  <wp:extent cx="2819400" cy="190500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9400" cy="1905000"/>
                          </a:xfrm>
                          <a:prstGeom prst="rect">
                            <a:avLst/>
                          </a:prstGeom>
                          <a:noFill/>
                          <a:ln>
                            <a:noFill/>
                          </a:ln>
                        </pic:spPr>
                      </pic:pic>
                    </a:graphicData>
                  </a:graphic>
                </wp:inline>
              </w:drawing>
            </w:r>
          </w:p>
        </w:tc>
      </w:tr>
      <w:tr w:rsidR="00F274C3" w:rsidRPr="003536D7" w14:paraId="303D7E32" w14:textId="77777777" w:rsidTr="00584439">
        <w:tc>
          <w:tcPr>
            <w:tcW w:w="4746" w:type="dxa"/>
          </w:tcPr>
          <w:p w14:paraId="178FABE8" w14:textId="77777777" w:rsidR="00F274C3" w:rsidRPr="003536D7" w:rsidRDefault="00F274C3" w:rsidP="00584439">
            <w:pPr>
              <w:pStyle w:val="Kpalrstbank"/>
            </w:pPr>
            <w:r w:rsidRPr="003536D7">
              <w:t>Forrás: KSH, Takarékbank előrejelzés</w:t>
            </w:r>
          </w:p>
        </w:tc>
        <w:tc>
          <w:tcPr>
            <w:tcW w:w="4744" w:type="dxa"/>
          </w:tcPr>
          <w:p w14:paraId="7DC2AB95" w14:textId="77777777" w:rsidR="00F274C3" w:rsidRPr="003536D7" w:rsidRDefault="00F274C3" w:rsidP="00584439">
            <w:pPr>
              <w:pStyle w:val="Kpalrstbank"/>
            </w:pPr>
            <w:r w:rsidRPr="003536D7">
              <w:t>Forrás: KSH, Takarékbank előrejelzés</w:t>
            </w:r>
          </w:p>
        </w:tc>
      </w:tr>
    </w:tbl>
    <w:p w14:paraId="421F22CC" w14:textId="77777777" w:rsidR="005C518C" w:rsidRPr="00FD658E" w:rsidRDefault="004A504A" w:rsidP="00FD658E">
      <w:pPr>
        <w:spacing w:after="120" w:line="360" w:lineRule="auto"/>
        <w:jc w:val="both"/>
        <w:rPr>
          <w:rFonts w:ascii="Arial" w:hAnsi="Arial" w:cs="Arial"/>
          <w:sz w:val="20"/>
          <w:szCs w:val="20"/>
        </w:rPr>
      </w:pPr>
      <w:r w:rsidRPr="004A504A">
        <w:rPr>
          <w:rFonts w:ascii="Arial" w:hAnsi="Arial" w:cs="Arial"/>
          <w:sz w:val="20"/>
          <w:szCs w:val="20"/>
        </w:rPr>
        <w:t xml:space="preserve">A harmadik hullámos korlátozások végével hamar magára talált a hazai munkaerőpiac, történelmi csúcsra emelkedett a foglalkoztatottak száma, a nyitási lehetőséggel párhuzamosan láthatóan aktív toborzásba kezdtek a vállalatok, így a nyár végére visszatért a válság előtti feszesség a hazai piacra és újra emelkedik a betöltetlen álláshelyek száma. Várakozásunk szerint </w:t>
      </w:r>
      <w:r w:rsidR="00361C0C">
        <w:rPr>
          <w:rFonts w:ascii="Arial" w:hAnsi="Arial" w:cs="Arial"/>
          <w:b/>
          <w:sz w:val="20"/>
          <w:szCs w:val="20"/>
        </w:rPr>
        <w:t>tavaly</w:t>
      </w:r>
      <w:r w:rsidRPr="004A504A">
        <w:rPr>
          <w:rFonts w:ascii="Arial" w:hAnsi="Arial" w:cs="Arial"/>
          <w:b/>
          <w:sz w:val="20"/>
          <w:szCs w:val="20"/>
        </w:rPr>
        <w:t xml:space="preserve"> 4.0%, </w:t>
      </w:r>
      <w:r w:rsidR="00361C0C">
        <w:rPr>
          <w:rFonts w:ascii="Arial" w:hAnsi="Arial" w:cs="Arial"/>
          <w:b/>
          <w:sz w:val="20"/>
          <w:szCs w:val="20"/>
        </w:rPr>
        <w:t>idén</w:t>
      </w:r>
      <w:r w:rsidRPr="004A504A">
        <w:rPr>
          <w:rFonts w:ascii="Arial" w:hAnsi="Arial" w:cs="Arial"/>
          <w:b/>
          <w:sz w:val="20"/>
          <w:szCs w:val="20"/>
        </w:rPr>
        <w:t xml:space="preserve"> pedig 3.3% lehet a munkanélküliség</w:t>
      </w:r>
      <w:r w:rsidR="00361C0C">
        <w:rPr>
          <w:rFonts w:ascii="Arial" w:hAnsi="Arial" w:cs="Arial"/>
          <w:b/>
          <w:sz w:val="20"/>
          <w:szCs w:val="20"/>
        </w:rPr>
        <w:t>i ráta</w:t>
      </w:r>
      <w:r w:rsidRPr="004A504A">
        <w:rPr>
          <w:rFonts w:ascii="Arial" w:hAnsi="Arial" w:cs="Arial"/>
          <w:sz w:val="20"/>
          <w:szCs w:val="20"/>
        </w:rPr>
        <w:t xml:space="preserve"> a </w:t>
      </w:r>
      <w:r>
        <w:rPr>
          <w:rFonts w:ascii="Arial" w:hAnsi="Arial" w:cs="Arial"/>
          <w:sz w:val="20"/>
          <w:szCs w:val="20"/>
        </w:rPr>
        <w:t>statisztikai módszertan szerint</w:t>
      </w:r>
      <w:r w:rsidRPr="004A504A">
        <w:rPr>
          <w:rFonts w:ascii="Arial" w:hAnsi="Arial" w:cs="Arial"/>
          <w:sz w:val="20"/>
          <w:szCs w:val="20"/>
        </w:rPr>
        <w:t xml:space="preserve">. A kormány munkahelyvédelmi intézkedései, a bértámogatások, az adócsökkentések, a vállalati és lakossági törlesztési moratórium érdemben hozzájárultak a munkahelymegőrzéshez és ahhoz, hogy a jelenlegi munkaerőpiaci válság jelentősen kisebb amplitúdójú (volt), mint az egy évtizeddel korábbi, amikor elérte a 700 ezret a munkanélküliek száma. </w:t>
      </w:r>
      <w:r w:rsidR="00005F94" w:rsidRPr="00005F94">
        <w:rPr>
          <w:rFonts w:ascii="Arial" w:hAnsi="Arial" w:cs="Arial"/>
          <w:sz w:val="20"/>
          <w:szCs w:val="20"/>
        </w:rPr>
        <w:t xml:space="preserve">A gyors helyreállás ellenére még látszanak utóhatások, ami a munkanélküliség válság előttihez kissé magasabb szintjében is jelentkezik, néhány szektor, köztük a külföldiek keresletére építő budapesti turizmus teljes helyreállása még várat magára. </w:t>
      </w:r>
      <w:r w:rsidR="00005F94" w:rsidRPr="00005F94">
        <w:rPr>
          <w:rFonts w:ascii="Arial" w:hAnsi="Arial" w:cs="Arial"/>
          <w:sz w:val="20"/>
          <w:szCs w:val="20"/>
        </w:rPr>
        <w:lastRenderedPageBreak/>
        <w:t xml:space="preserve">Iparági források alapján az év végére újra elérkezett a másfél évvel ezelőtt látott munkaerőhiányos és erőteljes bérversennyel járó munkaerőpiaci környezet a legtöbb szektorban, különösen, amelyekben jelentős munkaerőt kellene pótolni a </w:t>
      </w:r>
      <w:proofErr w:type="spellStart"/>
      <w:r w:rsidR="00005F94" w:rsidRPr="00005F94">
        <w:rPr>
          <w:rFonts w:ascii="Arial" w:hAnsi="Arial" w:cs="Arial"/>
          <w:sz w:val="20"/>
          <w:szCs w:val="20"/>
        </w:rPr>
        <w:t>pandémiás</w:t>
      </w:r>
      <w:proofErr w:type="spellEnd"/>
      <w:r w:rsidR="00005F94" w:rsidRPr="00005F94">
        <w:rPr>
          <w:rFonts w:ascii="Arial" w:hAnsi="Arial" w:cs="Arial"/>
          <w:sz w:val="20"/>
          <w:szCs w:val="20"/>
        </w:rPr>
        <w:t xml:space="preserve"> elbocsájtások után. Országos szinten a szakterületenként feladott álláshirdetések mennyiségéből kirajzolódik, hogy a vendéglátás-idegenforgalom emelkedett a legjobban, amelyet az SSC-k, a HR, a marketing, média és PR, valamint az adminisztráció és irodai állások követnek. Az újra megjelenő és várhatóan fennmaradó munkaerőhiányos helyzet egyben igazolja az aggodalmakat a felfelé mutató inflációs kockázatokról is, mivel a munkaerőpiaci feszesség gyors emelkedése a bérnövekedés ütemét is tovább gyorsítja, miközben a kínálati oldal több esetben még mindig nem épült fel teljesen, továbbra is jelen van a globális alapanyaghiány, kapacitáshiány és a jelentős energiadrágulás is nehezíti a vállalatok termelési szintjének helyreállását. Lefelé mutató kockázat lehet egy újabb hullámból eredő korlátozás itthon és a nemzetközi piacokon egyaránt, bár ezektől láthatóan igyekeznek </w:t>
      </w:r>
      <w:proofErr w:type="gramStart"/>
      <w:r w:rsidR="00005F94" w:rsidRPr="00005F94">
        <w:rPr>
          <w:rFonts w:ascii="Arial" w:hAnsi="Arial" w:cs="Arial"/>
          <w:sz w:val="20"/>
          <w:szCs w:val="20"/>
        </w:rPr>
        <w:t>tartózkodni</w:t>
      </w:r>
      <w:proofErr w:type="gramEnd"/>
      <w:r w:rsidR="00005F94" w:rsidRPr="00005F94">
        <w:rPr>
          <w:rFonts w:ascii="Arial" w:hAnsi="Arial" w:cs="Arial"/>
          <w:sz w:val="20"/>
          <w:szCs w:val="20"/>
        </w:rPr>
        <w:t xml:space="preserve"> ahol csak lehetséges, így várhatóan az idei évet is növekedéssel és erőteljes bérnövekedéssel indíthatja a magyar munkaerőpiac, bár a rendelkezésre álló munkaerő mennyisége a végéhez közelít, a teljes foglalkoztatottság közelében áll a hazai piac és az extenzív növeke</w:t>
      </w:r>
      <w:r w:rsidR="00005F94">
        <w:rPr>
          <w:rFonts w:ascii="Arial" w:hAnsi="Arial" w:cs="Arial"/>
          <w:sz w:val="20"/>
          <w:szCs w:val="20"/>
        </w:rPr>
        <w:t>dési fázis hamarosan lezárulhat</w:t>
      </w:r>
      <w:r w:rsidRPr="004A504A">
        <w:rPr>
          <w:rFonts w:ascii="Arial" w:hAnsi="Arial" w:cs="Arial"/>
          <w:sz w:val="20"/>
          <w:szCs w:val="20"/>
        </w:rPr>
        <w:t>.</w:t>
      </w:r>
      <w:r w:rsidR="005C518C" w:rsidRPr="00FD658E">
        <w:rPr>
          <w:rFonts w:ascii="Arial" w:hAnsi="Arial" w:cs="Arial"/>
          <w:sz w:val="20"/>
          <w:szCs w:val="20"/>
        </w:rPr>
        <w:t xml:space="preserve">  </w:t>
      </w:r>
    </w:p>
    <w:p w14:paraId="3F86D5C2" w14:textId="77777777" w:rsidR="00A10369" w:rsidRDefault="005A19FD" w:rsidP="00FA0A7B">
      <w:pPr>
        <w:spacing w:after="120" w:line="360" w:lineRule="auto"/>
        <w:jc w:val="both"/>
        <w:rPr>
          <w:rFonts w:ascii="Arial" w:hAnsi="Arial" w:cs="Arial"/>
          <w:sz w:val="20"/>
          <w:szCs w:val="20"/>
        </w:rPr>
      </w:pPr>
      <w:r w:rsidRPr="005A19FD">
        <w:rPr>
          <w:rFonts w:ascii="Arial" w:hAnsi="Arial" w:cs="Arial"/>
          <w:sz w:val="20"/>
          <w:szCs w:val="20"/>
        </w:rPr>
        <w:t>2021 II</w:t>
      </w:r>
      <w:r w:rsidR="00BF5B80">
        <w:rPr>
          <w:rFonts w:ascii="Arial" w:hAnsi="Arial" w:cs="Arial"/>
          <w:sz w:val="20"/>
          <w:szCs w:val="20"/>
        </w:rPr>
        <w:t>I</w:t>
      </w:r>
      <w:r w:rsidRPr="005A19FD">
        <w:rPr>
          <w:rFonts w:ascii="Arial" w:hAnsi="Arial" w:cs="Arial"/>
          <w:sz w:val="20"/>
          <w:szCs w:val="20"/>
        </w:rPr>
        <w:t xml:space="preserve">. negyedévében igen erős képet mutatott a hazai munkaerőpiac </w:t>
      </w:r>
      <w:proofErr w:type="spellStart"/>
      <w:r w:rsidRPr="005A19FD">
        <w:rPr>
          <w:rFonts w:ascii="Arial" w:hAnsi="Arial" w:cs="Arial"/>
          <w:sz w:val="20"/>
          <w:szCs w:val="20"/>
        </w:rPr>
        <w:t>szektoriális</w:t>
      </w:r>
      <w:proofErr w:type="spellEnd"/>
      <w:r w:rsidRPr="005A19FD">
        <w:rPr>
          <w:rFonts w:ascii="Arial" w:hAnsi="Arial" w:cs="Arial"/>
          <w:sz w:val="20"/>
          <w:szCs w:val="20"/>
        </w:rPr>
        <w:t xml:space="preserve"> bontásban. </w:t>
      </w:r>
      <w:r w:rsidR="00BF5B80" w:rsidRPr="00BF5B80">
        <w:rPr>
          <w:rFonts w:ascii="Arial" w:hAnsi="Arial" w:cs="Arial"/>
          <w:sz w:val="20"/>
          <w:szCs w:val="20"/>
        </w:rPr>
        <w:t xml:space="preserve">A mezőgazdaságban 9 ezerrel, a feldolgozóiparban pedig minimális, 7 ezer fővel csökkent a foglalkoztatás, míg az építőiparban 10 ezerrel, a piaci szolgáltatások területén 31 ezerrel, a nem piaci szolgáltatások területén pedig 13 ezerrel nőtt a létszám, így nemzetgazdaság-szerte helyreállás látszott az egyes iparágakban, egyedül a mezőgazdaság nem tud tartósabban felzárkózni, vélhetően a munkaerőhiány miatt emelkedő bérszinteket kevésbé tudják kigazdálkodni </w:t>
      </w:r>
      <w:proofErr w:type="gramStart"/>
      <w:r w:rsidR="00BF5B80" w:rsidRPr="00BF5B80">
        <w:rPr>
          <w:rFonts w:ascii="Arial" w:hAnsi="Arial" w:cs="Arial"/>
          <w:sz w:val="20"/>
          <w:szCs w:val="20"/>
        </w:rPr>
        <w:t>egyelőre.</w:t>
      </w:r>
      <w:r w:rsidRPr="005A19FD">
        <w:rPr>
          <w:rFonts w:ascii="Arial" w:hAnsi="Arial" w:cs="Arial"/>
          <w:sz w:val="20"/>
          <w:szCs w:val="20"/>
        </w:rPr>
        <w:t>.</w:t>
      </w:r>
      <w:proofErr w:type="gramEnd"/>
    </w:p>
    <w:p w14:paraId="32C351AA" w14:textId="77777777" w:rsidR="00A4263E" w:rsidRPr="00FA0A7B" w:rsidRDefault="00592373" w:rsidP="00FA0A7B">
      <w:pPr>
        <w:spacing w:after="120" w:line="360" w:lineRule="auto"/>
        <w:jc w:val="both"/>
        <w:rPr>
          <w:rFonts w:ascii="Arial" w:hAnsi="Arial" w:cs="Arial"/>
          <w:sz w:val="20"/>
          <w:szCs w:val="20"/>
        </w:rPr>
      </w:pPr>
      <w:r>
        <w:rPr>
          <w:rFonts w:ascii="Arial" w:hAnsi="Arial" w:cs="Arial"/>
          <w:sz w:val="20"/>
          <w:szCs w:val="20"/>
        </w:rPr>
        <w:t xml:space="preserve">A Nemzeti Foglalkoztatási Szolgálat adatai szerint </w:t>
      </w:r>
      <w:r w:rsidR="00992D4D">
        <w:rPr>
          <w:rFonts w:ascii="Arial" w:hAnsi="Arial" w:cs="Arial"/>
          <w:sz w:val="20"/>
          <w:szCs w:val="20"/>
        </w:rPr>
        <w:t>decemberben egy hónap alatt, 3</w:t>
      </w:r>
      <w:r w:rsidR="00B02556">
        <w:rPr>
          <w:rFonts w:ascii="Arial" w:hAnsi="Arial" w:cs="Arial"/>
          <w:sz w:val="20"/>
          <w:szCs w:val="20"/>
        </w:rPr>
        <w:t xml:space="preserve">,5, egy év alatt </w:t>
      </w:r>
      <w:r w:rsidR="00992D4D">
        <w:rPr>
          <w:rFonts w:ascii="Arial" w:hAnsi="Arial" w:cs="Arial"/>
          <w:sz w:val="20"/>
          <w:szCs w:val="20"/>
        </w:rPr>
        <w:t>52</w:t>
      </w:r>
      <w:r w:rsidR="00DC79E3">
        <w:rPr>
          <w:rFonts w:ascii="Arial" w:hAnsi="Arial" w:cs="Arial"/>
          <w:sz w:val="20"/>
          <w:szCs w:val="20"/>
        </w:rPr>
        <w:t xml:space="preserve"> ezer fővel </w:t>
      </w:r>
      <w:r w:rsidR="00992D4D">
        <w:rPr>
          <w:rFonts w:ascii="Arial" w:hAnsi="Arial" w:cs="Arial"/>
          <w:b/>
          <w:sz w:val="20"/>
          <w:szCs w:val="20"/>
        </w:rPr>
        <w:t>238,7</w:t>
      </w:r>
      <w:r w:rsidRPr="00B02556">
        <w:rPr>
          <w:rFonts w:ascii="Arial" w:hAnsi="Arial" w:cs="Arial"/>
          <w:b/>
          <w:sz w:val="20"/>
          <w:szCs w:val="20"/>
        </w:rPr>
        <w:t xml:space="preserve"> ezerre </w:t>
      </w:r>
      <w:r w:rsidR="0014279B" w:rsidRPr="00B02556">
        <w:rPr>
          <w:rFonts w:ascii="Arial" w:hAnsi="Arial" w:cs="Arial"/>
          <w:b/>
          <w:sz w:val="20"/>
          <w:szCs w:val="20"/>
        </w:rPr>
        <w:t>csökkent</w:t>
      </w:r>
      <w:r>
        <w:rPr>
          <w:rFonts w:ascii="Arial" w:hAnsi="Arial" w:cs="Arial"/>
          <w:sz w:val="20"/>
          <w:szCs w:val="20"/>
        </w:rPr>
        <w:t xml:space="preserve"> a regisztrált álláskereső száma, </w:t>
      </w:r>
      <w:r w:rsidR="00DC79E3">
        <w:rPr>
          <w:rFonts w:ascii="Arial" w:hAnsi="Arial" w:cs="Arial"/>
          <w:sz w:val="20"/>
          <w:szCs w:val="20"/>
        </w:rPr>
        <w:t>ami a</w:t>
      </w:r>
      <w:r w:rsidR="00486DAC">
        <w:rPr>
          <w:rFonts w:ascii="Arial" w:hAnsi="Arial" w:cs="Arial"/>
          <w:sz w:val="20"/>
          <w:szCs w:val="20"/>
        </w:rPr>
        <w:t xml:space="preserve"> </w:t>
      </w:r>
      <w:r w:rsidR="00992D4D">
        <w:rPr>
          <w:rFonts w:ascii="Arial" w:hAnsi="Arial" w:cs="Arial"/>
          <w:sz w:val="20"/>
          <w:szCs w:val="20"/>
        </w:rPr>
        <w:t>2020.</w:t>
      </w:r>
      <w:r w:rsidR="00DC79E3">
        <w:rPr>
          <w:rFonts w:ascii="Arial" w:hAnsi="Arial" w:cs="Arial"/>
          <w:sz w:val="20"/>
          <w:szCs w:val="20"/>
        </w:rPr>
        <w:t xml:space="preserve"> júniusi csúcshoz képest </w:t>
      </w:r>
      <w:r w:rsidR="00992D4D">
        <w:rPr>
          <w:rFonts w:ascii="Arial" w:hAnsi="Arial" w:cs="Arial"/>
          <w:sz w:val="20"/>
          <w:szCs w:val="20"/>
        </w:rPr>
        <w:t>138</w:t>
      </w:r>
      <w:r>
        <w:rPr>
          <w:rFonts w:ascii="Arial" w:hAnsi="Arial" w:cs="Arial"/>
          <w:sz w:val="20"/>
          <w:szCs w:val="20"/>
        </w:rPr>
        <w:t xml:space="preserve"> ezer fős csökkenés, </w:t>
      </w:r>
      <w:r w:rsidR="00486DAC">
        <w:rPr>
          <w:rFonts w:ascii="Arial" w:hAnsi="Arial" w:cs="Arial"/>
          <w:sz w:val="20"/>
          <w:szCs w:val="20"/>
        </w:rPr>
        <w:t>ami már alig múlja felül a járvány előtti szintet</w:t>
      </w:r>
      <w:r>
        <w:rPr>
          <w:rFonts w:ascii="Arial" w:hAnsi="Arial" w:cs="Arial"/>
          <w:sz w:val="20"/>
          <w:szCs w:val="20"/>
        </w:rPr>
        <w:t>.</w:t>
      </w:r>
    </w:p>
    <w:p w14:paraId="0A20A69A" w14:textId="77777777" w:rsidR="00DA1E9E" w:rsidRDefault="0035495B" w:rsidP="00FD658E">
      <w:pPr>
        <w:spacing w:after="120" w:line="360" w:lineRule="auto"/>
        <w:jc w:val="both"/>
        <w:rPr>
          <w:rFonts w:ascii="Arial" w:hAnsi="Arial" w:cs="Arial"/>
          <w:sz w:val="20"/>
          <w:szCs w:val="20"/>
        </w:rPr>
      </w:pPr>
      <w:r>
        <w:rPr>
          <w:rFonts w:ascii="Arial" w:hAnsi="Arial" w:cs="Arial"/>
          <w:b/>
          <w:sz w:val="20"/>
          <w:szCs w:val="20"/>
        </w:rPr>
        <w:t>8,5</w:t>
      </w:r>
      <w:r w:rsidR="007D7D26" w:rsidRPr="007D7D26">
        <w:rPr>
          <w:rFonts w:ascii="Arial" w:hAnsi="Arial" w:cs="Arial"/>
          <w:b/>
          <w:sz w:val="20"/>
          <w:szCs w:val="20"/>
        </w:rPr>
        <w:t xml:space="preserve">%-kal nőttek a bérek </w:t>
      </w:r>
      <w:r>
        <w:rPr>
          <w:rFonts w:ascii="Arial" w:hAnsi="Arial" w:cs="Arial"/>
          <w:b/>
          <w:sz w:val="20"/>
          <w:szCs w:val="20"/>
        </w:rPr>
        <w:t>októberben</w:t>
      </w:r>
      <w:r>
        <w:rPr>
          <w:rFonts w:ascii="Arial" w:hAnsi="Arial" w:cs="Arial"/>
          <w:sz w:val="20"/>
          <w:szCs w:val="20"/>
        </w:rPr>
        <w:t>, 2017 óta pedig 56,5</w:t>
      </w:r>
      <w:r w:rsidR="007D7D26" w:rsidRPr="007D7D26">
        <w:rPr>
          <w:rFonts w:ascii="Arial" w:hAnsi="Arial" w:cs="Arial"/>
          <w:sz w:val="20"/>
          <w:szCs w:val="20"/>
        </w:rPr>
        <w:t>% volt a rendszeres bérek növekedése. A vizsgált hó</w:t>
      </w:r>
      <w:r>
        <w:rPr>
          <w:rFonts w:ascii="Arial" w:hAnsi="Arial" w:cs="Arial"/>
          <w:sz w:val="20"/>
          <w:szCs w:val="20"/>
        </w:rPr>
        <w:t>napban a bruttó átlagkereset 431 3</w:t>
      </w:r>
      <w:r w:rsidR="007D7D26" w:rsidRPr="007D7D26">
        <w:rPr>
          <w:rFonts w:ascii="Arial" w:hAnsi="Arial" w:cs="Arial"/>
          <w:sz w:val="20"/>
          <w:szCs w:val="20"/>
        </w:rPr>
        <w:t>00 forint volt a teljes munkaidőben foglalkoztatottak esetéb</w:t>
      </w:r>
      <w:r w:rsidR="00C0158C">
        <w:rPr>
          <w:rFonts w:ascii="Arial" w:hAnsi="Arial" w:cs="Arial"/>
          <w:sz w:val="20"/>
          <w:szCs w:val="20"/>
        </w:rPr>
        <w:t>en, míg a nettó átlagkereset 286 8</w:t>
      </w:r>
      <w:r w:rsidR="007D7D26" w:rsidRPr="007D7D26">
        <w:rPr>
          <w:rFonts w:ascii="Arial" w:hAnsi="Arial" w:cs="Arial"/>
          <w:sz w:val="20"/>
          <w:szCs w:val="20"/>
        </w:rPr>
        <w:t>00 forinton állt. Közfoglalkoztatás nélkül a nemzetg</w:t>
      </w:r>
      <w:r>
        <w:rPr>
          <w:rFonts w:ascii="Arial" w:hAnsi="Arial" w:cs="Arial"/>
          <w:sz w:val="20"/>
          <w:szCs w:val="20"/>
        </w:rPr>
        <w:t>azdasági bruttó átlagkereset 441 5</w:t>
      </w:r>
      <w:r w:rsidR="007D7D26" w:rsidRPr="007D7D26">
        <w:rPr>
          <w:rFonts w:ascii="Arial" w:hAnsi="Arial" w:cs="Arial"/>
          <w:sz w:val="20"/>
          <w:szCs w:val="20"/>
        </w:rPr>
        <w:t>00 forint volt a hónapban.</w:t>
      </w:r>
      <w:r w:rsidR="00737D3B">
        <w:rPr>
          <w:rFonts w:ascii="Arial" w:hAnsi="Arial" w:cs="Arial"/>
          <w:b/>
          <w:sz w:val="20"/>
          <w:szCs w:val="20"/>
        </w:rPr>
        <w:t xml:space="preserve"> </w:t>
      </w:r>
      <w:r>
        <w:rPr>
          <w:rFonts w:ascii="Arial" w:hAnsi="Arial" w:cs="Arial"/>
          <w:b/>
          <w:sz w:val="20"/>
          <w:szCs w:val="20"/>
        </w:rPr>
        <w:t>A nettó bérek szintén 8,5</w:t>
      </w:r>
      <w:r w:rsidR="00737D3B" w:rsidRPr="00737D3B">
        <w:rPr>
          <w:rFonts w:ascii="Arial" w:hAnsi="Arial" w:cs="Arial"/>
          <w:b/>
          <w:sz w:val="20"/>
          <w:szCs w:val="20"/>
        </w:rPr>
        <w:t>%-kal emelkedtek, a reálb</w:t>
      </w:r>
      <w:r w:rsidR="00737D3B">
        <w:rPr>
          <w:rFonts w:ascii="Arial" w:hAnsi="Arial" w:cs="Arial"/>
          <w:b/>
          <w:sz w:val="20"/>
          <w:szCs w:val="20"/>
        </w:rPr>
        <w:t xml:space="preserve">érek változása pedig </w:t>
      </w:r>
      <w:r>
        <w:rPr>
          <w:rFonts w:ascii="Arial" w:hAnsi="Arial" w:cs="Arial"/>
          <w:b/>
          <w:sz w:val="20"/>
          <w:szCs w:val="20"/>
        </w:rPr>
        <w:t>1,9</w:t>
      </w:r>
      <w:r w:rsidR="00737D3B">
        <w:rPr>
          <w:rFonts w:ascii="Arial" w:hAnsi="Arial" w:cs="Arial"/>
          <w:b/>
          <w:sz w:val="20"/>
          <w:szCs w:val="20"/>
        </w:rPr>
        <w:t>%</w:t>
      </w:r>
      <w:r>
        <w:rPr>
          <w:rFonts w:ascii="Arial" w:hAnsi="Arial" w:cs="Arial"/>
          <w:b/>
          <w:sz w:val="20"/>
          <w:szCs w:val="20"/>
        </w:rPr>
        <w:t>-</w:t>
      </w:r>
      <w:proofErr w:type="spellStart"/>
      <w:r>
        <w:rPr>
          <w:rFonts w:ascii="Arial" w:hAnsi="Arial" w:cs="Arial"/>
          <w:b/>
          <w:sz w:val="20"/>
          <w:szCs w:val="20"/>
        </w:rPr>
        <w:t>ra</w:t>
      </w:r>
      <w:proofErr w:type="spellEnd"/>
      <w:r>
        <w:rPr>
          <w:rFonts w:ascii="Arial" w:hAnsi="Arial" w:cs="Arial"/>
          <w:b/>
          <w:sz w:val="20"/>
          <w:szCs w:val="20"/>
        </w:rPr>
        <w:t xml:space="preserve"> mérséklődött</w:t>
      </w:r>
      <w:r w:rsidR="00737D3B">
        <w:rPr>
          <w:rFonts w:ascii="Arial" w:hAnsi="Arial" w:cs="Arial"/>
          <w:b/>
          <w:sz w:val="20"/>
          <w:szCs w:val="20"/>
        </w:rPr>
        <w:t xml:space="preserve"> </w:t>
      </w:r>
      <w:r>
        <w:rPr>
          <w:rFonts w:ascii="Arial" w:hAnsi="Arial" w:cs="Arial"/>
          <w:b/>
          <w:sz w:val="20"/>
          <w:szCs w:val="20"/>
        </w:rPr>
        <w:t>az erőteljes infláció miatt</w:t>
      </w:r>
      <w:r w:rsidR="00737D3B" w:rsidRPr="00737D3B">
        <w:rPr>
          <w:rFonts w:ascii="Arial" w:hAnsi="Arial" w:cs="Arial"/>
          <w:b/>
          <w:sz w:val="20"/>
          <w:szCs w:val="20"/>
        </w:rPr>
        <w:t xml:space="preserve">. </w:t>
      </w:r>
      <w:r w:rsidR="00737D3B" w:rsidRPr="00737D3B">
        <w:rPr>
          <w:rFonts w:ascii="Arial" w:hAnsi="Arial" w:cs="Arial"/>
          <w:sz w:val="20"/>
          <w:szCs w:val="20"/>
        </w:rPr>
        <w:t xml:space="preserve">A bérdinamika alapfolyamatait meghatározó és így a monetáris politika szempontjából is kiemelt mutató, a rendszeres bérek növekedése </w:t>
      </w:r>
      <w:r>
        <w:rPr>
          <w:rFonts w:ascii="Arial" w:hAnsi="Arial" w:cs="Arial"/>
          <w:sz w:val="20"/>
          <w:szCs w:val="20"/>
        </w:rPr>
        <w:t>8,4</w:t>
      </w:r>
      <w:r w:rsidR="00737D3B" w:rsidRPr="00737D3B">
        <w:rPr>
          <w:rFonts w:ascii="Arial" w:hAnsi="Arial" w:cs="Arial"/>
          <w:sz w:val="20"/>
          <w:szCs w:val="20"/>
        </w:rPr>
        <w:t>% volt a hó</w:t>
      </w:r>
      <w:r>
        <w:rPr>
          <w:rFonts w:ascii="Arial" w:hAnsi="Arial" w:cs="Arial"/>
          <w:sz w:val="20"/>
          <w:szCs w:val="20"/>
        </w:rPr>
        <w:t>napban az előző havi 9,0</w:t>
      </w:r>
      <w:r w:rsidR="00737D3B" w:rsidRPr="00737D3B">
        <w:rPr>
          <w:rFonts w:ascii="Arial" w:hAnsi="Arial" w:cs="Arial"/>
          <w:sz w:val="20"/>
          <w:szCs w:val="20"/>
        </w:rPr>
        <w:t>% után. A keres</w:t>
      </w:r>
      <w:r>
        <w:rPr>
          <w:rFonts w:ascii="Arial" w:hAnsi="Arial" w:cs="Arial"/>
          <w:sz w:val="20"/>
          <w:szCs w:val="20"/>
        </w:rPr>
        <w:t>etek a vállalkozások körében 6,9</w:t>
      </w:r>
      <w:r w:rsidR="00737D3B" w:rsidRPr="00737D3B">
        <w:rPr>
          <w:rFonts w:ascii="Arial" w:hAnsi="Arial" w:cs="Arial"/>
          <w:sz w:val="20"/>
          <w:szCs w:val="20"/>
        </w:rPr>
        <w:t>%-kal emelkedtek, míg a kö</w:t>
      </w:r>
      <w:r>
        <w:rPr>
          <w:rFonts w:ascii="Arial" w:hAnsi="Arial" w:cs="Arial"/>
          <w:sz w:val="20"/>
          <w:szCs w:val="20"/>
        </w:rPr>
        <w:t>zszféra bérnövekedési üteme 9,4</w:t>
      </w:r>
      <w:r w:rsidR="00737D3B" w:rsidRPr="00737D3B">
        <w:rPr>
          <w:rFonts w:ascii="Arial" w:hAnsi="Arial" w:cs="Arial"/>
          <w:sz w:val="20"/>
          <w:szCs w:val="20"/>
        </w:rPr>
        <w:t>% volt a hónapb</w:t>
      </w:r>
      <w:r>
        <w:rPr>
          <w:rFonts w:ascii="Arial" w:hAnsi="Arial" w:cs="Arial"/>
          <w:sz w:val="20"/>
          <w:szCs w:val="20"/>
        </w:rPr>
        <w:t>an. A 2022. januártól további 21</w:t>
      </w:r>
      <w:r w:rsidR="00737D3B" w:rsidRPr="00737D3B">
        <w:rPr>
          <w:rFonts w:ascii="Arial" w:hAnsi="Arial" w:cs="Arial"/>
          <w:sz w:val="20"/>
          <w:szCs w:val="20"/>
        </w:rPr>
        <w:t xml:space="preserve">%-kal emelkedő egészségügyi szakdolgozói </w:t>
      </w:r>
      <w:proofErr w:type="gramStart"/>
      <w:r w:rsidR="00737D3B" w:rsidRPr="00737D3B">
        <w:rPr>
          <w:rFonts w:ascii="Arial" w:hAnsi="Arial" w:cs="Arial"/>
          <w:sz w:val="20"/>
          <w:szCs w:val="20"/>
        </w:rPr>
        <w:t>bérek</w:t>
      </w:r>
      <w:proofErr w:type="gramEnd"/>
      <w:r w:rsidR="00737D3B" w:rsidRPr="00737D3B">
        <w:rPr>
          <w:rFonts w:ascii="Arial" w:hAnsi="Arial" w:cs="Arial"/>
          <w:sz w:val="20"/>
          <w:szCs w:val="20"/>
        </w:rPr>
        <w:t xml:space="preserve"> illetve az idén januártól évenként kiugró mértékben növekvő orvosi bérek érdemben támogatják majd a dinamikát ebben a szektorban is.</w:t>
      </w:r>
      <w:r w:rsidR="0045100C">
        <w:rPr>
          <w:rFonts w:ascii="Arial" w:hAnsi="Arial" w:cs="Arial"/>
          <w:sz w:val="20"/>
          <w:szCs w:val="20"/>
        </w:rPr>
        <w:t xml:space="preserve"> </w:t>
      </w:r>
      <w:r w:rsidR="0045100C" w:rsidRPr="0045100C">
        <w:rPr>
          <w:rFonts w:ascii="Arial" w:hAnsi="Arial" w:cs="Arial"/>
          <w:sz w:val="20"/>
          <w:szCs w:val="20"/>
        </w:rPr>
        <w:t xml:space="preserve">A nemzetgazdaságban </w:t>
      </w:r>
      <w:r w:rsidR="0045100C" w:rsidRPr="0045100C">
        <w:rPr>
          <w:rFonts w:ascii="Arial" w:hAnsi="Arial" w:cs="Arial"/>
          <w:b/>
          <w:sz w:val="20"/>
          <w:szCs w:val="20"/>
        </w:rPr>
        <w:t>alkalmazásban állók létszáma</w:t>
      </w:r>
      <w:r w:rsidR="0045100C" w:rsidRPr="0045100C">
        <w:rPr>
          <w:rFonts w:ascii="Arial" w:hAnsi="Arial" w:cs="Arial"/>
          <w:sz w:val="20"/>
          <w:szCs w:val="20"/>
        </w:rPr>
        <w:t xml:space="preserve"> </w:t>
      </w:r>
      <w:r w:rsidR="00A6033E">
        <w:rPr>
          <w:rFonts w:ascii="Arial" w:hAnsi="Arial" w:cs="Arial"/>
          <w:b/>
          <w:sz w:val="20"/>
          <w:szCs w:val="20"/>
        </w:rPr>
        <w:t>3,2</w:t>
      </w:r>
      <w:r w:rsidR="0045100C" w:rsidRPr="0045100C">
        <w:rPr>
          <w:rFonts w:ascii="Arial" w:hAnsi="Arial" w:cs="Arial"/>
          <w:b/>
          <w:sz w:val="20"/>
          <w:szCs w:val="20"/>
        </w:rPr>
        <w:t>%-ot emelkedett</w:t>
      </w:r>
      <w:r w:rsidR="0045100C" w:rsidRPr="0045100C">
        <w:rPr>
          <w:rFonts w:ascii="Arial" w:hAnsi="Arial" w:cs="Arial"/>
          <w:sz w:val="20"/>
          <w:szCs w:val="20"/>
        </w:rPr>
        <w:t xml:space="preserve"> éves alapon a tavalyi alacsony bázisról, így már </w:t>
      </w:r>
      <w:r w:rsidR="00A6033E">
        <w:rPr>
          <w:rFonts w:ascii="Arial" w:hAnsi="Arial" w:cs="Arial"/>
          <w:sz w:val="20"/>
          <w:szCs w:val="20"/>
        </w:rPr>
        <w:t>meghaladja</w:t>
      </w:r>
      <w:r w:rsidR="0045100C" w:rsidRPr="0045100C">
        <w:rPr>
          <w:rFonts w:ascii="Arial" w:hAnsi="Arial" w:cs="Arial"/>
          <w:sz w:val="20"/>
          <w:szCs w:val="20"/>
        </w:rPr>
        <w:t xml:space="preserve"> a </w:t>
      </w:r>
      <w:proofErr w:type="spellStart"/>
      <w:r w:rsidR="0045100C" w:rsidRPr="0045100C">
        <w:rPr>
          <w:rFonts w:ascii="Arial" w:hAnsi="Arial" w:cs="Arial"/>
          <w:sz w:val="20"/>
          <w:szCs w:val="20"/>
        </w:rPr>
        <w:t>pandémia</w:t>
      </w:r>
      <w:proofErr w:type="spellEnd"/>
      <w:r w:rsidR="0045100C" w:rsidRPr="0045100C">
        <w:rPr>
          <w:rFonts w:ascii="Arial" w:hAnsi="Arial" w:cs="Arial"/>
          <w:sz w:val="20"/>
          <w:szCs w:val="20"/>
        </w:rPr>
        <w:t xml:space="preserve"> előtti csúcsát a szint.</w:t>
      </w:r>
    </w:p>
    <w:p w14:paraId="21A40C22" w14:textId="77777777" w:rsidR="006A4321" w:rsidRDefault="00EB0DA2" w:rsidP="00FD658E">
      <w:pPr>
        <w:spacing w:after="120" w:line="360" w:lineRule="auto"/>
        <w:jc w:val="both"/>
        <w:rPr>
          <w:rFonts w:ascii="Arial" w:hAnsi="Arial" w:cs="Arial"/>
          <w:sz w:val="20"/>
          <w:szCs w:val="20"/>
        </w:rPr>
      </w:pPr>
      <w:r w:rsidRPr="00EB0DA2">
        <w:rPr>
          <w:rFonts w:ascii="Arial" w:hAnsi="Arial" w:cs="Arial"/>
          <w:sz w:val="20"/>
          <w:szCs w:val="20"/>
        </w:rPr>
        <w:t xml:space="preserve">Továbbra is erőteljes a hazai bérdinamika és gyorsulás várható az idei évtől, a minimálbéremelés, továbbá a munkaerő megtartása és odavonzása </w:t>
      </w:r>
      <w:proofErr w:type="gramStart"/>
      <w:r w:rsidRPr="00EB0DA2">
        <w:rPr>
          <w:rFonts w:ascii="Arial" w:hAnsi="Arial" w:cs="Arial"/>
          <w:sz w:val="20"/>
          <w:szCs w:val="20"/>
        </w:rPr>
        <w:t>érdekében</w:t>
      </w:r>
      <w:proofErr w:type="gramEnd"/>
      <w:r w:rsidRPr="00EB0DA2">
        <w:rPr>
          <w:rFonts w:ascii="Arial" w:hAnsi="Arial" w:cs="Arial"/>
          <w:sz w:val="20"/>
          <w:szCs w:val="20"/>
        </w:rPr>
        <w:t xml:space="preserve"> illetve az inflációs környezet figyelembevétele miatt aktív </w:t>
      </w:r>
      <w:r w:rsidRPr="00EB0DA2">
        <w:rPr>
          <w:rFonts w:ascii="Arial" w:hAnsi="Arial" w:cs="Arial"/>
          <w:sz w:val="20"/>
          <w:szCs w:val="20"/>
        </w:rPr>
        <w:lastRenderedPageBreak/>
        <w:t xml:space="preserve">béremelésre „kényszerülnek” a munkaadók. </w:t>
      </w:r>
      <w:r w:rsidRPr="00EB0DA2">
        <w:rPr>
          <w:rFonts w:ascii="Arial" w:hAnsi="Arial" w:cs="Arial"/>
          <w:b/>
          <w:sz w:val="20"/>
          <w:szCs w:val="20"/>
        </w:rPr>
        <w:t xml:space="preserve">A januártól 200 ezer forintra emelkedő minimálbér és 260 ezer forintra emelkedő szakmai bérminimum </w:t>
      </w:r>
      <w:r w:rsidRPr="00EB0DA2">
        <w:rPr>
          <w:rFonts w:ascii="Arial" w:hAnsi="Arial" w:cs="Arial"/>
          <w:sz w:val="20"/>
          <w:szCs w:val="20"/>
        </w:rPr>
        <w:t xml:space="preserve">miatt, illetve a 4%-kal csökkenő szociális hozzájárulási adó segítségével a teljes bérskála érdemben feljebb tolódhat a jövő évben és </w:t>
      </w:r>
      <w:r w:rsidRPr="00EB0DA2">
        <w:rPr>
          <w:rFonts w:ascii="Arial" w:hAnsi="Arial" w:cs="Arial"/>
          <w:b/>
          <w:sz w:val="20"/>
          <w:szCs w:val="20"/>
        </w:rPr>
        <w:t>13% körüli lehet az átlagbér emelkedése</w:t>
      </w:r>
      <w:r>
        <w:rPr>
          <w:rFonts w:ascii="Arial" w:hAnsi="Arial" w:cs="Arial"/>
          <w:sz w:val="20"/>
          <w:szCs w:val="20"/>
        </w:rPr>
        <w:t>, az idei 8,5</w:t>
      </w:r>
      <w:r w:rsidRPr="00EB0DA2">
        <w:rPr>
          <w:rFonts w:ascii="Arial" w:hAnsi="Arial" w:cs="Arial"/>
          <w:sz w:val="20"/>
          <w:szCs w:val="20"/>
        </w:rPr>
        <w:t xml:space="preserve">%-os növekedés után. Ezt látszanak igazolni a szakszervezeti források is, amelyek szerint 7 és 27% között átlagos béremelésben állapodtak meg januártól a hazai vállalkozásoknál, a legtöbb általános megállapodás pedig 12 és 18% közötti növekedésről szól, ilyen mértékű emelés pedig tovább erősítheti a vállalatok áremelési szándékát, amit azonban könnyen meg is tehetnek a kiugróan erős fogyasztói kereslet mellett. Ez viszont akár elvezethet egy klasszikus ár-bér spirálhoz is, mikor az erőteljes inflációhoz erőteljes kereslet párosul, a vállalatok pedig a kereslet következtében rekord számban keresnek új munkaerőt, ami szintén felfelé hajtja a béreket és egyelőre az inflációs kockázatok is inkább felfelé, mint lefelé mutatnak. Ennek az erősödő alapfolyamatnak, az szja visszatérítésnek, a 6 havi fegyverpénznek és több egyszeri transzfernek köszönhetően jövőre a nettó bérek érdemben el fognak szakadni a bruttó szinttől és még a várható erőteljes inflációt figyelembe véve is </w:t>
      </w:r>
      <w:r w:rsidRPr="00EB0DA2">
        <w:rPr>
          <w:rFonts w:ascii="Arial" w:hAnsi="Arial" w:cs="Arial"/>
          <w:b/>
          <w:sz w:val="20"/>
          <w:szCs w:val="20"/>
        </w:rPr>
        <w:t>10% feletti reálbér növekedés</w:t>
      </w:r>
      <w:r w:rsidRPr="00EB0DA2">
        <w:rPr>
          <w:rFonts w:ascii="Arial" w:hAnsi="Arial" w:cs="Arial"/>
          <w:sz w:val="20"/>
          <w:szCs w:val="20"/>
        </w:rPr>
        <w:t xml:space="preserve"> </w:t>
      </w:r>
      <w:r w:rsidRPr="00EB0DA2">
        <w:rPr>
          <w:rFonts w:ascii="Arial" w:hAnsi="Arial" w:cs="Arial"/>
          <w:b/>
          <w:sz w:val="20"/>
          <w:szCs w:val="20"/>
        </w:rPr>
        <w:t>lehet 2022-ben</w:t>
      </w:r>
      <w:r w:rsidRPr="00EB0DA2">
        <w:rPr>
          <w:rFonts w:ascii="Arial" w:hAnsi="Arial" w:cs="Arial"/>
          <w:sz w:val="20"/>
          <w:szCs w:val="20"/>
        </w:rPr>
        <w:t>, ami jelentős fogyasztásélénkítő erővel bír, támaszt adva a GDP-nek fogyasztási oldalról. Ágazati bontásban átlag feletti volt a bérnövekedés a hónapban a vendéglátásban, a pénzügyi szektorban, az ingatlanügyletek alágban, a tudományos-műszaki területeken, az oktatásban, illetve kiugró a növekedés az egészségügyben, míg láthatóan átlag alatti a bérnövekedés az energiaszektorban, az iparban, a logisztikában és a közigazgatásban.</w:t>
      </w:r>
    </w:p>
    <w:tbl>
      <w:tblPr>
        <w:tblW w:w="9490" w:type="dxa"/>
        <w:tblLayout w:type="fixed"/>
        <w:tblLook w:val="01E0" w:firstRow="1" w:lastRow="1" w:firstColumn="1" w:lastColumn="1" w:noHBand="0" w:noVBand="0"/>
      </w:tblPr>
      <w:tblGrid>
        <w:gridCol w:w="4746"/>
        <w:gridCol w:w="4744"/>
      </w:tblGrid>
      <w:tr w:rsidR="006A4321" w:rsidRPr="003536D7" w14:paraId="4E2B2D91" w14:textId="77777777" w:rsidTr="007A0A25">
        <w:tc>
          <w:tcPr>
            <w:tcW w:w="4746" w:type="dxa"/>
          </w:tcPr>
          <w:p w14:paraId="2D7231F2" w14:textId="77777777" w:rsidR="006A4321" w:rsidRPr="00FD658E" w:rsidRDefault="006A4321" w:rsidP="00444D49">
            <w:pPr>
              <w:spacing w:after="120"/>
              <w:jc w:val="center"/>
              <w:rPr>
                <w:rFonts w:ascii="Arial" w:hAnsi="Arial" w:cs="Arial"/>
                <w:b/>
                <w:color w:val="FF8500"/>
              </w:rPr>
            </w:pPr>
            <w:r>
              <w:rPr>
                <w:rFonts w:ascii="Arial" w:hAnsi="Arial" w:cs="Arial"/>
                <w:b/>
                <w:color w:val="FF8500"/>
              </w:rPr>
              <w:t>17</w:t>
            </w:r>
            <w:r w:rsidRPr="00FD658E">
              <w:rPr>
                <w:rFonts w:ascii="Arial" w:hAnsi="Arial" w:cs="Arial"/>
                <w:b/>
                <w:color w:val="FF8500"/>
              </w:rPr>
              <w:t xml:space="preserve">. ábra: </w:t>
            </w:r>
            <w:r w:rsidRPr="00A10369">
              <w:rPr>
                <w:rFonts w:ascii="Arial" w:hAnsi="Arial" w:cs="Arial"/>
                <w:bCs/>
                <w:color w:val="FF8500"/>
              </w:rPr>
              <w:t xml:space="preserve">A </w:t>
            </w:r>
            <w:r w:rsidR="00444D49">
              <w:rPr>
                <w:rFonts w:ascii="Arial" w:hAnsi="Arial" w:cs="Arial"/>
                <w:bCs/>
                <w:color w:val="FF8500"/>
              </w:rPr>
              <w:t>bruttó és nettó bérek</w:t>
            </w:r>
            <w:r w:rsidRPr="00A10369">
              <w:rPr>
                <w:rFonts w:ascii="Arial" w:hAnsi="Arial" w:cs="Arial"/>
                <w:bCs/>
                <w:color w:val="FF8500"/>
              </w:rPr>
              <w:t xml:space="preserve"> alakulása</w:t>
            </w:r>
          </w:p>
        </w:tc>
        <w:tc>
          <w:tcPr>
            <w:tcW w:w="4744" w:type="dxa"/>
          </w:tcPr>
          <w:p w14:paraId="10F2D03B" w14:textId="77777777" w:rsidR="006A4321" w:rsidRPr="00FD658E" w:rsidRDefault="006A4321" w:rsidP="00D259CB">
            <w:pPr>
              <w:spacing w:after="120"/>
              <w:jc w:val="center"/>
              <w:rPr>
                <w:rFonts w:ascii="Arial" w:hAnsi="Arial" w:cs="Arial"/>
                <w:b/>
                <w:color w:val="FF8500"/>
              </w:rPr>
            </w:pPr>
            <w:r>
              <w:rPr>
                <w:rFonts w:ascii="Arial" w:hAnsi="Arial" w:cs="Arial"/>
                <w:b/>
                <w:color w:val="FF8500"/>
              </w:rPr>
              <w:t>18</w:t>
            </w:r>
            <w:r w:rsidRPr="00FD658E">
              <w:rPr>
                <w:rFonts w:ascii="Arial" w:hAnsi="Arial" w:cs="Arial"/>
                <w:b/>
                <w:color w:val="FF8500"/>
              </w:rPr>
              <w:t>. ábra:</w:t>
            </w:r>
            <w:r w:rsidRPr="00FD658E">
              <w:rPr>
                <w:rFonts w:ascii="Arial" w:hAnsi="Arial" w:cs="Arial"/>
                <w:color w:val="FF8500"/>
                <w:sz w:val="18"/>
                <w:szCs w:val="18"/>
              </w:rPr>
              <w:t xml:space="preserve"> </w:t>
            </w:r>
            <w:r w:rsidRPr="00A10369">
              <w:rPr>
                <w:rFonts w:ascii="Arial" w:hAnsi="Arial" w:cs="Arial"/>
                <w:bCs/>
                <w:color w:val="FF8500"/>
              </w:rPr>
              <w:t xml:space="preserve">A </w:t>
            </w:r>
            <w:r w:rsidR="00D259CB">
              <w:rPr>
                <w:rFonts w:ascii="Arial" w:hAnsi="Arial" w:cs="Arial"/>
                <w:bCs/>
                <w:color w:val="FF8500"/>
              </w:rPr>
              <w:t>fogyasztói árindex és a nettó bérek</w:t>
            </w:r>
            <w:r w:rsidRPr="00A10369">
              <w:rPr>
                <w:rFonts w:ascii="Arial" w:hAnsi="Arial" w:cs="Arial"/>
                <w:bCs/>
                <w:color w:val="FF8500"/>
              </w:rPr>
              <w:t xml:space="preserve"> alakulása</w:t>
            </w:r>
            <w:r w:rsidR="00D259CB">
              <w:rPr>
                <w:rFonts w:ascii="Arial" w:hAnsi="Arial" w:cs="Arial"/>
                <w:bCs/>
                <w:color w:val="FF8500"/>
              </w:rPr>
              <w:t xml:space="preserve"> fix bázison</w:t>
            </w:r>
          </w:p>
        </w:tc>
      </w:tr>
      <w:tr w:rsidR="006A4321" w:rsidRPr="003536D7" w14:paraId="594FCCA3" w14:textId="77777777" w:rsidTr="007A0A25">
        <w:tblPrEx>
          <w:tblCellMar>
            <w:left w:w="70" w:type="dxa"/>
            <w:right w:w="70" w:type="dxa"/>
          </w:tblCellMar>
        </w:tblPrEx>
        <w:tc>
          <w:tcPr>
            <w:tcW w:w="4746" w:type="dxa"/>
          </w:tcPr>
          <w:p w14:paraId="697FEE1D" w14:textId="77777777" w:rsidR="006A4321" w:rsidRPr="003536D7" w:rsidRDefault="00444D49" w:rsidP="007A0A25">
            <w:pPr>
              <w:spacing w:after="120"/>
              <w:jc w:val="center"/>
              <w:rPr>
                <w:rFonts w:ascii="Arial" w:hAnsi="Arial" w:cs="Arial"/>
              </w:rPr>
            </w:pPr>
            <w:r>
              <w:rPr>
                <w:rFonts w:ascii="Arial" w:hAnsi="Arial" w:cs="Arial"/>
                <w:noProof/>
                <w:lang w:eastAsia="hu-HU"/>
              </w:rPr>
              <w:drawing>
                <wp:inline distT="0" distB="0" distL="0" distR="0" wp14:anchorId="31219C40" wp14:editId="71740D5A">
                  <wp:extent cx="2819400" cy="1981200"/>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0" cy="1981200"/>
                          </a:xfrm>
                          <a:prstGeom prst="rect">
                            <a:avLst/>
                          </a:prstGeom>
                          <a:noFill/>
                          <a:ln>
                            <a:noFill/>
                          </a:ln>
                        </pic:spPr>
                      </pic:pic>
                    </a:graphicData>
                  </a:graphic>
                </wp:inline>
              </w:drawing>
            </w:r>
          </w:p>
        </w:tc>
        <w:tc>
          <w:tcPr>
            <w:tcW w:w="4744" w:type="dxa"/>
          </w:tcPr>
          <w:p w14:paraId="6BDEB197" w14:textId="77777777" w:rsidR="006A4321" w:rsidRPr="003536D7" w:rsidRDefault="00D259CB" w:rsidP="007A0A25">
            <w:pPr>
              <w:spacing w:after="120"/>
              <w:jc w:val="center"/>
              <w:rPr>
                <w:rFonts w:ascii="Arial" w:hAnsi="Arial" w:cs="Arial"/>
              </w:rPr>
            </w:pPr>
            <w:r>
              <w:rPr>
                <w:rFonts w:ascii="Arial" w:hAnsi="Arial" w:cs="Arial"/>
                <w:noProof/>
                <w:lang w:eastAsia="hu-HU"/>
              </w:rPr>
              <w:drawing>
                <wp:inline distT="0" distB="0" distL="0" distR="0" wp14:anchorId="0C312830" wp14:editId="54DF81E4">
                  <wp:extent cx="2790825" cy="1962150"/>
                  <wp:effectExtent l="0" t="0" r="9525"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0825" cy="1962150"/>
                          </a:xfrm>
                          <a:prstGeom prst="rect">
                            <a:avLst/>
                          </a:prstGeom>
                          <a:noFill/>
                          <a:ln>
                            <a:noFill/>
                          </a:ln>
                        </pic:spPr>
                      </pic:pic>
                    </a:graphicData>
                  </a:graphic>
                </wp:inline>
              </w:drawing>
            </w:r>
          </w:p>
        </w:tc>
      </w:tr>
      <w:tr w:rsidR="006A4321" w:rsidRPr="003536D7" w14:paraId="2068495A" w14:textId="77777777" w:rsidTr="007A0A25">
        <w:tc>
          <w:tcPr>
            <w:tcW w:w="4746" w:type="dxa"/>
          </w:tcPr>
          <w:p w14:paraId="656A80E0" w14:textId="77777777" w:rsidR="006A4321" w:rsidRPr="003536D7" w:rsidRDefault="006A4321" w:rsidP="007A0A25">
            <w:pPr>
              <w:pStyle w:val="Kpalrstbank"/>
            </w:pPr>
            <w:r w:rsidRPr="003536D7">
              <w:t>Forrás: KSH, Takarékbank előrejelzés</w:t>
            </w:r>
          </w:p>
        </w:tc>
        <w:tc>
          <w:tcPr>
            <w:tcW w:w="4744" w:type="dxa"/>
          </w:tcPr>
          <w:p w14:paraId="41DEEE49" w14:textId="77777777" w:rsidR="006A4321" w:rsidRPr="003536D7" w:rsidRDefault="006A4321" w:rsidP="007A0A25">
            <w:pPr>
              <w:pStyle w:val="Kpalrstbank"/>
            </w:pPr>
            <w:r w:rsidRPr="003536D7">
              <w:t>Forrás: KSH, Takarékbank előrejelzés</w:t>
            </w:r>
          </w:p>
        </w:tc>
      </w:tr>
    </w:tbl>
    <w:p w14:paraId="5BD2CB93" w14:textId="77777777" w:rsidR="006832FC" w:rsidRDefault="006A4321" w:rsidP="00FD658E">
      <w:pPr>
        <w:spacing w:after="120" w:line="360" w:lineRule="auto"/>
        <w:jc w:val="both"/>
        <w:rPr>
          <w:rFonts w:ascii="Arial" w:hAnsi="Arial" w:cs="Arial"/>
          <w:sz w:val="20"/>
          <w:szCs w:val="20"/>
        </w:rPr>
      </w:pPr>
      <w:r>
        <w:rPr>
          <w:rFonts w:ascii="Arial" w:hAnsi="Arial" w:cs="Arial"/>
          <w:sz w:val="20"/>
          <w:szCs w:val="20"/>
        </w:rPr>
        <w:t xml:space="preserve"> </w:t>
      </w:r>
      <w:r w:rsidR="00EB0DA2" w:rsidRPr="00EB0DA2">
        <w:rPr>
          <w:rFonts w:ascii="Arial" w:hAnsi="Arial" w:cs="Arial"/>
          <w:b/>
          <w:sz w:val="20"/>
          <w:szCs w:val="20"/>
        </w:rPr>
        <w:t>2020-ban</w:t>
      </w:r>
      <w:r w:rsidR="000B7DB3">
        <w:rPr>
          <w:rFonts w:ascii="Arial" w:hAnsi="Arial" w:cs="Arial"/>
          <w:b/>
          <w:sz w:val="20"/>
          <w:szCs w:val="20"/>
        </w:rPr>
        <w:t xml:space="preserve"> 9,7</w:t>
      </w:r>
      <w:r w:rsidR="005C518C" w:rsidRPr="00FD658E">
        <w:rPr>
          <w:rFonts w:ascii="Arial" w:hAnsi="Arial" w:cs="Arial"/>
          <w:b/>
          <w:sz w:val="20"/>
          <w:szCs w:val="20"/>
        </w:rPr>
        <w:t>%-</w:t>
      </w:r>
      <w:r w:rsidR="000B7DB3">
        <w:rPr>
          <w:rFonts w:ascii="Arial" w:hAnsi="Arial" w:cs="Arial"/>
          <w:b/>
          <w:sz w:val="20"/>
          <w:szCs w:val="20"/>
        </w:rPr>
        <w:t>kal</w:t>
      </w:r>
      <w:r w:rsidR="005C518C" w:rsidRPr="00FD658E">
        <w:rPr>
          <w:rFonts w:ascii="Arial" w:hAnsi="Arial" w:cs="Arial"/>
          <w:b/>
          <w:sz w:val="20"/>
          <w:szCs w:val="20"/>
        </w:rPr>
        <w:t xml:space="preserve"> </w:t>
      </w:r>
      <w:r w:rsidR="000B7DB3">
        <w:rPr>
          <w:rFonts w:ascii="Arial" w:hAnsi="Arial" w:cs="Arial"/>
          <w:b/>
          <w:sz w:val="20"/>
          <w:szCs w:val="20"/>
        </w:rPr>
        <w:t>emelkedt</w:t>
      </w:r>
      <w:r w:rsidR="006D61B2">
        <w:rPr>
          <w:rFonts w:ascii="Arial" w:hAnsi="Arial" w:cs="Arial"/>
          <w:b/>
          <w:sz w:val="20"/>
          <w:szCs w:val="20"/>
        </w:rPr>
        <w:t>ek</w:t>
      </w:r>
      <w:r w:rsidR="005C518C" w:rsidRPr="00FD658E">
        <w:rPr>
          <w:rFonts w:ascii="Arial" w:hAnsi="Arial" w:cs="Arial"/>
          <w:b/>
          <w:sz w:val="20"/>
          <w:szCs w:val="20"/>
        </w:rPr>
        <w:t xml:space="preserve"> a bérek</w:t>
      </w:r>
      <w:r w:rsidR="005C518C" w:rsidRPr="00FD658E">
        <w:rPr>
          <w:rFonts w:ascii="Arial" w:hAnsi="Arial" w:cs="Arial"/>
          <w:sz w:val="20"/>
          <w:szCs w:val="20"/>
        </w:rPr>
        <w:t xml:space="preserve"> a bérmegállapodás, a minimálbérek 8%-os, a garantált bérminimum 8%-os növelése, valamint az egyes ágazatokban folytatódó életpályamodell</w:t>
      </w:r>
      <w:r w:rsidR="00655AF7">
        <w:rPr>
          <w:rFonts w:ascii="Arial" w:hAnsi="Arial" w:cs="Arial"/>
          <w:sz w:val="20"/>
          <w:szCs w:val="20"/>
        </w:rPr>
        <w:t>ek miatt. Ez a 3,3</w:t>
      </w:r>
      <w:r w:rsidR="005C518C" w:rsidRPr="00FD658E">
        <w:rPr>
          <w:rFonts w:ascii="Arial" w:hAnsi="Arial" w:cs="Arial"/>
          <w:sz w:val="20"/>
          <w:szCs w:val="20"/>
        </w:rPr>
        <w:t xml:space="preserve">%-os infláció mellett </w:t>
      </w:r>
      <w:r w:rsidR="005C518C" w:rsidRPr="00FD658E">
        <w:rPr>
          <w:rFonts w:ascii="Arial" w:hAnsi="Arial" w:cs="Arial"/>
          <w:b/>
          <w:sz w:val="20"/>
          <w:szCs w:val="20"/>
        </w:rPr>
        <w:t>6</w:t>
      </w:r>
      <w:r w:rsidR="006D61B2">
        <w:rPr>
          <w:rFonts w:ascii="Arial" w:hAnsi="Arial" w:cs="Arial"/>
          <w:b/>
          <w:sz w:val="20"/>
          <w:szCs w:val="20"/>
        </w:rPr>
        <w:t>,2</w:t>
      </w:r>
      <w:r w:rsidR="005C518C" w:rsidRPr="00FD658E">
        <w:rPr>
          <w:rFonts w:ascii="Arial" w:hAnsi="Arial" w:cs="Arial"/>
          <w:b/>
          <w:sz w:val="20"/>
          <w:szCs w:val="20"/>
        </w:rPr>
        <w:t>%-os reálbér növekedést</w:t>
      </w:r>
      <w:r w:rsidR="00655AF7">
        <w:rPr>
          <w:rFonts w:ascii="Arial" w:hAnsi="Arial" w:cs="Arial"/>
          <w:sz w:val="20"/>
          <w:szCs w:val="20"/>
        </w:rPr>
        <w:t xml:space="preserve"> eredményez</w:t>
      </w:r>
      <w:r w:rsidR="006D61B2">
        <w:rPr>
          <w:rFonts w:ascii="Arial" w:hAnsi="Arial" w:cs="Arial"/>
          <w:sz w:val="20"/>
          <w:szCs w:val="20"/>
        </w:rPr>
        <w:t>ett</w:t>
      </w:r>
      <w:r w:rsidR="005C518C" w:rsidRPr="00FD658E">
        <w:rPr>
          <w:rFonts w:ascii="Arial" w:hAnsi="Arial" w:cs="Arial"/>
          <w:sz w:val="20"/>
          <w:szCs w:val="20"/>
        </w:rPr>
        <w:t xml:space="preserve">, így </w:t>
      </w:r>
      <w:r w:rsidR="005C518C" w:rsidRPr="00FD658E">
        <w:rPr>
          <w:rFonts w:ascii="Arial" w:hAnsi="Arial" w:cs="Arial"/>
          <w:b/>
          <w:sz w:val="20"/>
          <w:szCs w:val="20"/>
        </w:rPr>
        <w:t xml:space="preserve">2013-tól 2020 </w:t>
      </w:r>
      <w:r w:rsidR="006D61B2">
        <w:rPr>
          <w:rFonts w:ascii="Arial" w:hAnsi="Arial" w:cs="Arial"/>
          <w:b/>
          <w:sz w:val="20"/>
          <w:szCs w:val="20"/>
        </w:rPr>
        <w:t xml:space="preserve">végéig összesen </w:t>
      </w:r>
      <w:r w:rsidR="002151AA">
        <w:rPr>
          <w:rFonts w:ascii="Arial" w:hAnsi="Arial" w:cs="Arial"/>
          <w:b/>
          <w:sz w:val="20"/>
          <w:szCs w:val="20"/>
        </w:rPr>
        <w:t>62,</w:t>
      </w:r>
      <w:r w:rsidR="000E6CD5">
        <w:rPr>
          <w:rFonts w:ascii="Arial" w:hAnsi="Arial" w:cs="Arial"/>
          <w:b/>
          <w:sz w:val="20"/>
          <w:szCs w:val="20"/>
        </w:rPr>
        <w:t>9</w:t>
      </w:r>
      <w:r w:rsidR="002151AA">
        <w:rPr>
          <w:rFonts w:ascii="Arial" w:hAnsi="Arial" w:cs="Arial"/>
          <w:b/>
          <w:sz w:val="20"/>
          <w:szCs w:val="20"/>
        </w:rPr>
        <w:t>%-kal nő</w:t>
      </w:r>
      <w:r w:rsidR="006D61B2">
        <w:rPr>
          <w:rFonts w:ascii="Arial" w:hAnsi="Arial" w:cs="Arial"/>
          <w:b/>
          <w:sz w:val="20"/>
          <w:szCs w:val="20"/>
        </w:rPr>
        <w:t>tt</w:t>
      </w:r>
      <w:r w:rsidR="005C518C" w:rsidRPr="00FD658E">
        <w:rPr>
          <w:rFonts w:ascii="Arial" w:hAnsi="Arial" w:cs="Arial"/>
          <w:b/>
          <w:sz w:val="20"/>
          <w:szCs w:val="20"/>
        </w:rPr>
        <w:t>ek a nettó reálbérek</w:t>
      </w:r>
      <w:r w:rsidR="005C518C" w:rsidRPr="00FD658E">
        <w:rPr>
          <w:rFonts w:ascii="Arial" w:hAnsi="Arial" w:cs="Arial"/>
          <w:sz w:val="20"/>
          <w:szCs w:val="20"/>
        </w:rPr>
        <w:t xml:space="preserve">. </w:t>
      </w:r>
      <w:r w:rsidR="00EB0DA2">
        <w:rPr>
          <w:rFonts w:ascii="Arial" w:hAnsi="Arial" w:cs="Arial"/>
          <w:b/>
          <w:sz w:val="20"/>
          <w:szCs w:val="20"/>
        </w:rPr>
        <w:t>Tavaly</w:t>
      </w:r>
      <w:r w:rsidR="005C518C" w:rsidRPr="00746506">
        <w:rPr>
          <w:rFonts w:ascii="Arial" w:hAnsi="Arial" w:cs="Arial"/>
          <w:b/>
          <w:sz w:val="20"/>
          <w:szCs w:val="20"/>
        </w:rPr>
        <w:t xml:space="preserve"> </w:t>
      </w:r>
      <w:r w:rsidR="00EB0DA2">
        <w:rPr>
          <w:rFonts w:ascii="Arial" w:hAnsi="Arial" w:cs="Arial"/>
          <w:b/>
          <w:sz w:val="20"/>
          <w:szCs w:val="20"/>
        </w:rPr>
        <w:t>8,5</w:t>
      </w:r>
      <w:r w:rsidR="005C518C" w:rsidRPr="00746506">
        <w:rPr>
          <w:rFonts w:ascii="Arial" w:hAnsi="Arial" w:cs="Arial"/>
          <w:b/>
          <w:sz w:val="20"/>
          <w:szCs w:val="20"/>
        </w:rPr>
        <w:t>%-</w:t>
      </w:r>
      <w:proofErr w:type="spellStart"/>
      <w:r w:rsidR="005C518C" w:rsidRPr="00746506">
        <w:rPr>
          <w:rFonts w:ascii="Arial" w:hAnsi="Arial" w:cs="Arial"/>
          <w:b/>
          <w:sz w:val="20"/>
          <w:szCs w:val="20"/>
        </w:rPr>
        <w:t>ra</w:t>
      </w:r>
      <w:proofErr w:type="spellEnd"/>
      <w:r w:rsidR="005C518C" w:rsidRPr="00746506">
        <w:rPr>
          <w:rFonts w:ascii="Arial" w:hAnsi="Arial" w:cs="Arial"/>
          <w:b/>
          <w:sz w:val="20"/>
          <w:szCs w:val="20"/>
        </w:rPr>
        <w:t xml:space="preserve"> </w:t>
      </w:r>
      <w:proofErr w:type="spellStart"/>
      <w:r w:rsidR="00F75BA7">
        <w:rPr>
          <w:rFonts w:ascii="Arial" w:hAnsi="Arial" w:cs="Arial"/>
          <w:b/>
          <w:sz w:val="20"/>
          <w:szCs w:val="20"/>
        </w:rPr>
        <w:t>mérsékődhetett</w:t>
      </w:r>
      <w:proofErr w:type="spellEnd"/>
      <w:r w:rsidR="005C518C" w:rsidRPr="00746506">
        <w:rPr>
          <w:rFonts w:ascii="Arial" w:hAnsi="Arial" w:cs="Arial"/>
          <w:b/>
          <w:sz w:val="20"/>
          <w:szCs w:val="20"/>
        </w:rPr>
        <w:t xml:space="preserve"> a bé</w:t>
      </w:r>
      <w:r w:rsidR="00034D0E" w:rsidRPr="00746506">
        <w:rPr>
          <w:rFonts w:ascii="Arial" w:hAnsi="Arial" w:cs="Arial"/>
          <w:b/>
          <w:sz w:val="20"/>
          <w:szCs w:val="20"/>
        </w:rPr>
        <w:t>rnövekedés</w:t>
      </w:r>
      <w:r w:rsidR="00034D0E">
        <w:rPr>
          <w:rFonts w:ascii="Arial" w:hAnsi="Arial" w:cs="Arial"/>
          <w:sz w:val="20"/>
          <w:szCs w:val="20"/>
        </w:rPr>
        <w:t xml:space="preserve"> üteme, ami a várt </w:t>
      </w:r>
      <w:r w:rsidR="00EB0DA2">
        <w:rPr>
          <w:rFonts w:ascii="Arial" w:hAnsi="Arial" w:cs="Arial"/>
          <w:sz w:val="20"/>
          <w:szCs w:val="20"/>
        </w:rPr>
        <w:t>5,1</w:t>
      </w:r>
      <w:r w:rsidR="005C518C" w:rsidRPr="00FD658E">
        <w:rPr>
          <w:rFonts w:ascii="Arial" w:hAnsi="Arial" w:cs="Arial"/>
          <w:sz w:val="20"/>
          <w:szCs w:val="20"/>
        </w:rPr>
        <w:t xml:space="preserve">%-os infláció </w:t>
      </w:r>
      <w:r w:rsidR="005C518C" w:rsidRPr="00746506">
        <w:rPr>
          <w:rFonts w:ascii="Arial" w:hAnsi="Arial" w:cs="Arial"/>
          <w:b/>
          <w:sz w:val="20"/>
          <w:szCs w:val="20"/>
        </w:rPr>
        <w:t>m</w:t>
      </w:r>
      <w:r w:rsidR="00746506" w:rsidRPr="00746506">
        <w:rPr>
          <w:rFonts w:ascii="Arial" w:hAnsi="Arial" w:cs="Arial"/>
          <w:b/>
          <w:sz w:val="20"/>
          <w:szCs w:val="20"/>
        </w:rPr>
        <w:t xml:space="preserve">ellet </w:t>
      </w:r>
      <w:r w:rsidR="00EB0DA2">
        <w:rPr>
          <w:rFonts w:ascii="Arial" w:hAnsi="Arial" w:cs="Arial"/>
          <w:b/>
          <w:sz w:val="20"/>
          <w:szCs w:val="20"/>
        </w:rPr>
        <w:t>3,3</w:t>
      </w:r>
      <w:r w:rsidR="005C518C" w:rsidRPr="00746506">
        <w:rPr>
          <w:rFonts w:ascii="Arial" w:hAnsi="Arial" w:cs="Arial"/>
          <w:b/>
          <w:sz w:val="20"/>
          <w:szCs w:val="20"/>
        </w:rPr>
        <w:t>%-os reálbér növekedést</w:t>
      </w:r>
      <w:r w:rsidR="005C518C" w:rsidRPr="00FD658E">
        <w:rPr>
          <w:rFonts w:ascii="Arial" w:hAnsi="Arial" w:cs="Arial"/>
          <w:sz w:val="20"/>
          <w:szCs w:val="20"/>
        </w:rPr>
        <w:t xml:space="preserve"> eredményezhet</w:t>
      </w:r>
      <w:r w:rsidR="00EB0DA2">
        <w:rPr>
          <w:rFonts w:ascii="Arial" w:hAnsi="Arial" w:cs="Arial"/>
          <w:sz w:val="20"/>
          <w:szCs w:val="20"/>
        </w:rPr>
        <w:t>ett</w:t>
      </w:r>
      <w:r w:rsidR="005C518C" w:rsidRPr="00FD658E">
        <w:rPr>
          <w:rFonts w:ascii="Arial" w:hAnsi="Arial" w:cs="Arial"/>
          <w:sz w:val="20"/>
          <w:szCs w:val="20"/>
        </w:rPr>
        <w:t xml:space="preserve">, ezzel </w:t>
      </w:r>
      <w:r w:rsidR="005C518C" w:rsidRPr="00FD658E">
        <w:rPr>
          <w:rFonts w:ascii="Arial" w:hAnsi="Arial" w:cs="Arial"/>
          <w:b/>
          <w:sz w:val="20"/>
          <w:szCs w:val="20"/>
        </w:rPr>
        <w:t>2013-2021 között közel 70%-kal emelkedhet az átlagos reálbér</w:t>
      </w:r>
      <w:r w:rsidR="005C518C" w:rsidRPr="00FD658E">
        <w:rPr>
          <w:rFonts w:ascii="Arial" w:hAnsi="Arial" w:cs="Arial"/>
          <w:sz w:val="20"/>
          <w:szCs w:val="20"/>
        </w:rPr>
        <w:t xml:space="preserve">. </w:t>
      </w:r>
      <w:r w:rsidR="00EB0DA2">
        <w:rPr>
          <w:rFonts w:ascii="Arial" w:hAnsi="Arial" w:cs="Arial"/>
          <w:sz w:val="20"/>
          <w:szCs w:val="20"/>
        </w:rPr>
        <w:t>Idén</w:t>
      </w:r>
      <w:r w:rsidR="00BC0169">
        <w:rPr>
          <w:rFonts w:ascii="Arial" w:hAnsi="Arial" w:cs="Arial"/>
          <w:sz w:val="20"/>
          <w:szCs w:val="20"/>
        </w:rPr>
        <w:t xml:space="preserve"> a közel 20%-kal, </w:t>
      </w:r>
      <w:r w:rsidR="00BC0169" w:rsidRPr="00BC0169">
        <w:rPr>
          <w:rFonts w:ascii="Arial" w:hAnsi="Arial" w:cs="Arial"/>
          <w:b/>
          <w:sz w:val="20"/>
          <w:szCs w:val="20"/>
        </w:rPr>
        <w:t>200 ezer forintra emelkedő minimálbér</w:t>
      </w:r>
      <w:r w:rsidR="00BC0169">
        <w:rPr>
          <w:rFonts w:ascii="Arial" w:hAnsi="Arial" w:cs="Arial"/>
          <w:sz w:val="20"/>
          <w:szCs w:val="20"/>
        </w:rPr>
        <w:t xml:space="preserve"> </w:t>
      </w:r>
      <w:r w:rsidR="00EB0DA2" w:rsidRPr="00EB0DA2">
        <w:rPr>
          <w:rFonts w:ascii="Arial" w:hAnsi="Arial" w:cs="Arial"/>
          <w:b/>
          <w:sz w:val="20"/>
          <w:szCs w:val="20"/>
        </w:rPr>
        <w:t>és 260 ezer forintra emelkedő garantált bérminimum</w:t>
      </w:r>
      <w:r w:rsidR="00DA4F66">
        <w:rPr>
          <w:rFonts w:ascii="Arial" w:hAnsi="Arial" w:cs="Arial"/>
          <w:b/>
          <w:sz w:val="20"/>
          <w:szCs w:val="20"/>
        </w:rPr>
        <w:t>, valamint több költségvetési ágazatban bejelentett 20%-os béremelés</w:t>
      </w:r>
      <w:r w:rsidR="00EB0DA2" w:rsidRPr="00EB0DA2">
        <w:rPr>
          <w:rFonts w:ascii="Arial" w:hAnsi="Arial" w:cs="Arial"/>
          <w:b/>
          <w:sz w:val="20"/>
          <w:szCs w:val="20"/>
        </w:rPr>
        <w:t xml:space="preserve"> </w:t>
      </w:r>
      <w:r w:rsidR="00BC0169" w:rsidRPr="00EB0DA2">
        <w:rPr>
          <w:rFonts w:ascii="Arial" w:hAnsi="Arial" w:cs="Arial"/>
          <w:b/>
          <w:sz w:val="20"/>
          <w:szCs w:val="20"/>
        </w:rPr>
        <w:lastRenderedPageBreak/>
        <w:t>hatására</w:t>
      </w:r>
      <w:r w:rsidR="00BC0169">
        <w:rPr>
          <w:rFonts w:ascii="Arial" w:hAnsi="Arial" w:cs="Arial"/>
          <w:sz w:val="20"/>
          <w:szCs w:val="20"/>
        </w:rPr>
        <w:t xml:space="preserve"> </w:t>
      </w:r>
      <w:r w:rsidR="00EB0DA2">
        <w:rPr>
          <w:rFonts w:ascii="Arial" w:hAnsi="Arial" w:cs="Arial"/>
          <w:b/>
          <w:sz w:val="20"/>
          <w:szCs w:val="20"/>
        </w:rPr>
        <w:t>13%-ot megközelítő</w:t>
      </w:r>
      <w:r w:rsidR="00BC0169" w:rsidRPr="00BC0169">
        <w:rPr>
          <w:rFonts w:ascii="Arial" w:hAnsi="Arial" w:cs="Arial"/>
          <w:b/>
          <w:sz w:val="20"/>
          <w:szCs w:val="20"/>
        </w:rPr>
        <w:t xml:space="preserve"> bérnövekedésre </w:t>
      </w:r>
      <w:r w:rsidR="00EB0DA2">
        <w:rPr>
          <w:rFonts w:ascii="Arial" w:hAnsi="Arial" w:cs="Arial"/>
          <w:sz w:val="20"/>
          <w:szCs w:val="20"/>
        </w:rPr>
        <w:t>van kilátás</w:t>
      </w:r>
      <w:r w:rsidR="00BC0169">
        <w:rPr>
          <w:rFonts w:ascii="Arial" w:hAnsi="Arial" w:cs="Arial"/>
          <w:sz w:val="20"/>
          <w:szCs w:val="20"/>
        </w:rPr>
        <w:t>.</w:t>
      </w:r>
      <w:r w:rsidR="00BC0169" w:rsidRPr="00BC0169">
        <w:rPr>
          <w:rFonts w:ascii="Arial" w:hAnsi="Arial" w:cs="Arial"/>
          <w:sz w:val="20"/>
          <w:szCs w:val="20"/>
        </w:rPr>
        <w:t xml:space="preserve"> </w:t>
      </w:r>
      <w:r w:rsidR="00BC0169">
        <w:rPr>
          <w:rFonts w:ascii="Arial" w:hAnsi="Arial" w:cs="Arial"/>
          <w:sz w:val="20"/>
          <w:szCs w:val="20"/>
        </w:rPr>
        <w:t xml:space="preserve">A </w:t>
      </w:r>
      <w:r w:rsidR="00BC0169" w:rsidRPr="00BC0169">
        <w:rPr>
          <w:rFonts w:ascii="Arial" w:hAnsi="Arial" w:cs="Arial"/>
          <w:b/>
          <w:sz w:val="20"/>
          <w:szCs w:val="20"/>
        </w:rPr>
        <w:t>rendvédelmi dolgozók</w:t>
      </w:r>
      <w:r w:rsidR="00BC0169">
        <w:rPr>
          <w:rFonts w:ascii="Arial" w:hAnsi="Arial" w:cs="Arial"/>
          <w:sz w:val="20"/>
          <w:szCs w:val="20"/>
        </w:rPr>
        <w:t xml:space="preserve"> számára tervezett </w:t>
      </w:r>
      <w:r w:rsidR="00BC0169" w:rsidRPr="00BC0169">
        <w:rPr>
          <w:rFonts w:ascii="Arial" w:hAnsi="Arial" w:cs="Arial"/>
          <w:b/>
          <w:sz w:val="20"/>
          <w:szCs w:val="20"/>
        </w:rPr>
        <w:t>hathavi fegyverpénz</w:t>
      </w:r>
      <w:r w:rsidR="00BC0169">
        <w:rPr>
          <w:rFonts w:ascii="Arial" w:hAnsi="Arial" w:cs="Arial"/>
          <w:sz w:val="20"/>
          <w:szCs w:val="20"/>
        </w:rPr>
        <w:t xml:space="preserve"> kifizetése szintén hozzájárul a gyorsuló bérnövekedéshez</w:t>
      </w:r>
      <w:r w:rsidR="00BC0169" w:rsidRPr="00FD658E">
        <w:rPr>
          <w:rFonts w:ascii="Arial" w:hAnsi="Arial" w:cs="Arial"/>
          <w:sz w:val="20"/>
          <w:szCs w:val="20"/>
        </w:rPr>
        <w:t xml:space="preserve">. </w:t>
      </w:r>
      <w:r w:rsidR="00BC0169">
        <w:rPr>
          <w:rFonts w:ascii="Arial" w:hAnsi="Arial" w:cs="Arial"/>
          <w:sz w:val="20"/>
          <w:szCs w:val="20"/>
        </w:rPr>
        <w:t xml:space="preserve"> A nettó bérek pedig elszakadnak a bruttó bérektől, egyrészt a </w:t>
      </w:r>
      <w:r w:rsidR="00BC0169" w:rsidRPr="00BC0169">
        <w:rPr>
          <w:rFonts w:ascii="Arial" w:hAnsi="Arial" w:cs="Arial"/>
          <w:b/>
          <w:sz w:val="20"/>
          <w:szCs w:val="20"/>
        </w:rPr>
        <w:t>25 év alatti munkavállalók szja mentessége</w:t>
      </w:r>
      <w:r w:rsidR="00BC0169">
        <w:rPr>
          <w:rFonts w:ascii="Arial" w:hAnsi="Arial" w:cs="Arial"/>
          <w:sz w:val="20"/>
          <w:szCs w:val="20"/>
        </w:rPr>
        <w:t xml:space="preserve">, másrészt a gyermeket nevelők </w:t>
      </w:r>
      <w:r w:rsidR="00BC0169" w:rsidRPr="00BC0169">
        <w:rPr>
          <w:rFonts w:ascii="Arial" w:hAnsi="Arial" w:cs="Arial"/>
          <w:b/>
          <w:sz w:val="20"/>
          <w:szCs w:val="20"/>
        </w:rPr>
        <w:t>szja visszatérítése</w:t>
      </w:r>
      <w:r w:rsidR="00BC0169">
        <w:rPr>
          <w:rFonts w:ascii="Arial" w:hAnsi="Arial" w:cs="Arial"/>
          <w:sz w:val="20"/>
          <w:szCs w:val="20"/>
        </w:rPr>
        <w:t xml:space="preserve"> miatt, aminek hat</w:t>
      </w:r>
      <w:r w:rsidR="00EB0DA2">
        <w:rPr>
          <w:rFonts w:ascii="Arial" w:hAnsi="Arial" w:cs="Arial"/>
          <w:sz w:val="20"/>
          <w:szCs w:val="20"/>
        </w:rPr>
        <w:t>ására a nettó bérnövekedés több</w:t>
      </w:r>
      <w:r w:rsidR="00BC0169">
        <w:rPr>
          <w:rFonts w:ascii="Arial" w:hAnsi="Arial" w:cs="Arial"/>
          <w:sz w:val="20"/>
          <w:szCs w:val="20"/>
        </w:rPr>
        <w:t xml:space="preserve"> mint </w:t>
      </w:r>
      <w:r w:rsidR="00BC0169" w:rsidRPr="00BC0169">
        <w:rPr>
          <w:rFonts w:ascii="Arial" w:hAnsi="Arial" w:cs="Arial"/>
          <w:b/>
          <w:sz w:val="20"/>
          <w:szCs w:val="20"/>
        </w:rPr>
        <w:t xml:space="preserve">4 százalékponttal haladhatja meg </w:t>
      </w:r>
      <w:r w:rsidR="00BC0169">
        <w:rPr>
          <w:rFonts w:ascii="Arial" w:hAnsi="Arial" w:cs="Arial"/>
          <w:sz w:val="20"/>
          <w:szCs w:val="20"/>
        </w:rPr>
        <w:t>a bruttó bérek dinamikáját</w:t>
      </w:r>
      <w:r w:rsidR="00A453CC">
        <w:rPr>
          <w:rFonts w:ascii="Arial" w:hAnsi="Arial" w:cs="Arial"/>
          <w:sz w:val="20"/>
          <w:szCs w:val="20"/>
        </w:rPr>
        <w:t>. Az szja visszatérítés februári időpontja miatt februárban a nettó bérnövekedés elérheti a 60%-ot is</w:t>
      </w:r>
      <w:r w:rsidR="00EB0DA2">
        <w:rPr>
          <w:rFonts w:ascii="Arial" w:hAnsi="Arial" w:cs="Arial"/>
          <w:sz w:val="20"/>
          <w:szCs w:val="20"/>
        </w:rPr>
        <w:t>. Mi</w:t>
      </w:r>
      <w:r w:rsidR="00BC0169">
        <w:rPr>
          <w:rFonts w:ascii="Arial" w:hAnsi="Arial" w:cs="Arial"/>
          <w:sz w:val="20"/>
          <w:szCs w:val="20"/>
        </w:rPr>
        <w:t xml:space="preserve">ndezek hatására a </w:t>
      </w:r>
      <w:r w:rsidR="00BC0169" w:rsidRPr="00BC0169">
        <w:rPr>
          <w:rFonts w:ascii="Arial" w:hAnsi="Arial" w:cs="Arial"/>
          <w:b/>
          <w:sz w:val="20"/>
          <w:szCs w:val="20"/>
        </w:rPr>
        <w:t>nettó bérek reálnövekedése meghaladhatja a 10%-ot, 2013-2022 között pedig a 86%-ot.</w:t>
      </w:r>
    </w:p>
    <w:p w14:paraId="40D8A3FD" w14:textId="77777777" w:rsidR="005C518C" w:rsidRPr="00FD658E" w:rsidRDefault="005C518C" w:rsidP="00FD658E">
      <w:pPr>
        <w:spacing w:after="120" w:line="360" w:lineRule="auto"/>
        <w:jc w:val="both"/>
        <w:rPr>
          <w:rFonts w:ascii="Arial" w:hAnsi="Arial" w:cs="Arial"/>
          <w:sz w:val="20"/>
          <w:szCs w:val="20"/>
        </w:rPr>
      </w:pPr>
      <w:r w:rsidRPr="00FD658E">
        <w:rPr>
          <w:rFonts w:ascii="Arial" w:hAnsi="Arial" w:cs="Arial"/>
          <w:sz w:val="20"/>
          <w:szCs w:val="20"/>
        </w:rPr>
        <w:t>A válság utáni években elhalasztott fogyasztás, a mérlegkiigazítási folyamat előrehaladása, a devizahitelek rendezése</w:t>
      </w:r>
      <w:r w:rsidR="00EF1451">
        <w:rPr>
          <w:rFonts w:ascii="Arial" w:hAnsi="Arial" w:cs="Arial"/>
          <w:sz w:val="20"/>
          <w:szCs w:val="20"/>
        </w:rPr>
        <w:t xml:space="preserve"> és a fix kamatozású hitelek elterjedése</w:t>
      </w:r>
      <w:r w:rsidRPr="00FD658E">
        <w:rPr>
          <w:rFonts w:ascii="Arial" w:hAnsi="Arial" w:cs="Arial"/>
          <w:sz w:val="20"/>
          <w:szCs w:val="20"/>
        </w:rPr>
        <w:t xml:space="preserve"> során kiszámíthatóvá váló törlesztő részletek, valamint a háztartások nettó pénzügyi vagyonának rekordszintre emelkedése miatt a következő években a </w:t>
      </w:r>
      <w:r w:rsidRPr="00FD658E">
        <w:rPr>
          <w:rFonts w:ascii="Arial" w:hAnsi="Arial" w:cs="Arial"/>
          <w:b/>
          <w:sz w:val="20"/>
          <w:szCs w:val="20"/>
        </w:rPr>
        <w:t>háztartások fogyasztása a gazdasági növekedés</w:t>
      </w:r>
      <w:r w:rsidR="00236ED3">
        <w:rPr>
          <w:rFonts w:ascii="Arial" w:hAnsi="Arial" w:cs="Arial"/>
          <w:b/>
          <w:sz w:val="20"/>
          <w:szCs w:val="20"/>
        </w:rPr>
        <w:t xml:space="preserve"> fontos támasza maradhat</w:t>
      </w:r>
      <w:r w:rsidRPr="00FD658E">
        <w:rPr>
          <w:rFonts w:ascii="Arial" w:hAnsi="Arial" w:cs="Arial"/>
          <w:sz w:val="20"/>
          <w:szCs w:val="20"/>
        </w:rPr>
        <w:t xml:space="preserve">. Eközben pedig kiemelkedő mértékben folytatódhat a lakosság vagyonának növekedése is.  </w:t>
      </w:r>
    </w:p>
    <w:p w14:paraId="5217F5BA" w14:textId="77777777" w:rsidR="005C518C" w:rsidRDefault="005C518C" w:rsidP="00FD658E">
      <w:pPr>
        <w:spacing w:after="120" w:line="360" w:lineRule="auto"/>
        <w:jc w:val="both"/>
        <w:rPr>
          <w:rFonts w:ascii="Arial" w:hAnsi="Arial" w:cs="Arial"/>
          <w:sz w:val="20"/>
          <w:szCs w:val="20"/>
        </w:rPr>
      </w:pPr>
      <w:r w:rsidRPr="00FD658E">
        <w:rPr>
          <w:rFonts w:ascii="Arial" w:hAnsi="Arial" w:cs="Arial"/>
          <w:sz w:val="20"/>
          <w:szCs w:val="20"/>
        </w:rPr>
        <w:t xml:space="preserve">A </w:t>
      </w:r>
      <w:proofErr w:type="spellStart"/>
      <w:r w:rsidRPr="00FD658E">
        <w:rPr>
          <w:rFonts w:ascii="Arial" w:hAnsi="Arial" w:cs="Arial"/>
          <w:sz w:val="20"/>
          <w:szCs w:val="20"/>
        </w:rPr>
        <w:t>szochó</w:t>
      </w:r>
      <w:proofErr w:type="spellEnd"/>
      <w:r w:rsidRPr="00FD658E">
        <w:rPr>
          <w:rFonts w:ascii="Arial" w:hAnsi="Arial" w:cs="Arial"/>
          <w:sz w:val="20"/>
          <w:szCs w:val="20"/>
        </w:rPr>
        <w:t xml:space="preserve"> évenkénti csökkentése miatt </w:t>
      </w:r>
      <w:r w:rsidRPr="00FD658E">
        <w:rPr>
          <w:rFonts w:ascii="Arial" w:hAnsi="Arial" w:cs="Arial"/>
          <w:b/>
          <w:sz w:val="20"/>
          <w:szCs w:val="20"/>
        </w:rPr>
        <w:t xml:space="preserve">a bérköltség közel </w:t>
      </w:r>
      <w:r w:rsidR="00EB0DA2">
        <w:rPr>
          <w:rFonts w:ascii="Arial" w:hAnsi="Arial" w:cs="Arial"/>
          <w:b/>
          <w:sz w:val="20"/>
          <w:szCs w:val="20"/>
        </w:rPr>
        <w:t>négy</w:t>
      </w:r>
      <w:r w:rsidRPr="00FD658E">
        <w:rPr>
          <w:rFonts w:ascii="Arial" w:hAnsi="Arial" w:cs="Arial"/>
          <w:b/>
          <w:sz w:val="20"/>
          <w:szCs w:val="20"/>
        </w:rPr>
        <w:t xml:space="preserve"> százalékponttal lassabb mértékben emelkedik </w:t>
      </w:r>
      <w:r w:rsidRPr="00FD658E">
        <w:rPr>
          <w:rFonts w:ascii="Arial" w:hAnsi="Arial" w:cs="Arial"/>
          <w:sz w:val="20"/>
          <w:szCs w:val="20"/>
        </w:rPr>
        <w:t xml:space="preserve">a bruttó bérek növekedéséhez képest. </w:t>
      </w:r>
    </w:p>
    <w:p w14:paraId="7C3AD215" w14:textId="77777777" w:rsidR="00A453CC" w:rsidRPr="00FD658E" w:rsidRDefault="00A453CC" w:rsidP="00FD658E">
      <w:pPr>
        <w:spacing w:after="120" w:line="360" w:lineRule="auto"/>
        <w:jc w:val="both"/>
        <w:rPr>
          <w:rFonts w:ascii="Arial" w:hAnsi="Arial" w:cs="Arial"/>
          <w:sz w:val="20"/>
          <w:szCs w:val="20"/>
        </w:rPr>
      </w:pPr>
    </w:p>
    <w:p w14:paraId="779A76F2" w14:textId="77777777" w:rsidR="005C518C" w:rsidRPr="003536D7" w:rsidRDefault="005C518C" w:rsidP="00316464">
      <w:pPr>
        <w:pStyle w:val="Alcmtbank"/>
      </w:pPr>
      <w:r w:rsidRPr="003536D7">
        <w:t xml:space="preserve">Költségvetési folyamatok </w:t>
      </w:r>
    </w:p>
    <w:p w14:paraId="7BD223E9" w14:textId="77777777" w:rsidR="005C518C" w:rsidRPr="00FD658E" w:rsidRDefault="005C518C" w:rsidP="00FD658E">
      <w:pPr>
        <w:spacing w:after="120" w:line="360" w:lineRule="auto"/>
        <w:jc w:val="both"/>
        <w:rPr>
          <w:rFonts w:ascii="Arial" w:hAnsi="Arial" w:cs="Arial"/>
          <w:sz w:val="20"/>
          <w:szCs w:val="20"/>
        </w:rPr>
      </w:pPr>
      <w:r w:rsidRPr="00FD658E">
        <w:rPr>
          <w:rFonts w:ascii="Arial" w:hAnsi="Arial" w:cs="Arial"/>
          <w:sz w:val="20"/>
          <w:szCs w:val="20"/>
        </w:rPr>
        <w:t xml:space="preserve">A koronavírus-járvány felülírta az államháztartás számait is, egyfelől </w:t>
      </w:r>
      <w:r w:rsidRPr="00FD658E">
        <w:rPr>
          <w:rFonts w:ascii="Arial" w:hAnsi="Arial" w:cs="Arial"/>
          <w:b/>
          <w:sz w:val="20"/>
          <w:szCs w:val="20"/>
        </w:rPr>
        <w:t>az egészségügyi és gazdasági védekezés</w:t>
      </w:r>
      <w:r w:rsidR="00470194">
        <w:rPr>
          <w:rFonts w:ascii="Arial" w:hAnsi="Arial" w:cs="Arial"/>
          <w:b/>
          <w:sz w:val="20"/>
          <w:szCs w:val="20"/>
        </w:rPr>
        <w:t>, majd újraindítás</w:t>
      </w:r>
      <w:r w:rsidRPr="00FD658E">
        <w:rPr>
          <w:rFonts w:ascii="Arial" w:hAnsi="Arial" w:cs="Arial"/>
          <w:b/>
          <w:sz w:val="20"/>
          <w:szCs w:val="20"/>
        </w:rPr>
        <w:t xml:space="preserve"> költségei</w:t>
      </w:r>
      <w:r w:rsidRPr="00FD658E">
        <w:rPr>
          <w:rFonts w:ascii="Arial" w:hAnsi="Arial" w:cs="Arial"/>
          <w:sz w:val="20"/>
          <w:szCs w:val="20"/>
        </w:rPr>
        <w:t xml:space="preserve">, másfelől a gazdaság zsugorodása miatt </w:t>
      </w:r>
      <w:r w:rsidRPr="00FD658E">
        <w:rPr>
          <w:rFonts w:ascii="Arial" w:hAnsi="Arial" w:cs="Arial"/>
          <w:b/>
          <w:sz w:val="20"/>
          <w:szCs w:val="20"/>
        </w:rPr>
        <w:t xml:space="preserve">visszaeső adóbevételek </w:t>
      </w:r>
      <w:r w:rsidRPr="00FD658E">
        <w:rPr>
          <w:rFonts w:ascii="Arial" w:hAnsi="Arial" w:cs="Arial"/>
          <w:sz w:val="20"/>
          <w:szCs w:val="20"/>
        </w:rPr>
        <w:t>miatt. Az MNB által közölt pénzügyi számlák adatai alapján</w:t>
      </w:r>
      <w:r w:rsidR="00E4152B">
        <w:rPr>
          <w:rFonts w:ascii="Arial" w:hAnsi="Arial" w:cs="Arial"/>
          <w:sz w:val="20"/>
          <w:szCs w:val="20"/>
        </w:rPr>
        <w:t xml:space="preserve"> </w:t>
      </w:r>
      <w:r w:rsidR="00BA477E">
        <w:rPr>
          <w:rFonts w:ascii="Arial" w:hAnsi="Arial" w:cs="Arial"/>
          <w:sz w:val="20"/>
          <w:szCs w:val="20"/>
        </w:rPr>
        <w:t>2020-ban</w:t>
      </w:r>
      <w:r w:rsidRPr="00FD658E">
        <w:rPr>
          <w:rFonts w:ascii="Arial" w:hAnsi="Arial" w:cs="Arial"/>
          <w:sz w:val="20"/>
          <w:szCs w:val="20"/>
        </w:rPr>
        <w:t xml:space="preserve"> </w:t>
      </w:r>
      <w:r w:rsidRPr="00FD658E">
        <w:rPr>
          <w:rFonts w:ascii="Arial" w:hAnsi="Arial" w:cs="Arial"/>
          <w:b/>
          <w:sz w:val="20"/>
          <w:szCs w:val="20"/>
        </w:rPr>
        <w:t>az államháztartás nettó finanszírozási igénye</w:t>
      </w:r>
      <w:r w:rsidRPr="00FD658E">
        <w:rPr>
          <w:rFonts w:ascii="Arial" w:hAnsi="Arial" w:cs="Arial"/>
          <w:sz w:val="20"/>
          <w:szCs w:val="20"/>
        </w:rPr>
        <w:t xml:space="preserve"> (hiánya) </w:t>
      </w:r>
      <w:r w:rsidR="00CC6CE5">
        <w:rPr>
          <w:rFonts w:ascii="Arial" w:hAnsi="Arial" w:cs="Arial"/>
          <w:b/>
          <w:sz w:val="20"/>
          <w:szCs w:val="20"/>
        </w:rPr>
        <w:t>3</w:t>
      </w:r>
      <w:r w:rsidR="00E56B63">
        <w:rPr>
          <w:rFonts w:ascii="Arial" w:hAnsi="Arial" w:cs="Arial"/>
          <w:b/>
          <w:sz w:val="20"/>
          <w:szCs w:val="20"/>
        </w:rPr>
        <w:t>878 milliárd forint, a GDP 8,1</w:t>
      </w:r>
      <w:r w:rsidR="00CC6CE5">
        <w:rPr>
          <w:rFonts w:ascii="Arial" w:hAnsi="Arial" w:cs="Arial"/>
          <w:b/>
          <w:sz w:val="20"/>
          <w:szCs w:val="20"/>
        </w:rPr>
        <w:t xml:space="preserve">%-a volt, míg </w:t>
      </w:r>
      <w:r w:rsidR="00BA477E">
        <w:rPr>
          <w:rFonts w:ascii="Arial" w:hAnsi="Arial" w:cs="Arial"/>
          <w:b/>
          <w:sz w:val="20"/>
          <w:szCs w:val="20"/>
        </w:rPr>
        <w:t>tavaly</w:t>
      </w:r>
      <w:r w:rsidR="00CC6CE5">
        <w:rPr>
          <w:rFonts w:ascii="Arial" w:hAnsi="Arial" w:cs="Arial"/>
          <w:b/>
          <w:sz w:val="20"/>
          <w:szCs w:val="20"/>
        </w:rPr>
        <w:t xml:space="preserve"> </w:t>
      </w:r>
      <w:r w:rsidR="00E4152B">
        <w:rPr>
          <w:rFonts w:ascii="Arial" w:hAnsi="Arial" w:cs="Arial"/>
          <w:b/>
          <w:sz w:val="20"/>
          <w:szCs w:val="20"/>
        </w:rPr>
        <w:t xml:space="preserve">a </w:t>
      </w:r>
      <w:r w:rsidR="00BA477E">
        <w:rPr>
          <w:rFonts w:ascii="Arial" w:hAnsi="Arial" w:cs="Arial"/>
          <w:b/>
          <w:sz w:val="20"/>
          <w:szCs w:val="20"/>
        </w:rPr>
        <w:t>harmadik</w:t>
      </w:r>
      <w:r w:rsidR="00CC6CE5">
        <w:rPr>
          <w:rFonts w:ascii="Arial" w:hAnsi="Arial" w:cs="Arial"/>
          <w:b/>
          <w:sz w:val="20"/>
          <w:szCs w:val="20"/>
        </w:rPr>
        <w:t xml:space="preserve"> negyedévben </w:t>
      </w:r>
      <w:r w:rsidR="00BA477E">
        <w:rPr>
          <w:rFonts w:ascii="Arial" w:hAnsi="Arial" w:cs="Arial"/>
          <w:b/>
          <w:sz w:val="20"/>
          <w:szCs w:val="20"/>
        </w:rPr>
        <w:t>588</w:t>
      </w:r>
      <w:r w:rsidR="00CC6CE5">
        <w:rPr>
          <w:rFonts w:ascii="Arial" w:hAnsi="Arial" w:cs="Arial"/>
          <w:b/>
          <w:sz w:val="20"/>
          <w:szCs w:val="20"/>
        </w:rPr>
        <w:t xml:space="preserve"> milliárd forintot, azaz a GDP </w:t>
      </w:r>
      <w:r w:rsidR="00BA477E">
        <w:rPr>
          <w:rFonts w:ascii="Arial" w:hAnsi="Arial" w:cs="Arial"/>
          <w:b/>
          <w:sz w:val="20"/>
          <w:szCs w:val="20"/>
        </w:rPr>
        <w:t>3,8</w:t>
      </w:r>
      <w:r w:rsidR="00CC6CE5">
        <w:rPr>
          <w:rFonts w:ascii="Arial" w:hAnsi="Arial" w:cs="Arial"/>
          <w:b/>
          <w:sz w:val="20"/>
          <w:szCs w:val="20"/>
        </w:rPr>
        <w:t>%-át érte el</w:t>
      </w:r>
      <w:r w:rsidRPr="00FD658E">
        <w:rPr>
          <w:rFonts w:ascii="Arial" w:hAnsi="Arial" w:cs="Arial"/>
          <w:sz w:val="20"/>
          <w:szCs w:val="20"/>
        </w:rPr>
        <w:t xml:space="preserve">. </w:t>
      </w:r>
      <w:r w:rsidR="00BA477E">
        <w:rPr>
          <w:rFonts w:ascii="Arial" w:hAnsi="Arial" w:cs="Arial"/>
          <w:sz w:val="20"/>
          <w:szCs w:val="20"/>
        </w:rPr>
        <w:t>Tavalyelőtt</w:t>
      </w:r>
      <w:r w:rsidRPr="00FD658E">
        <w:rPr>
          <w:rFonts w:ascii="Arial" w:hAnsi="Arial" w:cs="Arial"/>
          <w:sz w:val="20"/>
          <w:szCs w:val="20"/>
        </w:rPr>
        <w:t xml:space="preserve"> a KSH által publikált, az európai módszertannak megfelelő </w:t>
      </w:r>
      <w:r w:rsidRPr="00FD658E">
        <w:rPr>
          <w:rFonts w:ascii="Arial" w:hAnsi="Arial" w:cs="Arial"/>
          <w:b/>
          <w:sz w:val="20"/>
          <w:szCs w:val="20"/>
        </w:rPr>
        <w:t xml:space="preserve">eredményszemléletű államháztartási hiánya pedig </w:t>
      </w:r>
      <w:r w:rsidR="001B0085">
        <w:rPr>
          <w:rFonts w:ascii="Arial" w:hAnsi="Arial" w:cs="Arial"/>
          <w:b/>
          <w:sz w:val="20"/>
          <w:szCs w:val="20"/>
        </w:rPr>
        <w:t>3870</w:t>
      </w:r>
      <w:r w:rsidRPr="00FD658E">
        <w:rPr>
          <w:rFonts w:ascii="Arial" w:hAnsi="Arial" w:cs="Arial"/>
          <w:b/>
          <w:sz w:val="20"/>
          <w:szCs w:val="20"/>
        </w:rPr>
        <w:t xml:space="preserve"> milliárd forint</w:t>
      </w:r>
      <w:r w:rsidRPr="00FD658E">
        <w:rPr>
          <w:rFonts w:ascii="Arial" w:hAnsi="Arial" w:cs="Arial"/>
          <w:sz w:val="20"/>
          <w:szCs w:val="20"/>
        </w:rPr>
        <w:t xml:space="preserve"> volt, ami </w:t>
      </w:r>
      <w:r w:rsidRPr="00FD658E">
        <w:rPr>
          <w:rFonts w:ascii="Arial" w:hAnsi="Arial" w:cs="Arial"/>
          <w:b/>
          <w:sz w:val="20"/>
          <w:szCs w:val="20"/>
        </w:rPr>
        <w:t xml:space="preserve">a GDP </w:t>
      </w:r>
      <w:r w:rsidR="001B0085">
        <w:rPr>
          <w:rFonts w:ascii="Arial" w:hAnsi="Arial" w:cs="Arial"/>
          <w:b/>
          <w:sz w:val="20"/>
          <w:szCs w:val="20"/>
        </w:rPr>
        <w:t>8,1</w:t>
      </w:r>
      <w:r w:rsidRPr="00FD658E">
        <w:rPr>
          <w:rFonts w:ascii="Arial" w:hAnsi="Arial" w:cs="Arial"/>
          <w:b/>
          <w:sz w:val="20"/>
          <w:szCs w:val="20"/>
        </w:rPr>
        <w:t>%-</w:t>
      </w:r>
      <w:proofErr w:type="spellStart"/>
      <w:r w:rsidRPr="00FD658E">
        <w:rPr>
          <w:rFonts w:ascii="Arial" w:hAnsi="Arial" w:cs="Arial"/>
          <w:b/>
          <w:sz w:val="20"/>
          <w:szCs w:val="20"/>
        </w:rPr>
        <w:t>ának</w:t>
      </w:r>
      <w:proofErr w:type="spellEnd"/>
      <w:r w:rsidR="004E4B04">
        <w:rPr>
          <w:rFonts w:ascii="Arial" w:hAnsi="Arial" w:cs="Arial"/>
          <w:sz w:val="20"/>
          <w:szCs w:val="20"/>
        </w:rPr>
        <w:t xml:space="preserve"> felelt meg</w:t>
      </w:r>
      <w:r w:rsidR="00D259CB">
        <w:rPr>
          <w:rFonts w:ascii="Arial" w:hAnsi="Arial" w:cs="Arial"/>
          <w:sz w:val="20"/>
          <w:szCs w:val="20"/>
        </w:rPr>
        <w:t>, míg 2021</w:t>
      </w:r>
      <w:r w:rsidR="00E4152B">
        <w:rPr>
          <w:rFonts w:ascii="Arial" w:hAnsi="Arial" w:cs="Arial"/>
          <w:sz w:val="20"/>
          <w:szCs w:val="20"/>
        </w:rPr>
        <w:t xml:space="preserve"> első </w:t>
      </w:r>
      <w:r w:rsidR="00D259CB">
        <w:rPr>
          <w:rFonts w:ascii="Arial" w:hAnsi="Arial" w:cs="Arial"/>
          <w:sz w:val="20"/>
          <w:szCs w:val="20"/>
        </w:rPr>
        <w:t>háromnegyed évében</w:t>
      </w:r>
      <w:r w:rsidR="00E4152B">
        <w:rPr>
          <w:rFonts w:ascii="Arial" w:hAnsi="Arial" w:cs="Arial"/>
          <w:sz w:val="20"/>
          <w:szCs w:val="20"/>
        </w:rPr>
        <w:t xml:space="preserve"> </w:t>
      </w:r>
      <w:r w:rsidR="00D259CB">
        <w:rPr>
          <w:rFonts w:ascii="Arial" w:hAnsi="Arial" w:cs="Arial"/>
          <w:sz w:val="20"/>
          <w:szCs w:val="20"/>
        </w:rPr>
        <w:t>1570</w:t>
      </w:r>
      <w:r w:rsidR="00E4152B">
        <w:rPr>
          <w:rFonts w:ascii="Arial" w:hAnsi="Arial" w:cs="Arial"/>
          <w:sz w:val="20"/>
          <w:szCs w:val="20"/>
        </w:rPr>
        <w:t xml:space="preserve"> milliárd forintot, a GDP </w:t>
      </w:r>
      <w:r w:rsidR="00D259CB">
        <w:rPr>
          <w:rFonts w:ascii="Arial" w:hAnsi="Arial" w:cs="Arial"/>
          <w:sz w:val="20"/>
          <w:szCs w:val="20"/>
        </w:rPr>
        <w:t>3,9</w:t>
      </w:r>
      <w:r w:rsidR="00E4152B">
        <w:rPr>
          <w:rFonts w:ascii="Arial" w:hAnsi="Arial" w:cs="Arial"/>
          <w:sz w:val="20"/>
          <w:szCs w:val="20"/>
        </w:rPr>
        <w:t>%-át érte el</w:t>
      </w:r>
      <w:r w:rsidR="004E4B04">
        <w:rPr>
          <w:rFonts w:ascii="Arial" w:hAnsi="Arial" w:cs="Arial"/>
          <w:sz w:val="20"/>
          <w:szCs w:val="20"/>
        </w:rPr>
        <w:t xml:space="preserve">. </w:t>
      </w:r>
      <w:r w:rsidRPr="00FD658E">
        <w:rPr>
          <w:rFonts w:ascii="Arial" w:hAnsi="Arial" w:cs="Arial"/>
          <w:sz w:val="20"/>
          <w:szCs w:val="20"/>
        </w:rPr>
        <w:t xml:space="preserve">A kormány </w:t>
      </w:r>
      <w:r w:rsidR="004E4B04">
        <w:rPr>
          <w:rFonts w:ascii="Arial" w:hAnsi="Arial" w:cs="Arial"/>
          <w:sz w:val="20"/>
          <w:szCs w:val="20"/>
        </w:rPr>
        <w:t>tavaly</w:t>
      </w:r>
      <w:r w:rsidR="00E4152B">
        <w:rPr>
          <w:rFonts w:ascii="Arial" w:hAnsi="Arial" w:cs="Arial"/>
          <w:sz w:val="20"/>
          <w:szCs w:val="20"/>
        </w:rPr>
        <w:t>előtt</w:t>
      </w:r>
      <w:r w:rsidRPr="00FD658E">
        <w:rPr>
          <w:rFonts w:ascii="Arial" w:hAnsi="Arial" w:cs="Arial"/>
          <w:sz w:val="20"/>
          <w:szCs w:val="20"/>
        </w:rPr>
        <w:t xml:space="preserve"> eredetileg még ambiciózusabb, 1%-os államháztartási hiányt tervezett, azonban a járványhelyzet miatt jelentős bizonytalanság mellett </w:t>
      </w:r>
      <w:r w:rsidR="001B0085">
        <w:rPr>
          <w:rFonts w:ascii="Arial" w:hAnsi="Arial" w:cs="Arial"/>
          <w:b/>
          <w:sz w:val="20"/>
          <w:szCs w:val="20"/>
        </w:rPr>
        <w:t>lényegesen nagyobb lett a hiány</w:t>
      </w:r>
      <w:r w:rsidRPr="00FD658E">
        <w:rPr>
          <w:rFonts w:ascii="Arial" w:hAnsi="Arial" w:cs="Arial"/>
          <w:sz w:val="20"/>
          <w:szCs w:val="20"/>
        </w:rPr>
        <w:t>, ami megfelel a régiós és nemzetközi trendeknek, egyes országok</w:t>
      </w:r>
      <w:r w:rsidR="001B0085">
        <w:rPr>
          <w:rFonts w:ascii="Arial" w:hAnsi="Arial" w:cs="Arial"/>
          <w:sz w:val="20"/>
          <w:szCs w:val="20"/>
        </w:rPr>
        <w:t>ban még nagyobb hiánnyal számolt</w:t>
      </w:r>
      <w:r w:rsidRPr="00FD658E">
        <w:rPr>
          <w:rFonts w:ascii="Arial" w:hAnsi="Arial" w:cs="Arial"/>
          <w:sz w:val="20"/>
          <w:szCs w:val="20"/>
        </w:rPr>
        <w:t xml:space="preserve">ak a gazdaág élénkítése céljából. A kimagasló hiányt az is lehetővé tette, hogy a járvány európai kitörését követően az EU felfüggesztette a szigorú költségvetési elvárásait. A kormány számos, az egészségüggyel és gazdaságvédelemmel kapcsolatos intézkedést hozott, többek között egyes adónemek felfüggesztésével a bajba jutott ágazatok megsegítésére, valamint bértámogatási, és a munkahelyek megtartását, újak létrehozását célzó bér- és beruházás támogatási pályázatokat hirdetett meg. Emellett egyes állami bankokon keresztül támogatja a vállalatok hitelezését, amelyhez jelentős garanciaprogramot is bejelentett. </w:t>
      </w:r>
      <w:r w:rsidR="003A79C4">
        <w:rPr>
          <w:rFonts w:ascii="Arial" w:hAnsi="Arial" w:cs="Arial"/>
          <w:sz w:val="20"/>
          <w:szCs w:val="20"/>
        </w:rPr>
        <w:t xml:space="preserve">Mivel a járvány </w:t>
      </w:r>
      <w:r w:rsidR="00BA477E">
        <w:rPr>
          <w:rFonts w:ascii="Arial" w:hAnsi="Arial" w:cs="Arial"/>
          <w:sz w:val="20"/>
          <w:szCs w:val="20"/>
        </w:rPr>
        <w:t>2021-re is áthúzódott</w:t>
      </w:r>
      <w:r w:rsidR="003A79C4">
        <w:rPr>
          <w:rFonts w:ascii="Arial" w:hAnsi="Arial" w:cs="Arial"/>
          <w:sz w:val="20"/>
          <w:szCs w:val="20"/>
        </w:rPr>
        <w:t xml:space="preserve">, a kormány </w:t>
      </w:r>
      <w:r w:rsidR="00BA477E">
        <w:rPr>
          <w:rFonts w:ascii="Arial" w:hAnsi="Arial" w:cs="Arial"/>
          <w:b/>
          <w:sz w:val="20"/>
          <w:szCs w:val="20"/>
        </w:rPr>
        <w:t>a tavalyi</w:t>
      </w:r>
      <w:r w:rsidR="003A79C4" w:rsidRPr="003A79C4">
        <w:rPr>
          <w:rFonts w:ascii="Arial" w:hAnsi="Arial" w:cs="Arial"/>
          <w:b/>
          <w:sz w:val="20"/>
          <w:szCs w:val="20"/>
        </w:rPr>
        <w:t>, a GDP 6,5%-</w:t>
      </w:r>
      <w:proofErr w:type="spellStart"/>
      <w:r w:rsidR="003A79C4" w:rsidRPr="003A79C4">
        <w:rPr>
          <w:rFonts w:ascii="Arial" w:hAnsi="Arial" w:cs="Arial"/>
          <w:b/>
          <w:sz w:val="20"/>
          <w:szCs w:val="20"/>
        </w:rPr>
        <w:t>ának</w:t>
      </w:r>
      <w:proofErr w:type="spellEnd"/>
      <w:r w:rsidR="003A79C4" w:rsidRPr="003A79C4">
        <w:rPr>
          <w:rFonts w:ascii="Arial" w:hAnsi="Arial" w:cs="Arial"/>
          <w:b/>
          <w:sz w:val="20"/>
          <w:szCs w:val="20"/>
        </w:rPr>
        <w:t xml:space="preserve"> megfelelő hiánytervet 7,5%-</w:t>
      </w:r>
      <w:proofErr w:type="spellStart"/>
      <w:r w:rsidR="003A79C4" w:rsidRPr="003A79C4">
        <w:rPr>
          <w:rFonts w:ascii="Arial" w:hAnsi="Arial" w:cs="Arial"/>
          <w:b/>
          <w:sz w:val="20"/>
          <w:szCs w:val="20"/>
        </w:rPr>
        <w:t>ra</w:t>
      </w:r>
      <w:proofErr w:type="spellEnd"/>
      <w:r w:rsidR="003A79C4" w:rsidRPr="003A79C4">
        <w:rPr>
          <w:rFonts w:ascii="Arial" w:hAnsi="Arial" w:cs="Arial"/>
          <w:b/>
          <w:sz w:val="20"/>
          <w:szCs w:val="20"/>
        </w:rPr>
        <w:t xml:space="preserve"> módosította</w:t>
      </w:r>
      <w:r w:rsidR="003A79C4">
        <w:rPr>
          <w:rFonts w:ascii="Arial" w:hAnsi="Arial" w:cs="Arial"/>
          <w:sz w:val="20"/>
          <w:szCs w:val="20"/>
        </w:rPr>
        <w:t>, azonban a gazdaság élénkülésével az adóbevételek is kedvezőbben alakulhatnak, ennek megfelelően némileg alacsonyabb hiányra számítunk</w:t>
      </w:r>
      <w:r w:rsidR="00BA477E">
        <w:rPr>
          <w:rFonts w:ascii="Arial" w:hAnsi="Arial" w:cs="Arial"/>
          <w:sz w:val="20"/>
          <w:szCs w:val="20"/>
        </w:rPr>
        <w:t xml:space="preserve">. Mivel a gazdaság sikeres </w:t>
      </w:r>
      <w:proofErr w:type="spellStart"/>
      <w:r w:rsidR="00BA477E">
        <w:rPr>
          <w:rFonts w:ascii="Arial" w:hAnsi="Arial" w:cs="Arial"/>
          <w:sz w:val="20"/>
          <w:szCs w:val="20"/>
        </w:rPr>
        <w:t>újraindulása</w:t>
      </w:r>
      <w:proofErr w:type="spellEnd"/>
      <w:r w:rsidR="00BA477E">
        <w:rPr>
          <w:rFonts w:ascii="Arial" w:hAnsi="Arial" w:cs="Arial"/>
          <w:sz w:val="20"/>
          <w:szCs w:val="20"/>
        </w:rPr>
        <w:t xml:space="preserve"> már kisebb mértékű élénkítést tesz szükségessé, a pénzügyi stabilitás </w:t>
      </w:r>
      <w:r w:rsidR="00BA477E">
        <w:rPr>
          <w:rFonts w:ascii="Arial" w:hAnsi="Arial" w:cs="Arial"/>
          <w:sz w:val="20"/>
          <w:szCs w:val="20"/>
        </w:rPr>
        <w:lastRenderedPageBreak/>
        <w:t>javítása érdekében a kormány az idei hiánycélt a GDP 5,9%-</w:t>
      </w:r>
      <w:proofErr w:type="spellStart"/>
      <w:r w:rsidR="00BA477E">
        <w:rPr>
          <w:rFonts w:ascii="Arial" w:hAnsi="Arial" w:cs="Arial"/>
          <w:sz w:val="20"/>
          <w:szCs w:val="20"/>
        </w:rPr>
        <w:t>ról</w:t>
      </w:r>
      <w:proofErr w:type="spellEnd"/>
      <w:r w:rsidR="00BA477E">
        <w:rPr>
          <w:rFonts w:ascii="Arial" w:hAnsi="Arial" w:cs="Arial"/>
          <w:sz w:val="20"/>
          <w:szCs w:val="20"/>
        </w:rPr>
        <w:t xml:space="preserve"> </w:t>
      </w:r>
      <w:r w:rsidR="00BA477E" w:rsidRPr="00BA477E">
        <w:rPr>
          <w:rFonts w:ascii="Arial" w:hAnsi="Arial" w:cs="Arial"/>
          <w:b/>
          <w:sz w:val="20"/>
          <w:szCs w:val="20"/>
        </w:rPr>
        <w:t>4,9%-</w:t>
      </w:r>
      <w:proofErr w:type="spellStart"/>
      <w:r w:rsidR="00BA477E" w:rsidRPr="00BA477E">
        <w:rPr>
          <w:rFonts w:ascii="Arial" w:hAnsi="Arial" w:cs="Arial"/>
          <w:b/>
          <w:sz w:val="20"/>
          <w:szCs w:val="20"/>
        </w:rPr>
        <w:t>ra</w:t>
      </w:r>
      <w:proofErr w:type="spellEnd"/>
      <w:r w:rsidR="00BA477E" w:rsidRPr="00BA477E">
        <w:rPr>
          <w:rFonts w:ascii="Arial" w:hAnsi="Arial" w:cs="Arial"/>
          <w:b/>
          <w:sz w:val="20"/>
          <w:szCs w:val="20"/>
        </w:rPr>
        <w:t xml:space="preserve"> mérsékelte</w:t>
      </w:r>
      <w:r w:rsidR="003A79C4">
        <w:rPr>
          <w:rFonts w:ascii="Arial" w:hAnsi="Arial" w:cs="Arial"/>
          <w:sz w:val="20"/>
          <w:szCs w:val="20"/>
        </w:rPr>
        <w:t xml:space="preserve">. A gazdaság helyreállásával a következő években fokozatosan újra a 3%-os kritérium alá süllyedhet az államháztartás hiánya.  </w:t>
      </w:r>
    </w:p>
    <w:p w14:paraId="47B8A78B" w14:textId="77777777" w:rsidR="007D77D5" w:rsidRDefault="005C518C" w:rsidP="00A10369">
      <w:pPr>
        <w:spacing w:after="120" w:line="360" w:lineRule="auto"/>
        <w:jc w:val="both"/>
        <w:rPr>
          <w:rFonts w:ascii="Arial" w:hAnsi="Arial" w:cs="Arial"/>
          <w:sz w:val="20"/>
          <w:szCs w:val="20"/>
        </w:rPr>
      </w:pPr>
      <w:r w:rsidRPr="00FD658E">
        <w:rPr>
          <w:rFonts w:ascii="Arial" w:hAnsi="Arial" w:cs="Arial"/>
          <w:sz w:val="20"/>
          <w:szCs w:val="20"/>
        </w:rPr>
        <w:t xml:space="preserve">A központi költségvetés pénzforgalmi egyenlege </w:t>
      </w:r>
      <w:r w:rsidR="002126EF">
        <w:rPr>
          <w:rFonts w:ascii="Arial" w:hAnsi="Arial" w:cs="Arial"/>
          <w:sz w:val="20"/>
          <w:szCs w:val="20"/>
        </w:rPr>
        <w:t>2020-ban</w:t>
      </w:r>
      <w:r w:rsidRPr="00FD658E">
        <w:rPr>
          <w:rFonts w:ascii="Arial" w:hAnsi="Arial" w:cs="Arial"/>
          <w:sz w:val="20"/>
          <w:szCs w:val="20"/>
        </w:rPr>
        <w:t xml:space="preserve"> a tervezett több mint </w:t>
      </w:r>
      <w:proofErr w:type="spellStart"/>
      <w:r w:rsidR="00222501">
        <w:rPr>
          <w:rFonts w:ascii="Arial" w:hAnsi="Arial" w:cs="Arial"/>
          <w:sz w:val="20"/>
          <w:szCs w:val="20"/>
        </w:rPr>
        <w:t>tizenötszörösét</w:t>
      </w:r>
      <w:proofErr w:type="spellEnd"/>
      <w:r w:rsidRPr="00FD658E">
        <w:rPr>
          <w:rFonts w:ascii="Arial" w:hAnsi="Arial" w:cs="Arial"/>
          <w:sz w:val="20"/>
          <w:szCs w:val="20"/>
        </w:rPr>
        <w:t xml:space="preserve">, </w:t>
      </w:r>
      <w:r w:rsidR="00222501">
        <w:rPr>
          <w:rFonts w:ascii="Arial" w:hAnsi="Arial" w:cs="Arial"/>
          <w:b/>
          <w:sz w:val="20"/>
          <w:szCs w:val="20"/>
        </w:rPr>
        <w:t>5549</w:t>
      </w:r>
      <w:r w:rsidRPr="00FD658E">
        <w:rPr>
          <w:rFonts w:ascii="Arial" w:hAnsi="Arial" w:cs="Arial"/>
          <w:b/>
          <w:sz w:val="20"/>
          <w:szCs w:val="20"/>
        </w:rPr>
        <w:t xml:space="preserve"> milliárd forintos hiányt</w:t>
      </w:r>
      <w:r w:rsidRPr="00FD658E">
        <w:rPr>
          <w:rFonts w:ascii="Arial" w:hAnsi="Arial" w:cs="Arial"/>
          <w:sz w:val="20"/>
          <w:szCs w:val="20"/>
        </w:rPr>
        <w:t xml:space="preserve"> mutatott, szemben az egy évvel korábbi időarányos </w:t>
      </w:r>
      <w:r w:rsidR="00222501">
        <w:rPr>
          <w:rFonts w:ascii="Arial" w:hAnsi="Arial" w:cs="Arial"/>
          <w:sz w:val="20"/>
          <w:szCs w:val="20"/>
        </w:rPr>
        <w:t>1219</w:t>
      </w:r>
      <w:r w:rsidRPr="00FD658E">
        <w:rPr>
          <w:rFonts w:ascii="Arial" w:hAnsi="Arial" w:cs="Arial"/>
          <w:sz w:val="20"/>
          <w:szCs w:val="20"/>
        </w:rPr>
        <w:t xml:space="preserve"> milliárd forintos deficittel.</w:t>
      </w:r>
      <w:r w:rsidRPr="00FD658E">
        <w:rPr>
          <w:rFonts w:ascii="Arial" w:hAnsi="Arial" w:cs="Arial"/>
          <w:b/>
          <w:sz w:val="20"/>
          <w:szCs w:val="20"/>
        </w:rPr>
        <w:t xml:space="preserve"> </w:t>
      </w:r>
      <w:r w:rsidRPr="00FD658E">
        <w:rPr>
          <w:rFonts w:ascii="Arial" w:hAnsi="Arial" w:cs="Arial"/>
          <w:sz w:val="20"/>
          <w:szCs w:val="20"/>
        </w:rPr>
        <w:t xml:space="preserve">Az uniós támogatások kifizetése elérte a </w:t>
      </w:r>
      <w:r w:rsidR="00222501">
        <w:rPr>
          <w:rFonts w:ascii="Arial" w:hAnsi="Arial" w:cs="Arial"/>
          <w:sz w:val="20"/>
          <w:szCs w:val="20"/>
        </w:rPr>
        <w:t>2025</w:t>
      </w:r>
      <w:r w:rsidRPr="00FD658E">
        <w:rPr>
          <w:rFonts w:ascii="Arial" w:hAnsi="Arial" w:cs="Arial"/>
          <w:sz w:val="20"/>
          <w:szCs w:val="20"/>
        </w:rPr>
        <w:t xml:space="preserve"> milliárd forintot, amelyet az unió utólag megtérít, ezzel szemben az EU </w:t>
      </w:r>
      <w:r w:rsidR="00222501">
        <w:rPr>
          <w:rFonts w:ascii="Arial" w:hAnsi="Arial" w:cs="Arial"/>
          <w:sz w:val="20"/>
          <w:szCs w:val="20"/>
        </w:rPr>
        <w:t>1684</w:t>
      </w:r>
      <w:r w:rsidRPr="00FD658E">
        <w:rPr>
          <w:rFonts w:ascii="Arial" w:hAnsi="Arial" w:cs="Arial"/>
          <w:sz w:val="20"/>
          <w:szCs w:val="20"/>
        </w:rPr>
        <w:t xml:space="preserve"> milliárd forintot utalt át. Mivel az uniós kifizetéseket az uniós módszertan szerint számolt eredményszemléletű hiányban nem kell kiadásként elszámolni, így </w:t>
      </w:r>
      <w:r w:rsidRPr="00FD658E">
        <w:rPr>
          <w:rFonts w:ascii="Arial" w:hAnsi="Arial" w:cs="Arial"/>
          <w:b/>
          <w:sz w:val="20"/>
          <w:szCs w:val="20"/>
        </w:rPr>
        <w:t xml:space="preserve">ettől megtisztítva </w:t>
      </w:r>
      <w:r w:rsidR="00222501">
        <w:rPr>
          <w:rFonts w:ascii="Arial" w:hAnsi="Arial" w:cs="Arial"/>
          <w:b/>
          <w:sz w:val="20"/>
          <w:szCs w:val="20"/>
        </w:rPr>
        <w:t>5207</w:t>
      </w:r>
      <w:r w:rsidRPr="00FD658E">
        <w:rPr>
          <w:rFonts w:ascii="Arial" w:hAnsi="Arial" w:cs="Arial"/>
          <w:b/>
          <w:sz w:val="20"/>
          <w:szCs w:val="20"/>
        </w:rPr>
        <w:t xml:space="preserve"> milliárd forint hiány keletkezett volna.</w:t>
      </w:r>
      <w:r w:rsidR="003A79C4">
        <w:rPr>
          <w:rFonts w:ascii="Arial" w:hAnsi="Arial" w:cs="Arial"/>
          <w:b/>
          <w:sz w:val="20"/>
          <w:szCs w:val="20"/>
        </w:rPr>
        <w:t xml:space="preserve"> </w:t>
      </w:r>
      <w:r w:rsidRPr="00FD658E">
        <w:rPr>
          <w:rFonts w:ascii="Arial" w:hAnsi="Arial" w:cs="Arial"/>
          <w:sz w:val="20"/>
          <w:szCs w:val="20"/>
        </w:rPr>
        <w:t xml:space="preserve"> </w:t>
      </w:r>
    </w:p>
    <w:tbl>
      <w:tblPr>
        <w:tblW w:w="0" w:type="auto"/>
        <w:tblLook w:val="01E0" w:firstRow="1" w:lastRow="1" w:firstColumn="1" w:lastColumn="1" w:noHBand="0" w:noVBand="0"/>
      </w:tblPr>
      <w:tblGrid>
        <w:gridCol w:w="4610"/>
        <w:gridCol w:w="5120"/>
      </w:tblGrid>
      <w:tr w:rsidR="00ED0233" w:rsidRPr="003536D7" w14:paraId="76032623" w14:textId="77777777" w:rsidTr="00584439">
        <w:tc>
          <w:tcPr>
            <w:tcW w:w="4606" w:type="dxa"/>
            <w:shd w:val="clear" w:color="auto" w:fill="auto"/>
          </w:tcPr>
          <w:p w14:paraId="120049C1" w14:textId="77777777" w:rsidR="00ED0233" w:rsidRPr="00FD658E" w:rsidRDefault="00222D2D" w:rsidP="00584439">
            <w:pPr>
              <w:keepNext/>
              <w:jc w:val="center"/>
              <w:rPr>
                <w:rFonts w:ascii="Arial" w:hAnsi="Arial" w:cs="Arial"/>
                <w:b/>
                <w:color w:val="FF8500"/>
              </w:rPr>
            </w:pPr>
            <w:r>
              <w:rPr>
                <w:rFonts w:ascii="Arial" w:hAnsi="Arial" w:cs="Arial"/>
                <w:b/>
                <w:color w:val="FF8500"/>
              </w:rPr>
              <w:t>19</w:t>
            </w:r>
            <w:r w:rsidR="00ED0233" w:rsidRPr="00FD658E">
              <w:rPr>
                <w:rFonts w:ascii="Arial" w:hAnsi="Arial" w:cs="Arial"/>
                <w:b/>
                <w:color w:val="FF8500"/>
              </w:rPr>
              <w:t>. ábra</w:t>
            </w:r>
            <w:r w:rsidR="00ED0233" w:rsidRPr="00316464">
              <w:rPr>
                <w:rFonts w:ascii="Arial" w:hAnsi="Arial" w:cs="Arial"/>
                <w:bCs/>
                <w:color w:val="FF8500"/>
              </w:rPr>
              <w:t>: Az államháztartás fő mutatószámai</w:t>
            </w:r>
            <w:r w:rsidR="00ED0233" w:rsidRPr="00FD658E">
              <w:rPr>
                <w:rFonts w:ascii="Arial" w:hAnsi="Arial" w:cs="Arial"/>
                <w:b/>
                <w:color w:val="FF8500"/>
              </w:rPr>
              <w:t xml:space="preserve"> </w:t>
            </w:r>
            <w:r w:rsidR="00ED0233" w:rsidRPr="00FD658E">
              <w:rPr>
                <w:rFonts w:ascii="Arial" w:hAnsi="Arial" w:cs="Arial"/>
                <w:color w:val="FF8500"/>
              </w:rPr>
              <w:t>(a GDP %-</w:t>
            </w:r>
            <w:proofErr w:type="spellStart"/>
            <w:r w:rsidR="00ED0233" w:rsidRPr="00FD658E">
              <w:rPr>
                <w:rFonts w:ascii="Arial" w:hAnsi="Arial" w:cs="Arial"/>
                <w:color w:val="FF8500"/>
              </w:rPr>
              <w:t>ában</w:t>
            </w:r>
            <w:proofErr w:type="spellEnd"/>
            <w:r w:rsidR="00ED0233" w:rsidRPr="00FD658E">
              <w:rPr>
                <w:rFonts w:ascii="Arial" w:hAnsi="Arial" w:cs="Arial"/>
                <w:color w:val="FF8500"/>
              </w:rPr>
              <w:t>)</w:t>
            </w:r>
          </w:p>
        </w:tc>
        <w:tc>
          <w:tcPr>
            <w:tcW w:w="4656" w:type="dxa"/>
          </w:tcPr>
          <w:p w14:paraId="301A24D1" w14:textId="77777777" w:rsidR="00ED0233" w:rsidRPr="00FD658E" w:rsidRDefault="00222D2D" w:rsidP="00584439">
            <w:pPr>
              <w:keepNext/>
              <w:jc w:val="center"/>
              <w:rPr>
                <w:rFonts w:ascii="Arial" w:hAnsi="Arial" w:cs="Arial"/>
                <w:b/>
                <w:color w:val="FF8500"/>
              </w:rPr>
            </w:pPr>
            <w:r>
              <w:rPr>
                <w:rFonts w:ascii="Arial" w:hAnsi="Arial" w:cs="Arial"/>
                <w:b/>
                <w:color w:val="FF8500"/>
              </w:rPr>
              <w:t>20</w:t>
            </w:r>
            <w:r w:rsidR="00ED0233" w:rsidRPr="00FD658E">
              <w:rPr>
                <w:rFonts w:ascii="Arial" w:hAnsi="Arial" w:cs="Arial"/>
                <w:b/>
                <w:color w:val="FF8500"/>
              </w:rPr>
              <w:t xml:space="preserve">. ábra: </w:t>
            </w:r>
            <w:r w:rsidR="00ED0233" w:rsidRPr="00316464">
              <w:rPr>
                <w:rFonts w:ascii="Arial" w:hAnsi="Arial" w:cs="Arial"/>
                <w:bCs/>
                <w:color w:val="FF8500"/>
              </w:rPr>
              <w:t>Az államháztartás finanszírozási képessége</w:t>
            </w:r>
            <w:r w:rsidR="00ED0233" w:rsidRPr="00FD658E">
              <w:rPr>
                <w:rFonts w:ascii="Arial" w:hAnsi="Arial" w:cs="Arial"/>
                <w:b/>
                <w:color w:val="FF8500"/>
              </w:rPr>
              <w:t xml:space="preserve"> </w:t>
            </w:r>
          </w:p>
        </w:tc>
      </w:tr>
      <w:tr w:rsidR="00ED0233" w:rsidRPr="003536D7" w14:paraId="04A77529" w14:textId="77777777" w:rsidTr="00584439">
        <w:tblPrEx>
          <w:tblCellMar>
            <w:left w:w="70" w:type="dxa"/>
            <w:right w:w="70" w:type="dxa"/>
          </w:tblCellMar>
        </w:tblPrEx>
        <w:tc>
          <w:tcPr>
            <w:tcW w:w="4606" w:type="dxa"/>
          </w:tcPr>
          <w:p w14:paraId="71DB001A" w14:textId="77777777" w:rsidR="00ED0233" w:rsidRPr="003536D7" w:rsidRDefault="00CC758E" w:rsidP="00584439">
            <w:pPr>
              <w:spacing w:after="120"/>
              <w:jc w:val="center"/>
              <w:rPr>
                <w:rFonts w:ascii="Arial" w:hAnsi="Arial" w:cs="Arial"/>
              </w:rPr>
            </w:pPr>
            <w:r w:rsidRPr="00CC758E">
              <w:rPr>
                <w:rFonts w:ascii="Arial" w:hAnsi="Arial" w:cs="Arial"/>
                <w:noProof/>
                <w:lang w:eastAsia="hu-HU"/>
              </w:rPr>
              <w:drawing>
                <wp:inline distT="0" distB="0" distL="0" distR="0" wp14:anchorId="1D86FA79" wp14:editId="5E43A3FC">
                  <wp:extent cx="2832100" cy="1911350"/>
                  <wp:effectExtent l="0" t="0" r="635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2100" cy="1911350"/>
                          </a:xfrm>
                          <a:prstGeom prst="rect">
                            <a:avLst/>
                          </a:prstGeom>
                          <a:noFill/>
                          <a:ln>
                            <a:noFill/>
                          </a:ln>
                        </pic:spPr>
                      </pic:pic>
                    </a:graphicData>
                  </a:graphic>
                </wp:inline>
              </w:drawing>
            </w:r>
          </w:p>
        </w:tc>
        <w:tc>
          <w:tcPr>
            <w:tcW w:w="4656" w:type="dxa"/>
          </w:tcPr>
          <w:p w14:paraId="799FDB28" w14:textId="77777777" w:rsidR="00ED0233" w:rsidRPr="003536D7" w:rsidRDefault="00265F84" w:rsidP="00584439">
            <w:pPr>
              <w:spacing w:after="120"/>
              <w:jc w:val="center"/>
              <w:rPr>
                <w:rFonts w:ascii="Arial" w:hAnsi="Arial" w:cs="Arial"/>
              </w:rPr>
            </w:pPr>
            <w:r w:rsidRPr="00265F84">
              <w:rPr>
                <w:rFonts w:ascii="Arial" w:hAnsi="Arial" w:cs="Arial"/>
                <w:noProof/>
                <w:lang w:eastAsia="hu-HU"/>
              </w:rPr>
              <w:drawing>
                <wp:inline distT="0" distB="0" distL="0" distR="0" wp14:anchorId="63F6E4F1" wp14:editId="11B9EF0F">
                  <wp:extent cx="3162300" cy="2089150"/>
                  <wp:effectExtent l="0" t="0" r="0" b="635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2300" cy="2089150"/>
                          </a:xfrm>
                          <a:prstGeom prst="rect">
                            <a:avLst/>
                          </a:prstGeom>
                          <a:noFill/>
                          <a:ln>
                            <a:noFill/>
                          </a:ln>
                        </pic:spPr>
                      </pic:pic>
                    </a:graphicData>
                  </a:graphic>
                </wp:inline>
              </w:drawing>
            </w:r>
          </w:p>
        </w:tc>
      </w:tr>
      <w:tr w:rsidR="00ED0233" w:rsidRPr="003536D7" w14:paraId="2AA187A8" w14:textId="77777777" w:rsidTr="00584439">
        <w:tc>
          <w:tcPr>
            <w:tcW w:w="4606" w:type="dxa"/>
          </w:tcPr>
          <w:p w14:paraId="27466177" w14:textId="77777777" w:rsidR="00ED0233" w:rsidRPr="003536D7" w:rsidRDefault="00ED0233" w:rsidP="00584439">
            <w:pPr>
              <w:pStyle w:val="Kpalrstbank"/>
            </w:pPr>
            <w:r>
              <w:t>Forrás: KSH</w:t>
            </w:r>
            <w:r w:rsidRPr="003536D7">
              <w:t>, Takarékbank előrejelzés (árnyékolt terület)</w:t>
            </w:r>
          </w:p>
        </w:tc>
        <w:tc>
          <w:tcPr>
            <w:tcW w:w="4656" w:type="dxa"/>
          </w:tcPr>
          <w:p w14:paraId="5215D537" w14:textId="77777777" w:rsidR="00ED0233" w:rsidRPr="003536D7" w:rsidRDefault="00ED0233" w:rsidP="00584439">
            <w:pPr>
              <w:pStyle w:val="Kpalrstbank"/>
            </w:pPr>
            <w:r w:rsidRPr="003536D7">
              <w:t>Forrás: MNB</w:t>
            </w:r>
          </w:p>
        </w:tc>
      </w:tr>
    </w:tbl>
    <w:p w14:paraId="11DE085C" w14:textId="77777777" w:rsidR="005C518C" w:rsidRPr="00A10369" w:rsidRDefault="007D77D5" w:rsidP="00A10369">
      <w:pPr>
        <w:spacing w:after="120" w:line="360" w:lineRule="auto"/>
        <w:jc w:val="both"/>
        <w:rPr>
          <w:rFonts w:ascii="Arial" w:hAnsi="Arial" w:cs="Arial"/>
          <w:sz w:val="20"/>
          <w:szCs w:val="20"/>
        </w:rPr>
      </w:pPr>
      <w:r>
        <w:rPr>
          <w:rFonts w:ascii="Arial" w:hAnsi="Arial" w:cs="Arial"/>
          <w:sz w:val="20"/>
          <w:szCs w:val="20"/>
        </w:rPr>
        <w:t>A járvány és a gazdasági válság elleni védekezés, valamint a beruházás ös</w:t>
      </w:r>
      <w:r w:rsidR="009A2EEF">
        <w:rPr>
          <w:rFonts w:ascii="Arial" w:hAnsi="Arial" w:cs="Arial"/>
          <w:sz w:val="20"/>
          <w:szCs w:val="20"/>
        </w:rPr>
        <w:t xml:space="preserve">ztönzési támogatások </w:t>
      </w:r>
      <w:r w:rsidR="00550E89">
        <w:rPr>
          <w:rFonts w:ascii="Arial" w:hAnsi="Arial" w:cs="Arial"/>
          <w:sz w:val="20"/>
          <w:szCs w:val="20"/>
        </w:rPr>
        <w:t>hatására tavaly</w:t>
      </w:r>
      <w:r>
        <w:rPr>
          <w:rFonts w:ascii="Arial" w:hAnsi="Arial" w:cs="Arial"/>
          <w:sz w:val="20"/>
          <w:szCs w:val="20"/>
        </w:rPr>
        <w:t xml:space="preserve"> </w:t>
      </w:r>
      <w:r w:rsidR="001825B1">
        <w:rPr>
          <w:rFonts w:ascii="Arial" w:hAnsi="Arial" w:cs="Arial"/>
          <w:b/>
          <w:sz w:val="20"/>
          <w:szCs w:val="20"/>
        </w:rPr>
        <w:t>5102</w:t>
      </w:r>
      <w:r w:rsidRPr="007D77D5">
        <w:rPr>
          <w:rFonts w:ascii="Arial" w:hAnsi="Arial" w:cs="Arial"/>
          <w:b/>
          <w:sz w:val="20"/>
          <w:szCs w:val="20"/>
        </w:rPr>
        <w:t xml:space="preserve"> milliárd forint deficit</w:t>
      </w:r>
      <w:r>
        <w:rPr>
          <w:rFonts w:ascii="Arial" w:hAnsi="Arial" w:cs="Arial"/>
          <w:sz w:val="20"/>
          <w:szCs w:val="20"/>
        </w:rPr>
        <w:t xml:space="preserve"> keletkezett a központi költségvetésben. Az uniós bevételek és kiadások nélkül számolva azonban </w:t>
      </w:r>
      <w:r w:rsidR="00CC6CE5">
        <w:rPr>
          <w:rFonts w:ascii="Arial" w:hAnsi="Arial" w:cs="Arial"/>
          <w:sz w:val="20"/>
          <w:szCs w:val="20"/>
        </w:rPr>
        <w:t>a hiány ennél lényegesen kisebb</w:t>
      </w:r>
      <w:r>
        <w:rPr>
          <w:rFonts w:ascii="Arial" w:hAnsi="Arial" w:cs="Arial"/>
          <w:sz w:val="20"/>
          <w:szCs w:val="20"/>
        </w:rPr>
        <w:t xml:space="preserve"> lett volna. </w:t>
      </w:r>
      <w:r w:rsidR="005C518C" w:rsidRPr="00FD658E">
        <w:rPr>
          <w:rFonts w:ascii="Arial" w:hAnsi="Arial" w:cs="Arial"/>
          <w:sz w:val="20"/>
          <w:szCs w:val="20"/>
        </w:rPr>
        <w:t xml:space="preserve">    </w:t>
      </w:r>
    </w:p>
    <w:p w14:paraId="0DF35A1C" w14:textId="77777777" w:rsidR="005C518C" w:rsidRPr="00FD658E" w:rsidRDefault="00D9241B" w:rsidP="00FD658E">
      <w:pPr>
        <w:spacing w:after="120" w:line="360" w:lineRule="auto"/>
        <w:jc w:val="both"/>
        <w:rPr>
          <w:rFonts w:ascii="Arial" w:hAnsi="Arial" w:cs="Arial"/>
          <w:sz w:val="20"/>
          <w:szCs w:val="20"/>
        </w:rPr>
      </w:pPr>
      <w:r>
        <w:rPr>
          <w:rFonts w:ascii="Arial" w:hAnsi="Arial" w:cs="Arial"/>
          <w:sz w:val="20"/>
          <w:szCs w:val="20"/>
        </w:rPr>
        <w:t>2020-ban a kifejezetten magas finanszírozási igény, és a tartal</w:t>
      </w:r>
      <w:r w:rsidR="00DD786B">
        <w:rPr>
          <w:rFonts w:ascii="Arial" w:hAnsi="Arial" w:cs="Arial"/>
          <w:sz w:val="20"/>
          <w:szCs w:val="20"/>
        </w:rPr>
        <w:t>ékok feltöltése miatt a GDP 78,1</w:t>
      </w:r>
      <w:r w:rsidR="005C518C" w:rsidRPr="00FD658E">
        <w:rPr>
          <w:rFonts w:ascii="Arial" w:hAnsi="Arial" w:cs="Arial"/>
          <w:sz w:val="20"/>
          <w:szCs w:val="20"/>
        </w:rPr>
        <w:t xml:space="preserve">%-ára </w:t>
      </w:r>
      <w:r>
        <w:rPr>
          <w:rFonts w:ascii="Arial" w:hAnsi="Arial" w:cs="Arial"/>
          <w:sz w:val="20"/>
          <w:szCs w:val="20"/>
        </w:rPr>
        <w:t>ugrott</w:t>
      </w:r>
      <w:r w:rsidR="005C518C" w:rsidRPr="00FD658E">
        <w:rPr>
          <w:rFonts w:ascii="Arial" w:hAnsi="Arial" w:cs="Arial"/>
          <w:sz w:val="20"/>
          <w:szCs w:val="20"/>
        </w:rPr>
        <w:t xml:space="preserve"> az államadósság</w:t>
      </w:r>
      <w:r>
        <w:rPr>
          <w:rFonts w:ascii="Arial" w:hAnsi="Arial" w:cs="Arial"/>
          <w:sz w:val="20"/>
          <w:szCs w:val="20"/>
        </w:rPr>
        <w:t xml:space="preserve"> az előző évi 63,9%-</w:t>
      </w:r>
      <w:proofErr w:type="spellStart"/>
      <w:r>
        <w:rPr>
          <w:rFonts w:ascii="Arial" w:hAnsi="Arial" w:cs="Arial"/>
          <w:sz w:val="20"/>
          <w:szCs w:val="20"/>
        </w:rPr>
        <w:t>ról</w:t>
      </w:r>
      <w:proofErr w:type="spellEnd"/>
      <w:r w:rsidR="005C518C" w:rsidRPr="00FD658E">
        <w:rPr>
          <w:rFonts w:ascii="Arial" w:hAnsi="Arial" w:cs="Arial"/>
          <w:sz w:val="20"/>
          <w:szCs w:val="20"/>
        </w:rPr>
        <w:t xml:space="preserve">. </w:t>
      </w:r>
      <w:r w:rsidR="005C518C" w:rsidRPr="00FD658E">
        <w:rPr>
          <w:rFonts w:ascii="Arial" w:hAnsi="Arial" w:cs="Arial"/>
          <w:b/>
          <w:sz w:val="20"/>
          <w:szCs w:val="20"/>
        </w:rPr>
        <w:t xml:space="preserve">Az </w:t>
      </w:r>
      <w:proofErr w:type="spellStart"/>
      <w:r w:rsidR="005C518C" w:rsidRPr="00FD658E">
        <w:rPr>
          <w:rFonts w:ascii="Arial" w:hAnsi="Arial" w:cs="Arial"/>
          <w:b/>
          <w:sz w:val="20"/>
          <w:szCs w:val="20"/>
        </w:rPr>
        <w:t>Eximbank</w:t>
      </w:r>
      <w:proofErr w:type="spellEnd"/>
      <w:r w:rsidR="005C518C" w:rsidRPr="00FD658E">
        <w:rPr>
          <w:rFonts w:ascii="Arial" w:hAnsi="Arial" w:cs="Arial"/>
          <w:b/>
          <w:sz w:val="20"/>
          <w:szCs w:val="20"/>
        </w:rPr>
        <w:t xml:space="preserve"> beszámí</w:t>
      </w:r>
      <w:r>
        <w:rPr>
          <w:rFonts w:ascii="Arial" w:hAnsi="Arial" w:cs="Arial"/>
          <w:b/>
          <w:sz w:val="20"/>
          <w:szCs w:val="20"/>
        </w:rPr>
        <w:t>tásával az államadósság a GDP 80</w:t>
      </w:r>
      <w:r w:rsidR="005C518C" w:rsidRPr="00FD658E">
        <w:rPr>
          <w:rFonts w:ascii="Arial" w:hAnsi="Arial" w:cs="Arial"/>
          <w:b/>
          <w:sz w:val="20"/>
          <w:szCs w:val="20"/>
        </w:rPr>
        <w:t>%-</w:t>
      </w:r>
      <w:r w:rsidR="00ED0484">
        <w:rPr>
          <w:rFonts w:ascii="Arial" w:hAnsi="Arial" w:cs="Arial"/>
          <w:b/>
          <w:sz w:val="20"/>
          <w:szCs w:val="20"/>
        </w:rPr>
        <w:t>ár</w:t>
      </w:r>
      <w:r w:rsidR="005C518C" w:rsidRPr="00FD658E">
        <w:rPr>
          <w:rFonts w:ascii="Arial" w:hAnsi="Arial" w:cs="Arial"/>
          <w:b/>
          <w:sz w:val="20"/>
          <w:szCs w:val="20"/>
        </w:rPr>
        <w:t xml:space="preserve">a </w:t>
      </w:r>
      <w:r>
        <w:rPr>
          <w:rFonts w:ascii="Arial" w:hAnsi="Arial" w:cs="Arial"/>
          <w:b/>
          <w:sz w:val="20"/>
          <w:szCs w:val="20"/>
        </w:rPr>
        <w:t>emelkedett az egy évvel korábbi 65,5%-</w:t>
      </w:r>
      <w:proofErr w:type="spellStart"/>
      <w:r>
        <w:rPr>
          <w:rFonts w:ascii="Arial" w:hAnsi="Arial" w:cs="Arial"/>
          <w:b/>
          <w:sz w:val="20"/>
          <w:szCs w:val="20"/>
        </w:rPr>
        <w:t>ról</w:t>
      </w:r>
      <w:proofErr w:type="spellEnd"/>
      <w:r w:rsidR="005C518C" w:rsidRPr="00FD658E">
        <w:rPr>
          <w:rFonts w:ascii="Arial" w:hAnsi="Arial" w:cs="Arial"/>
          <w:sz w:val="20"/>
          <w:szCs w:val="20"/>
        </w:rPr>
        <w:t xml:space="preserve">. </w:t>
      </w:r>
      <w:r>
        <w:rPr>
          <w:rFonts w:ascii="Arial" w:hAnsi="Arial" w:cs="Arial"/>
          <w:sz w:val="20"/>
          <w:szCs w:val="20"/>
        </w:rPr>
        <w:t>Az államadósság ráta a mérséklődő finanszírozási igény, az előfinanszírozás, valamint az érdemben megugró nominális növekedés hatására az idei évtől</w:t>
      </w:r>
      <w:r w:rsidR="005C518C" w:rsidRPr="00FD658E">
        <w:rPr>
          <w:rFonts w:ascii="Arial" w:hAnsi="Arial" w:cs="Arial"/>
          <w:b/>
          <w:sz w:val="20"/>
          <w:szCs w:val="20"/>
        </w:rPr>
        <w:t xml:space="preserve"> ismét csökkenő p</w:t>
      </w:r>
      <w:r w:rsidR="003334FB">
        <w:rPr>
          <w:rFonts w:ascii="Arial" w:hAnsi="Arial" w:cs="Arial"/>
          <w:b/>
          <w:sz w:val="20"/>
          <w:szCs w:val="20"/>
        </w:rPr>
        <w:t xml:space="preserve">ályára állhat, így </w:t>
      </w:r>
      <w:r w:rsidR="00DE6017">
        <w:rPr>
          <w:rFonts w:ascii="Arial" w:hAnsi="Arial" w:cs="Arial"/>
          <w:b/>
          <w:sz w:val="20"/>
          <w:szCs w:val="20"/>
        </w:rPr>
        <w:t>2021-ben 78,2</w:t>
      </w:r>
      <w:r w:rsidR="00E4152B">
        <w:rPr>
          <w:rFonts w:ascii="Arial" w:hAnsi="Arial" w:cs="Arial"/>
          <w:b/>
          <w:sz w:val="20"/>
          <w:szCs w:val="20"/>
        </w:rPr>
        <w:t>%-</w:t>
      </w:r>
      <w:proofErr w:type="spellStart"/>
      <w:r w:rsidR="00E4152B">
        <w:rPr>
          <w:rFonts w:ascii="Arial" w:hAnsi="Arial" w:cs="Arial"/>
          <w:b/>
          <w:sz w:val="20"/>
          <w:szCs w:val="20"/>
        </w:rPr>
        <w:t>ra</w:t>
      </w:r>
      <w:proofErr w:type="spellEnd"/>
      <w:r w:rsidR="00E4152B">
        <w:rPr>
          <w:rFonts w:ascii="Arial" w:hAnsi="Arial" w:cs="Arial"/>
          <w:b/>
          <w:sz w:val="20"/>
          <w:szCs w:val="20"/>
        </w:rPr>
        <w:t>, 2022-ben 75</w:t>
      </w:r>
      <w:r w:rsidR="005C518C" w:rsidRPr="00FD658E">
        <w:rPr>
          <w:rFonts w:ascii="Arial" w:hAnsi="Arial" w:cs="Arial"/>
          <w:b/>
          <w:sz w:val="20"/>
          <w:szCs w:val="20"/>
        </w:rPr>
        <w:t>%</w:t>
      </w:r>
      <w:r>
        <w:rPr>
          <w:rFonts w:ascii="Arial" w:hAnsi="Arial" w:cs="Arial"/>
          <w:b/>
          <w:sz w:val="20"/>
          <w:szCs w:val="20"/>
        </w:rPr>
        <w:t xml:space="preserve"> </w:t>
      </w:r>
      <w:r w:rsidR="00B111D2">
        <w:rPr>
          <w:rFonts w:ascii="Arial" w:hAnsi="Arial" w:cs="Arial"/>
          <w:b/>
          <w:sz w:val="20"/>
          <w:szCs w:val="20"/>
        </w:rPr>
        <w:t>alá</w:t>
      </w:r>
      <w:r w:rsidR="005C518C" w:rsidRPr="00FD658E">
        <w:rPr>
          <w:rFonts w:ascii="Arial" w:hAnsi="Arial" w:cs="Arial"/>
          <w:b/>
          <w:sz w:val="20"/>
          <w:szCs w:val="20"/>
        </w:rPr>
        <w:t xml:space="preserve"> süllyedhet az adósságráta. </w:t>
      </w:r>
      <w:r w:rsidR="00E4152B" w:rsidRPr="00E4152B">
        <w:rPr>
          <w:rFonts w:ascii="Arial" w:hAnsi="Arial" w:cs="Arial"/>
          <w:sz w:val="20"/>
          <w:szCs w:val="20"/>
        </w:rPr>
        <w:t>Annak érdekében, hogy</w:t>
      </w:r>
      <w:r w:rsidR="00E4152B">
        <w:rPr>
          <w:rFonts w:ascii="Arial" w:hAnsi="Arial" w:cs="Arial"/>
          <w:sz w:val="20"/>
          <w:szCs w:val="20"/>
        </w:rPr>
        <w:t xml:space="preserve"> az uniós kifizetések késlekedése ne hátráltassa a pályázat</w:t>
      </w:r>
      <w:r w:rsidR="004A0150">
        <w:rPr>
          <w:rFonts w:ascii="Arial" w:hAnsi="Arial" w:cs="Arial"/>
          <w:sz w:val="20"/>
          <w:szCs w:val="20"/>
        </w:rPr>
        <w:t>ok meghirdetését és kifizetését, a kormány megelőlegezi a kifizetéseket, ami átmenetileg megnöveli az adósságot. Emiatt szeptemberben az ÁKK két dollár-, valamint egy eurókötvény kibocsátását hajtotta végre, 4,25 milliárd dollár, valamint 1 milliárd euró értékben.</w:t>
      </w:r>
      <w:r w:rsidR="00E4152B" w:rsidRPr="00E4152B">
        <w:rPr>
          <w:rFonts w:ascii="Arial" w:hAnsi="Arial" w:cs="Arial"/>
          <w:sz w:val="20"/>
          <w:szCs w:val="20"/>
        </w:rPr>
        <w:t xml:space="preserve"> </w:t>
      </w:r>
      <w:r w:rsidR="005C518C" w:rsidRPr="00FD658E">
        <w:rPr>
          <w:rFonts w:ascii="Arial" w:hAnsi="Arial" w:cs="Arial"/>
          <w:sz w:val="20"/>
          <w:szCs w:val="20"/>
        </w:rPr>
        <w:t xml:space="preserve">Az uniós kifizetések teljesülést követő elszámolása miatt </w:t>
      </w:r>
      <w:r w:rsidR="004A0150">
        <w:rPr>
          <w:rFonts w:ascii="Arial" w:hAnsi="Arial" w:cs="Arial"/>
          <w:sz w:val="20"/>
          <w:szCs w:val="20"/>
        </w:rPr>
        <w:t xml:space="preserve">azonban </w:t>
      </w:r>
      <w:r w:rsidR="005C518C" w:rsidRPr="00FD658E">
        <w:rPr>
          <w:rFonts w:ascii="Arial" w:hAnsi="Arial" w:cs="Arial"/>
          <w:sz w:val="20"/>
          <w:szCs w:val="20"/>
        </w:rPr>
        <w:t>a következő években támogathatja a költségvetés pénzforgalmi hiányának mérséklését</w:t>
      </w:r>
      <w:r w:rsidR="005C518C" w:rsidRPr="00FD658E">
        <w:rPr>
          <w:rFonts w:ascii="Arial" w:hAnsi="Arial" w:cs="Arial"/>
          <w:b/>
          <w:sz w:val="20"/>
          <w:szCs w:val="20"/>
        </w:rPr>
        <w:t>,</w:t>
      </w:r>
      <w:r w:rsidR="005C518C" w:rsidRPr="00FD658E">
        <w:rPr>
          <w:rFonts w:ascii="Arial" w:hAnsi="Arial" w:cs="Arial"/>
          <w:sz w:val="20"/>
          <w:szCs w:val="20"/>
        </w:rPr>
        <w:t xml:space="preserve"> ami meredekebb GDP arányos államadósság csökkenést eredményezhet. Az államadósság alakulásában kedvező, hogy folytatódott a lakosság állampapír </w:t>
      </w:r>
      <w:r w:rsidR="005C518C" w:rsidRPr="00FD658E">
        <w:rPr>
          <w:rFonts w:ascii="Arial" w:hAnsi="Arial" w:cs="Arial"/>
          <w:sz w:val="20"/>
          <w:szCs w:val="20"/>
        </w:rPr>
        <w:lastRenderedPageBreak/>
        <w:t xml:space="preserve">állományának dinamikus növekedése, ami csökkenti az államadósság finanszírozásának sérülékenységét. </w:t>
      </w:r>
      <w:r w:rsidR="005C518C" w:rsidRPr="00DE6017">
        <w:rPr>
          <w:rFonts w:ascii="Arial" w:hAnsi="Arial" w:cs="Arial"/>
          <w:sz w:val="20"/>
          <w:szCs w:val="20"/>
        </w:rPr>
        <w:t>A</w:t>
      </w:r>
      <w:r w:rsidR="00DE6017" w:rsidRPr="00DE6017">
        <w:rPr>
          <w:rFonts w:ascii="Arial" w:hAnsi="Arial" w:cs="Arial"/>
          <w:sz w:val="20"/>
          <w:szCs w:val="20"/>
        </w:rPr>
        <w:t xml:space="preserve"> jelentős méretű devizakötvény kibocsátások hatására átmenetileg</w:t>
      </w:r>
      <w:r w:rsidR="005C518C" w:rsidRPr="00DE6017">
        <w:rPr>
          <w:rFonts w:ascii="Arial" w:hAnsi="Arial" w:cs="Arial"/>
          <w:sz w:val="20"/>
          <w:szCs w:val="20"/>
        </w:rPr>
        <w:t xml:space="preserve"> közp</w:t>
      </w:r>
      <w:r w:rsidR="00DE6017" w:rsidRPr="00DE6017">
        <w:rPr>
          <w:rFonts w:ascii="Arial" w:hAnsi="Arial" w:cs="Arial"/>
          <w:sz w:val="20"/>
          <w:szCs w:val="20"/>
        </w:rPr>
        <w:t>onti költségvetés adósságának</w:t>
      </w:r>
      <w:r w:rsidR="00DE6017">
        <w:rPr>
          <w:rFonts w:ascii="Arial" w:hAnsi="Arial" w:cs="Arial"/>
          <w:b/>
          <w:sz w:val="20"/>
          <w:szCs w:val="20"/>
        </w:rPr>
        <w:t xml:space="preserve"> 20</w:t>
      </w:r>
      <w:r w:rsidR="005C518C" w:rsidRPr="00FD658E">
        <w:rPr>
          <w:rFonts w:ascii="Arial" w:hAnsi="Arial" w:cs="Arial"/>
          <w:b/>
          <w:sz w:val="20"/>
          <w:szCs w:val="20"/>
        </w:rPr>
        <w:t xml:space="preserve">%-a </w:t>
      </w:r>
      <w:r w:rsidR="00DE6017">
        <w:rPr>
          <w:rFonts w:ascii="Arial" w:hAnsi="Arial" w:cs="Arial"/>
          <w:b/>
          <w:sz w:val="20"/>
          <w:szCs w:val="20"/>
        </w:rPr>
        <w:t>fölé</w:t>
      </w:r>
      <w:r w:rsidR="005C518C" w:rsidRPr="00FD658E">
        <w:rPr>
          <w:rFonts w:ascii="Arial" w:hAnsi="Arial" w:cs="Arial"/>
          <w:b/>
          <w:sz w:val="20"/>
          <w:szCs w:val="20"/>
        </w:rPr>
        <w:t xml:space="preserve"> </w:t>
      </w:r>
      <w:r w:rsidR="00DE6017">
        <w:rPr>
          <w:rFonts w:ascii="Arial" w:hAnsi="Arial" w:cs="Arial"/>
          <w:b/>
          <w:sz w:val="20"/>
          <w:szCs w:val="20"/>
        </w:rPr>
        <w:t>emelkedett</w:t>
      </w:r>
      <w:r w:rsidR="005C518C" w:rsidRPr="00FD658E">
        <w:rPr>
          <w:rFonts w:ascii="Arial" w:hAnsi="Arial" w:cs="Arial"/>
          <w:b/>
          <w:sz w:val="20"/>
          <w:szCs w:val="20"/>
        </w:rPr>
        <w:t xml:space="preserve"> a devizaadósságok aránya</w:t>
      </w:r>
      <w:r w:rsidR="00DE6017">
        <w:rPr>
          <w:rFonts w:ascii="Arial" w:hAnsi="Arial" w:cs="Arial"/>
          <w:b/>
          <w:sz w:val="20"/>
          <w:szCs w:val="20"/>
        </w:rPr>
        <w:t xml:space="preserve">, </w:t>
      </w:r>
      <w:r w:rsidR="00DE6017" w:rsidRPr="00DE6017">
        <w:rPr>
          <w:rFonts w:ascii="Arial" w:hAnsi="Arial" w:cs="Arial"/>
          <w:sz w:val="20"/>
          <w:szCs w:val="20"/>
        </w:rPr>
        <w:t>amely azonban így is érdemben elmarad</w:t>
      </w:r>
      <w:r w:rsidR="005C518C" w:rsidRPr="00FD658E">
        <w:rPr>
          <w:rFonts w:ascii="Arial" w:hAnsi="Arial" w:cs="Arial"/>
          <w:b/>
          <w:sz w:val="20"/>
          <w:szCs w:val="20"/>
        </w:rPr>
        <w:t xml:space="preserve"> </w:t>
      </w:r>
      <w:r w:rsidR="00160FF0">
        <w:rPr>
          <w:rFonts w:ascii="Arial" w:hAnsi="Arial" w:cs="Arial"/>
          <w:sz w:val="20"/>
          <w:szCs w:val="20"/>
        </w:rPr>
        <w:t>a 2008-</w:t>
      </w:r>
      <w:r w:rsidR="005C518C" w:rsidRPr="00FD658E">
        <w:rPr>
          <w:rFonts w:ascii="Arial" w:hAnsi="Arial" w:cs="Arial"/>
          <w:sz w:val="20"/>
          <w:szCs w:val="20"/>
        </w:rPr>
        <w:t>as válság mélypontján je</w:t>
      </w:r>
      <w:r w:rsidR="00DE6017">
        <w:rPr>
          <w:rFonts w:ascii="Arial" w:hAnsi="Arial" w:cs="Arial"/>
          <w:sz w:val="20"/>
          <w:szCs w:val="20"/>
        </w:rPr>
        <w:t>llemző 45-50%-os arányhoz képes</w:t>
      </w:r>
      <w:r w:rsidR="005C518C" w:rsidRPr="00FD658E">
        <w:rPr>
          <w:rFonts w:ascii="Arial" w:hAnsi="Arial" w:cs="Arial"/>
          <w:sz w:val="20"/>
          <w:szCs w:val="20"/>
        </w:rPr>
        <w:t xml:space="preserve">.     </w:t>
      </w:r>
    </w:p>
    <w:p w14:paraId="4BD4AFD9" w14:textId="77777777" w:rsidR="00592373" w:rsidRDefault="00592373" w:rsidP="005C518C">
      <w:pPr>
        <w:spacing w:after="120"/>
        <w:jc w:val="both"/>
        <w:rPr>
          <w:rFonts w:ascii="Arial" w:hAnsi="Arial" w:cs="Arial"/>
        </w:rPr>
      </w:pPr>
    </w:p>
    <w:p w14:paraId="396B0334" w14:textId="77777777" w:rsidR="005C518C" w:rsidRPr="003536D7" w:rsidRDefault="005C518C" w:rsidP="00316464">
      <w:pPr>
        <w:pStyle w:val="Alcmtbank"/>
      </w:pPr>
      <w:r w:rsidRPr="003536D7">
        <w:t>Külső egyensúlyi helyzet</w:t>
      </w:r>
    </w:p>
    <w:p w14:paraId="5966C6E5" w14:textId="77777777" w:rsidR="005C518C" w:rsidRPr="006C4674" w:rsidRDefault="008F2826" w:rsidP="00316464">
      <w:pPr>
        <w:spacing w:after="120" w:line="360" w:lineRule="auto"/>
        <w:jc w:val="both"/>
        <w:rPr>
          <w:rFonts w:ascii="Arial" w:hAnsi="Arial" w:cs="Arial"/>
          <w:sz w:val="20"/>
          <w:szCs w:val="20"/>
        </w:rPr>
      </w:pPr>
      <w:r w:rsidRPr="008F2826">
        <w:rPr>
          <w:rFonts w:ascii="Arial" w:hAnsi="Arial" w:cs="Arial"/>
          <w:b/>
          <w:sz w:val="20"/>
          <w:szCs w:val="20"/>
        </w:rPr>
        <w:t xml:space="preserve">81 millió euró többlet keletkezett </w:t>
      </w:r>
      <w:r w:rsidRPr="008F2826">
        <w:rPr>
          <w:rFonts w:ascii="Arial" w:hAnsi="Arial" w:cs="Arial"/>
          <w:sz w:val="20"/>
          <w:szCs w:val="20"/>
        </w:rPr>
        <w:t xml:space="preserve">a külkereskedelemben novemberben az októberi 302 millió euró deficitet követően, így négy hónap után újra </w:t>
      </w:r>
      <w:proofErr w:type="spellStart"/>
      <w:r w:rsidRPr="008F2826">
        <w:rPr>
          <w:rFonts w:ascii="Arial" w:hAnsi="Arial" w:cs="Arial"/>
          <w:sz w:val="20"/>
          <w:szCs w:val="20"/>
        </w:rPr>
        <w:t>szufficites</w:t>
      </w:r>
      <w:proofErr w:type="spellEnd"/>
      <w:r w:rsidRPr="008F2826">
        <w:rPr>
          <w:rFonts w:ascii="Arial" w:hAnsi="Arial" w:cs="Arial"/>
          <w:sz w:val="20"/>
          <w:szCs w:val="20"/>
        </w:rPr>
        <w:t xml:space="preserve"> lett a külkereskedelem. Az ipari termelés, ezen belül a járműgyártás javulásának köszönhetően </w:t>
      </w:r>
      <w:r w:rsidRPr="008F2826">
        <w:rPr>
          <w:rFonts w:ascii="Arial" w:hAnsi="Arial" w:cs="Arial"/>
          <w:b/>
          <w:sz w:val="20"/>
          <w:szCs w:val="20"/>
        </w:rPr>
        <w:t>7,7%-kal nőtt az export euróértéke</w:t>
      </w:r>
      <w:r w:rsidRPr="008F2826">
        <w:rPr>
          <w:rFonts w:ascii="Arial" w:hAnsi="Arial" w:cs="Arial"/>
          <w:sz w:val="20"/>
          <w:szCs w:val="20"/>
        </w:rPr>
        <w:t xml:space="preserve">, noha a chiphiány miatt járműgyártás továbbra is akadozik, ugyanakkor az erőteljes belső – döntően beruházási – kereslet és a drámaian dráguló nyersanyagok és energiaárak miatt </w:t>
      </w:r>
      <w:r w:rsidRPr="008F2826">
        <w:rPr>
          <w:rFonts w:ascii="Arial" w:hAnsi="Arial" w:cs="Arial"/>
          <w:b/>
          <w:sz w:val="20"/>
          <w:szCs w:val="20"/>
        </w:rPr>
        <w:t>13,7%-kal nőtt az import euróértéke</w:t>
      </w:r>
      <w:r w:rsidRPr="008F2826">
        <w:rPr>
          <w:rFonts w:ascii="Arial" w:hAnsi="Arial" w:cs="Arial"/>
          <w:sz w:val="20"/>
          <w:szCs w:val="20"/>
        </w:rPr>
        <w:t xml:space="preserve">. Ennek megfelelően a külkereskedelmi egyenleg </w:t>
      </w:r>
      <w:r w:rsidRPr="008F2826">
        <w:rPr>
          <w:rFonts w:ascii="Arial" w:hAnsi="Arial" w:cs="Arial"/>
          <w:b/>
          <w:sz w:val="20"/>
          <w:szCs w:val="20"/>
        </w:rPr>
        <w:t>526 millió euróval romlott</w:t>
      </w:r>
      <w:r w:rsidRPr="008F2826">
        <w:rPr>
          <w:rFonts w:ascii="Arial" w:hAnsi="Arial" w:cs="Arial"/>
          <w:sz w:val="20"/>
          <w:szCs w:val="20"/>
        </w:rPr>
        <w:t xml:space="preserve"> az egy évvel ezelőtti 607 millió euró többlethez képest</w:t>
      </w:r>
      <w:r w:rsidRPr="008F2826">
        <w:rPr>
          <w:rFonts w:ascii="Arial" w:hAnsi="Arial" w:cs="Arial"/>
          <w:b/>
          <w:sz w:val="20"/>
          <w:szCs w:val="20"/>
        </w:rPr>
        <w:t>. Az első tizenegy hónapban</w:t>
      </w:r>
      <w:r w:rsidRPr="008F2826">
        <w:rPr>
          <w:rFonts w:ascii="Arial" w:hAnsi="Arial" w:cs="Arial"/>
          <w:sz w:val="20"/>
          <w:szCs w:val="20"/>
        </w:rPr>
        <w:t xml:space="preserve"> </w:t>
      </w:r>
      <w:r w:rsidRPr="008F2826">
        <w:rPr>
          <w:rFonts w:ascii="Arial" w:hAnsi="Arial" w:cs="Arial"/>
          <w:b/>
          <w:sz w:val="20"/>
          <w:szCs w:val="20"/>
        </w:rPr>
        <w:t>az export euróértéke 13,2%-kal, az importé 17,2%-kal nőtt</w:t>
      </w:r>
      <w:r w:rsidRPr="008F2826">
        <w:rPr>
          <w:rFonts w:ascii="Arial" w:hAnsi="Arial" w:cs="Arial"/>
          <w:sz w:val="20"/>
          <w:szCs w:val="20"/>
        </w:rPr>
        <w:t xml:space="preserve">, így az egyenleg 2978 millió euróval </w:t>
      </w:r>
      <w:r w:rsidRPr="008F2826">
        <w:rPr>
          <w:rFonts w:ascii="Arial" w:hAnsi="Arial" w:cs="Arial"/>
          <w:b/>
          <w:sz w:val="20"/>
          <w:szCs w:val="20"/>
        </w:rPr>
        <w:t>2360 millió euróra</w:t>
      </w:r>
      <w:r w:rsidRPr="008F2826">
        <w:rPr>
          <w:rFonts w:ascii="Arial" w:hAnsi="Arial" w:cs="Arial"/>
          <w:sz w:val="20"/>
          <w:szCs w:val="20"/>
        </w:rPr>
        <w:t xml:space="preserve"> romlott. Az áruforgalmi egyenleg romlása továbbra is érdemben rontja a GDP növekedését, bár ennek mértéke a harmadik negyedévinél kisebb lehet, miközben a forint árfolyamára is negatív hatással lehet.</w:t>
      </w:r>
    </w:p>
    <w:tbl>
      <w:tblPr>
        <w:tblW w:w="0" w:type="auto"/>
        <w:tblLook w:val="01E0" w:firstRow="1" w:lastRow="1" w:firstColumn="1" w:lastColumn="1" w:noHBand="0" w:noVBand="0"/>
      </w:tblPr>
      <w:tblGrid>
        <w:gridCol w:w="4640"/>
        <w:gridCol w:w="466"/>
        <w:gridCol w:w="4640"/>
      </w:tblGrid>
      <w:tr w:rsidR="00FD658E" w:rsidRPr="00FD658E" w14:paraId="2B392959" w14:textId="77777777" w:rsidTr="002024F4">
        <w:tc>
          <w:tcPr>
            <w:tcW w:w="4640" w:type="dxa"/>
          </w:tcPr>
          <w:p w14:paraId="56E91356" w14:textId="77777777" w:rsidR="00FD658E" w:rsidRPr="00FD658E" w:rsidRDefault="00222D2D" w:rsidP="005C518C">
            <w:pPr>
              <w:keepNext/>
              <w:spacing w:after="120"/>
              <w:jc w:val="center"/>
              <w:rPr>
                <w:rFonts w:ascii="Arial" w:hAnsi="Arial" w:cs="Arial"/>
                <w:b/>
                <w:color w:val="FF8500"/>
              </w:rPr>
            </w:pPr>
            <w:r>
              <w:rPr>
                <w:rFonts w:ascii="Arial" w:hAnsi="Arial" w:cs="Arial"/>
                <w:b/>
                <w:color w:val="FF8500"/>
              </w:rPr>
              <w:t>21</w:t>
            </w:r>
            <w:r w:rsidR="00FD658E" w:rsidRPr="00FD658E">
              <w:rPr>
                <w:rFonts w:ascii="Arial" w:hAnsi="Arial" w:cs="Arial"/>
                <w:b/>
                <w:color w:val="FF8500"/>
              </w:rPr>
              <w:t xml:space="preserve">. ábra: </w:t>
            </w:r>
            <w:r w:rsidR="00FD658E" w:rsidRPr="00316464">
              <w:rPr>
                <w:rFonts w:ascii="Arial" w:hAnsi="Arial" w:cs="Arial"/>
                <w:bCs/>
                <w:color w:val="FF8500"/>
              </w:rPr>
              <w:t>A külkereskedelmi egyenleg alakulása</w:t>
            </w:r>
            <w:r w:rsidR="00FD658E" w:rsidRPr="00FD658E">
              <w:rPr>
                <w:rFonts w:ascii="Arial" w:hAnsi="Arial" w:cs="Arial"/>
                <w:b/>
                <w:color w:val="FF8500"/>
              </w:rPr>
              <w:t xml:space="preserve"> </w:t>
            </w:r>
          </w:p>
        </w:tc>
        <w:tc>
          <w:tcPr>
            <w:tcW w:w="466" w:type="dxa"/>
          </w:tcPr>
          <w:p w14:paraId="4697A368" w14:textId="77777777" w:rsidR="00FD658E" w:rsidRPr="00FD658E" w:rsidRDefault="00FD658E" w:rsidP="005C518C">
            <w:pPr>
              <w:keepNext/>
              <w:spacing w:after="120"/>
              <w:jc w:val="center"/>
              <w:rPr>
                <w:rFonts w:ascii="Arial" w:hAnsi="Arial" w:cs="Arial"/>
                <w:b/>
                <w:color w:val="FF8500"/>
              </w:rPr>
            </w:pPr>
          </w:p>
        </w:tc>
        <w:tc>
          <w:tcPr>
            <w:tcW w:w="4640" w:type="dxa"/>
          </w:tcPr>
          <w:p w14:paraId="4264AC77" w14:textId="77777777" w:rsidR="00FD658E" w:rsidRPr="00FD658E" w:rsidRDefault="00222D2D" w:rsidP="005C518C">
            <w:pPr>
              <w:keepNext/>
              <w:spacing w:after="120"/>
              <w:jc w:val="center"/>
              <w:rPr>
                <w:rFonts w:ascii="Arial" w:hAnsi="Arial" w:cs="Arial"/>
                <w:color w:val="FF8500"/>
                <w:sz w:val="18"/>
                <w:szCs w:val="18"/>
              </w:rPr>
            </w:pPr>
            <w:r>
              <w:rPr>
                <w:rFonts w:ascii="Arial" w:hAnsi="Arial" w:cs="Arial"/>
                <w:b/>
                <w:color w:val="FF8500"/>
              </w:rPr>
              <w:t>22</w:t>
            </w:r>
            <w:r w:rsidR="00FD658E" w:rsidRPr="00FD658E">
              <w:rPr>
                <w:rFonts w:ascii="Arial" w:hAnsi="Arial" w:cs="Arial"/>
                <w:b/>
                <w:color w:val="FF8500"/>
              </w:rPr>
              <w:t xml:space="preserve">. ábra: </w:t>
            </w:r>
            <w:r w:rsidR="00FD658E" w:rsidRPr="00316464">
              <w:rPr>
                <w:rFonts w:ascii="Arial" w:hAnsi="Arial" w:cs="Arial"/>
                <w:bCs/>
                <w:color w:val="FF8500"/>
              </w:rPr>
              <w:t>A külső finanszírozási kapacitás és komponenseinek alakulása (GDP %-a)</w:t>
            </w:r>
          </w:p>
        </w:tc>
      </w:tr>
      <w:tr w:rsidR="00FD658E" w:rsidRPr="003536D7" w14:paraId="6D215CE7" w14:textId="77777777" w:rsidTr="002024F4">
        <w:tblPrEx>
          <w:tblCellMar>
            <w:left w:w="70" w:type="dxa"/>
            <w:right w:w="70" w:type="dxa"/>
          </w:tblCellMar>
        </w:tblPrEx>
        <w:tc>
          <w:tcPr>
            <w:tcW w:w="4640" w:type="dxa"/>
          </w:tcPr>
          <w:p w14:paraId="4AF4062F" w14:textId="77777777" w:rsidR="00FD658E" w:rsidRPr="003536D7" w:rsidRDefault="008F2826" w:rsidP="005C518C">
            <w:pPr>
              <w:keepNext/>
              <w:spacing w:after="120"/>
              <w:jc w:val="center"/>
              <w:rPr>
                <w:rFonts w:ascii="Arial" w:hAnsi="Arial" w:cs="Arial"/>
              </w:rPr>
            </w:pPr>
            <w:r w:rsidRPr="008F2826">
              <w:rPr>
                <w:rFonts w:ascii="Arial" w:hAnsi="Arial" w:cs="Arial"/>
                <w:noProof/>
                <w:lang w:eastAsia="hu-HU"/>
              </w:rPr>
              <w:drawing>
                <wp:inline distT="0" distB="0" distL="0" distR="0" wp14:anchorId="2514CF71" wp14:editId="2A66F659">
                  <wp:extent cx="2851150" cy="1943100"/>
                  <wp:effectExtent l="0" t="0" r="635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1150" cy="1943100"/>
                          </a:xfrm>
                          <a:prstGeom prst="rect">
                            <a:avLst/>
                          </a:prstGeom>
                          <a:noFill/>
                          <a:ln>
                            <a:noFill/>
                          </a:ln>
                        </pic:spPr>
                      </pic:pic>
                    </a:graphicData>
                  </a:graphic>
                </wp:inline>
              </w:drawing>
            </w:r>
          </w:p>
        </w:tc>
        <w:tc>
          <w:tcPr>
            <w:tcW w:w="466" w:type="dxa"/>
          </w:tcPr>
          <w:p w14:paraId="0E9E2486" w14:textId="77777777" w:rsidR="00FD658E" w:rsidRDefault="00FD658E" w:rsidP="005C518C">
            <w:pPr>
              <w:keepNext/>
              <w:spacing w:after="120"/>
              <w:jc w:val="center"/>
              <w:rPr>
                <w:rFonts w:ascii="Arial" w:hAnsi="Arial" w:cs="Arial"/>
                <w:noProof/>
                <w:lang w:eastAsia="hu-HU"/>
              </w:rPr>
            </w:pPr>
          </w:p>
        </w:tc>
        <w:tc>
          <w:tcPr>
            <w:tcW w:w="4640" w:type="dxa"/>
          </w:tcPr>
          <w:p w14:paraId="63EBEE49" w14:textId="77777777" w:rsidR="00FD658E" w:rsidRPr="003536D7" w:rsidRDefault="001F5159" w:rsidP="005C518C">
            <w:pPr>
              <w:keepNext/>
              <w:spacing w:after="120"/>
              <w:jc w:val="center"/>
              <w:rPr>
                <w:rFonts w:ascii="Arial" w:hAnsi="Arial" w:cs="Arial"/>
              </w:rPr>
            </w:pPr>
            <w:r w:rsidRPr="001F5159">
              <w:rPr>
                <w:rFonts w:ascii="Arial" w:hAnsi="Arial" w:cs="Arial"/>
                <w:noProof/>
                <w:lang w:eastAsia="hu-HU"/>
              </w:rPr>
              <w:drawing>
                <wp:inline distT="0" distB="0" distL="0" distR="0" wp14:anchorId="4B057512" wp14:editId="2B690AFB">
                  <wp:extent cx="2838450" cy="19240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8450" cy="1924050"/>
                          </a:xfrm>
                          <a:prstGeom prst="rect">
                            <a:avLst/>
                          </a:prstGeom>
                          <a:noFill/>
                          <a:ln>
                            <a:noFill/>
                          </a:ln>
                        </pic:spPr>
                      </pic:pic>
                    </a:graphicData>
                  </a:graphic>
                </wp:inline>
              </w:drawing>
            </w:r>
          </w:p>
        </w:tc>
      </w:tr>
      <w:tr w:rsidR="00FD658E" w:rsidRPr="003536D7" w14:paraId="2E6E0933" w14:textId="77777777" w:rsidTr="002024F4">
        <w:tc>
          <w:tcPr>
            <w:tcW w:w="4640" w:type="dxa"/>
          </w:tcPr>
          <w:p w14:paraId="33F609D2" w14:textId="77777777" w:rsidR="00FD658E" w:rsidRPr="003536D7" w:rsidRDefault="00FD658E" w:rsidP="00316464">
            <w:pPr>
              <w:pStyle w:val="Kpalrstbank"/>
            </w:pPr>
            <w:r w:rsidRPr="003536D7">
              <w:t>Forrás: KSH, Takarékbank előrejelzés (árnyékolt terület)</w:t>
            </w:r>
          </w:p>
        </w:tc>
        <w:tc>
          <w:tcPr>
            <w:tcW w:w="466" w:type="dxa"/>
          </w:tcPr>
          <w:p w14:paraId="00E39988" w14:textId="77777777" w:rsidR="00FD658E" w:rsidRPr="003536D7" w:rsidRDefault="00FD658E" w:rsidP="00316464">
            <w:pPr>
              <w:pStyle w:val="Kpalrstbank"/>
            </w:pPr>
          </w:p>
        </w:tc>
        <w:tc>
          <w:tcPr>
            <w:tcW w:w="4640" w:type="dxa"/>
          </w:tcPr>
          <w:p w14:paraId="36859A86" w14:textId="77777777" w:rsidR="00FD658E" w:rsidRDefault="00FD658E" w:rsidP="00316464">
            <w:pPr>
              <w:pStyle w:val="Kpalrstbank"/>
            </w:pPr>
            <w:r w:rsidRPr="003536D7">
              <w:t>Forrás: MNB, Takarékbank előrejelzés (árnyékolt terület)</w:t>
            </w:r>
          </w:p>
          <w:p w14:paraId="3E85CF49" w14:textId="77777777" w:rsidR="00FD658E" w:rsidRPr="003536D7" w:rsidRDefault="00FD658E" w:rsidP="00316464">
            <w:pPr>
              <w:pStyle w:val="Kpalrstbank"/>
            </w:pPr>
          </w:p>
        </w:tc>
      </w:tr>
    </w:tbl>
    <w:p w14:paraId="4E63AFA9" w14:textId="77777777" w:rsidR="005C518C" w:rsidRPr="00FD658E" w:rsidRDefault="006242F5" w:rsidP="00FD658E">
      <w:pPr>
        <w:spacing w:before="120" w:after="120" w:line="360" w:lineRule="auto"/>
        <w:jc w:val="both"/>
        <w:rPr>
          <w:rFonts w:ascii="Arial" w:hAnsi="Arial" w:cs="Arial"/>
          <w:sz w:val="20"/>
          <w:szCs w:val="20"/>
        </w:rPr>
      </w:pPr>
      <w:r w:rsidRPr="006242F5">
        <w:rPr>
          <w:rFonts w:ascii="Arial" w:hAnsi="Arial" w:cs="Arial"/>
          <w:b/>
          <w:sz w:val="20"/>
          <w:szCs w:val="20"/>
        </w:rPr>
        <w:t>A beruházások és a fogyasztás élénkülésével</w:t>
      </w:r>
      <w:r w:rsidRPr="006242F5">
        <w:rPr>
          <w:rFonts w:ascii="Arial" w:hAnsi="Arial" w:cs="Arial"/>
          <w:sz w:val="20"/>
          <w:szCs w:val="20"/>
        </w:rPr>
        <w:t xml:space="preserve"> a külkereskedelem többletének csökkenésére számítunk az </w:t>
      </w:r>
      <w:r w:rsidRPr="006242F5">
        <w:rPr>
          <w:rFonts w:ascii="Arial" w:hAnsi="Arial" w:cs="Arial"/>
          <w:b/>
          <w:sz w:val="20"/>
          <w:szCs w:val="20"/>
        </w:rPr>
        <w:t>idei év első felében</w:t>
      </w:r>
      <w:r w:rsidRPr="006242F5">
        <w:rPr>
          <w:rFonts w:ascii="Arial" w:hAnsi="Arial" w:cs="Arial"/>
          <w:sz w:val="20"/>
          <w:szCs w:val="20"/>
        </w:rPr>
        <w:t xml:space="preserve"> is, míg </w:t>
      </w:r>
      <w:r w:rsidRPr="006242F5">
        <w:rPr>
          <w:rFonts w:ascii="Arial" w:hAnsi="Arial" w:cs="Arial"/>
          <w:b/>
          <w:sz w:val="20"/>
          <w:szCs w:val="20"/>
        </w:rPr>
        <w:t>tavaly összességében 2 milliárd euró közelébe mérséklődhetett</w:t>
      </w:r>
      <w:r w:rsidRPr="006242F5">
        <w:rPr>
          <w:rFonts w:ascii="Arial" w:hAnsi="Arial" w:cs="Arial"/>
          <w:sz w:val="20"/>
          <w:szCs w:val="20"/>
        </w:rPr>
        <w:t xml:space="preserve"> az egy évvel korábbi 5,62 milliárd euró után. A kivitel kilátásai továbbra is kedvezőek lennének, mivel a korlátozások feloldásával jelentősen élénkülnek külpiacaink, tavaly nyár elején az euró-övezeti és német konjunktúramutatók egy része történelmi, illetve több évtizedes csúcsokat ért el. A német ipari vállalatok, és különösen az autógyártók exportkilátásai bíztatók lennének, amit a csúcson levő megrendelésállomány mellett a beszerzési </w:t>
      </w:r>
      <w:r w:rsidRPr="006242F5">
        <w:rPr>
          <w:rFonts w:ascii="Arial" w:hAnsi="Arial" w:cs="Arial"/>
          <w:sz w:val="20"/>
          <w:szCs w:val="20"/>
        </w:rPr>
        <w:lastRenderedPageBreak/>
        <w:t xml:space="preserve">menedzser indexek, az </w:t>
      </w:r>
      <w:proofErr w:type="spellStart"/>
      <w:r w:rsidRPr="006242F5">
        <w:rPr>
          <w:rFonts w:ascii="Arial" w:hAnsi="Arial" w:cs="Arial"/>
          <w:sz w:val="20"/>
          <w:szCs w:val="20"/>
        </w:rPr>
        <w:t>Ifo</w:t>
      </w:r>
      <w:proofErr w:type="spellEnd"/>
      <w:r w:rsidRPr="006242F5">
        <w:rPr>
          <w:rFonts w:ascii="Arial" w:hAnsi="Arial" w:cs="Arial"/>
          <w:sz w:val="20"/>
          <w:szCs w:val="20"/>
        </w:rPr>
        <w:t xml:space="preserve"> index és más bizalmi indexek is alátámasztottak, azonban a chip- és más alkatrészek hiánya, az ellátási láncok szakadozása és a szűk szállítási kapacitások jelentősen hátráltatják a folyamatos termelést. A külkereskedelmi mérleg többletének csökkenését ugyanakkor nagyrészt a cserearányok energia- és nyersanyagárak miatti markáns romlása okozza. Mindezek hatására </w:t>
      </w:r>
      <w:r w:rsidRPr="006242F5">
        <w:rPr>
          <w:rFonts w:ascii="Arial" w:hAnsi="Arial" w:cs="Arial"/>
          <w:b/>
          <w:sz w:val="20"/>
          <w:szCs w:val="20"/>
        </w:rPr>
        <w:t>jelentős bizonytalanságok</w:t>
      </w:r>
      <w:r w:rsidRPr="006242F5">
        <w:rPr>
          <w:rFonts w:ascii="Arial" w:hAnsi="Arial" w:cs="Arial"/>
          <w:sz w:val="20"/>
          <w:szCs w:val="20"/>
        </w:rPr>
        <w:t xml:space="preserve"> övezik az idei külkereskedelmi teljesítményt, azonban új kapacitások kiépülésével a </w:t>
      </w:r>
      <w:r w:rsidRPr="006242F5">
        <w:rPr>
          <w:rFonts w:ascii="Arial" w:hAnsi="Arial" w:cs="Arial"/>
          <w:b/>
          <w:sz w:val="20"/>
          <w:szCs w:val="20"/>
        </w:rPr>
        <w:t>következő években jelentősen emelkedhet</w:t>
      </w:r>
      <w:r w:rsidRPr="006242F5">
        <w:rPr>
          <w:rFonts w:ascii="Arial" w:hAnsi="Arial" w:cs="Arial"/>
          <w:sz w:val="20"/>
          <w:szCs w:val="20"/>
        </w:rPr>
        <w:t xml:space="preserve"> a külkereskedelem többlete. 2020-ben az áruforgalmi egyenleg többletének jelentős emelkedése mellett a szolgáltatások egyenlege meredeken romlott, így a folyó fizetési mérleg mérsékelt deficitet mutatott, míg tavaly az áruforgalmi egyenleg romlását csak részben ellensúlyozhatja a szolgáltatások egyenlegének fokozatos javulása, így a folyó fizetés mérleg várhatóan átmenetileg tovább romlik, a következő években azonban ismét javulhat.</w:t>
      </w:r>
    </w:p>
    <w:p w14:paraId="6156C0D5" w14:textId="77777777" w:rsidR="005C518C" w:rsidRPr="00FD658E" w:rsidRDefault="005C518C" w:rsidP="00FD658E">
      <w:pPr>
        <w:spacing w:before="120" w:after="120" w:line="360" w:lineRule="auto"/>
        <w:jc w:val="both"/>
        <w:rPr>
          <w:rFonts w:ascii="Arial" w:hAnsi="Arial" w:cs="Arial"/>
          <w:sz w:val="20"/>
          <w:szCs w:val="20"/>
        </w:rPr>
      </w:pPr>
      <w:r w:rsidRPr="00FD658E">
        <w:rPr>
          <w:rFonts w:ascii="Arial" w:hAnsi="Arial" w:cs="Arial"/>
          <w:sz w:val="20"/>
          <w:szCs w:val="20"/>
        </w:rPr>
        <w:t>A globális járvány a külkereskedelmi folyamatokat is negatívan érintette. A járvány kitörésének következtében átmenetileg megszakadtak a beszállítói láncok, valamint több iparág, köztük a járműgyártás is átmenetileg szünetelt, illetve csökken</w:t>
      </w:r>
      <w:r w:rsidR="0057528E">
        <w:rPr>
          <w:rFonts w:ascii="Arial" w:hAnsi="Arial" w:cs="Arial"/>
          <w:sz w:val="20"/>
          <w:szCs w:val="20"/>
        </w:rPr>
        <w:t>tett üzemmódban termelt. Emiatt</w:t>
      </w:r>
      <w:r w:rsidR="007438EA">
        <w:rPr>
          <w:rFonts w:ascii="Arial" w:hAnsi="Arial" w:cs="Arial"/>
          <w:sz w:val="20"/>
          <w:szCs w:val="20"/>
        </w:rPr>
        <w:t xml:space="preserve"> átmenetileg </w:t>
      </w:r>
      <w:r w:rsidRPr="007438EA">
        <w:rPr>
          <w:rFonts w:ascii="Arial" w:hAnsi="Arial" w:cs="Arial"/>
          <w:sz w:val="20"/>
          <w:szCs w:val="20"/>
        </w:rPr>
        <w:t>drámai mértékben csökkent az áruexport</w:t>
      </w:r>
      <w:r w:rsidRPr="00FD658E">
        <w:rPr>
          <w:rFonts w:ascii="Arial" w:hAnsi="Arial" w:cs="Arial"/>
          <w:sz w:val="20"/>
          <w:szCs w:val="20"/>
        </w:rPr>
        <w:t xml:space="preserve">, ezzel szemben az egészségügyi felszerelések beszerzése miatt jóval kisebb mértékben esett vissza az import, így </w:t>
      </w:r>
      <w:r w:rsidRPr="007438EA">
        <w:rPr>
          <w:rFonts w:ascii="Arial" w:hAnsi="Arial" w:cs="Arial"/>
          <w:sz w:val="20"/>
          <w:szCs w:val="20"/>
        </w:rPr>
        <w:t>érdemben romlott az áruforgalmi egyenleg.</w:t>
      </w:r>
      <w:r w:rsidR="007438EA">
        <w:rPr>
          <w:rFonts w:ascii="Arial" w:hAnsi="Arial" w:cs="Arial"/>
          <w:b/>
          <w:sz w:val="20"/>
          <w:szCs w:val="20"/>
        </w:rPr>
        <w:t xml:space="preserve"> </w:t>
      </w:r>
      <w:r w:rsidR="001F5159">
        <w:rPr>
          <w:rFonts w:ascii="Arial" w:hAnsi="Arial" w:cs="Arial"/>
          <w:sz w:val="20"/>
          <w:szCs w:val="20"/>
        </w:rPr>
        <w:t>2020 második felében</w:t>
      </w:r>
      <w:r w:rsidR="007438EA" w:rsidRPr="007438EA">
        <w:rPr>
          <w:rFonts w:ascii="Arial" w:hAnsi="Arial" w:cs="Arial"/>
          <w:sz w:val="20"/>
          <w:szCs w:val="20"/>
        </w:rPr>
        <w:t xml:space="preserve"> azonban az áruexport gyorsan helyreállt, míg a gyenge belső kereslet miatt az import ettől elmaradt, így</w:t>
      </w:r>
      <w:r w:rsidR="007438EA">
        <w:rPr>
          <w:rFonts w:ascii="Arial" w:hAnsi="Arial" w:cs="Arial"/>
          <w:b/>
          <w:sz w:val="20"/>
          <w:szCs w:val="20"/>
        </w:rPr>
        <w:t xml:space="preserve"> szignifikánsan javult az áruforgalmi egyenleg.</w:t>
      </w:r>
      <w:r w:rsidRPr="007438EA">
        <w:rPr>
          <w:rFonts w:ascii="Arial" w:hAnsi="Arial" w:cs="Arial"/>
          <w:b/>
          <w:sz w:val="20"/>
          <w:szCs w:val="20"/>
        </w:rPr>
        <w:t xml:space="preserve"> </w:t>
      </w:r>
      <w:r w:rsidRPr="00FD658E">
        <w:rPr>
          <w:rFonts w:ascii="Arial" w:hAnsi="Arial" w:cs="Arial"/>
          <w:b/>
          <w:sz w:val="20"/>
          <w:szCs w:val="20"/>
        </w:rPr>
        <w:t>A szolgáltatások egyenlegét pedig döntően a nemzetközi idegenforgalom leállása vetette vissza</w:t>
      </w:r>
      <w:r w:rsidRPr="00FD658E">
        <w:rPr>
          <w:rFonts w:ascii="Arial" w:hAnsi="Arial" w:cs="Arial"/>
          <w:sz w:val="20"/>
          <w:szCs w:val="20"/>
        </w:rPr>
        <w:t>, de más</w:t>
      </w:r>
      <w:r w:rsidR="003A468F">
        <w:rPr>
          <w:rFonts w:ascii="Arial" w:hAnsi="Arial" w:cs="Arial"/>
          <w:sz w:val="20"/>
          <w:szCs w:val="20"/>
        </w:rPr>
        <w:t xml:space="preserve"> – döntően szállítási –</w:t>
      </w:r>
      <w:r w:rsidRPr="00FD658E">
        <w:rPr>
          <w:rFonts w:ascii="Arial" w:hAnsi="Arial" w:cs="Arial"/>
          <w:sz w:val="20"/>
          <w:szCs w:val="20"/>
        </w:rPr>
        <w:t xml:space="preserve"> szolgáltatások visszaesése is negatív hatással volt. </w:t>
      </w:r>
      <w:r w:rsidR="00420041">
        <w:rPr>
          <w:rFonts w:ascii="Arial" w:hAnsi="Arial" w:cs="Arial"/>
          <w:sz w:val="20"/>
          <w:szCs w:val="20"/>
        </w:rPr>
        <w:t xml:space="preserve">A külföldi tulajdonosok visszaeső profitja miatt ugyanakkor javult a jövedelmek egyenlege. </w:t>
      </w:r>
    </w:p>
    <w:tbl>
      <w:tblPr>
        <w:tblW w:w="0" w:type="auto"/>
        <w:tblLook w:val="01E0" w:firstRow="1" w:lastRow="1" w:firstColumn="1" w:lastColumn="1" w:noHBand="0" w:noVBand="0"/>
      </w:tblPr>
      <w:tblGrid>
        <w:gridCol w:w="4610"/>
        <w:gridCol w:w="496"/>
        <w:gridCol w:w="4610"/>
      </w:tblGrid>
      <w:tr w:rsidR="00FD658E" w:rsidRPr="003536D7" w14:paraId="7A061EA2" w14:textId="77777777" w:rsidTr="005D5301">
        <w:tc>
          <w:tcPr>
            <w:tcW w:w="4610" w:type="dxa"/>
          </w:tcPr>
          <w:p w14:paraId="58308E6F" w14:textId="77777777" w:rsidR="00FD658E" w:rsidRPr="00FD658E" w:rsidRDefault="00222D2D" w:rsidP="005C518C">
            <w:pPr>
              <w:keepNext/>
              <w:spacing w:after="120"/>
              <w:jc w:val="center"/>
              <w:rPr>
                <w:rFonts w:ascii="Arial" w:hAnsi="Arial" w:cs="Arial"/>
                <w:b/>
                <w:color w:val="FF8500"/>
              </w:rPr>
            </w:pPr>
            <w:r>
              <w:rPr>
                <w:rFonts w:ascii="Arial" w:hAnsi="Arial" w:cs="Arial"/>
                <w:b/>
                <w:color w:val="FF8500"/>
              </w:rPr>
              <w:t>23</w:t>
            </w:r>
            <w:r w:rsidR="00FD658E" w:rsidRPr="00FD658E">
              <w:rPr>
                <w:rFonts w:ascii="Arial" w:hAnsi="Arial" w:cs="Arial"/>
                <w:b/>
                <w:color w:val="FF8500"/>
              </w:rPr>
              <w:t xml:space="preserve">. ábra: </w:t>
            </w:r>
            <w:r w:rsidR="00FD658E" w:rsidRPr="00316464">
              <w:rPr>
                <w:rFonts w:ascii="Arial" w:hAnsi="Arial" w:cs="Arial"/>
                <w:bCs/>
                <w:color w:val="FF8500"/>
              </w:rPr>
              <w:t xml:space="preserve">A bruttó és nettó külföldi adósság alakulása (GDP %-a), tulajdonosi </w:t>
            </w:r>
            <w:r w:rsidR="00316464">
              <w:rPr>
                <w:rFonts w:ascii="Arial" w:hAnsi="Arial" w:cs="Arial"/>
                <w:bCs/>
                <w:color w:val="FF8500"/>
              </w:rPr>
              <w:br/>
            </w:r>
            <w:r w:rsidR="00FD658E" w:rsidRPr="00316464">
              <w:rPr>
                <w:rFonts w:ascii="Arial" w:hAnsi="Arial" w:cs="Arial"/>
                <w:bCs/>
                <w:color w:val="FF8500"/>
              </w:rPr>
              <w:t>hitelek nélkül</w:t>
            </w:r>
          </w:p>
        </w:tc>
        <w:tc>
          <w:tcPr>
            <w:tcW w:w="496" w:type="dxa"/>
          </w:tcPr>
          <w:p w14:paraId="59D5171B" w14:textId="77777777" w:rsidR="00FD658E" w:rsidRPr="00FD658E" w:rsidRDefault="00FD658E" w:rsidP="005C518C">
            <w:pPr>
              <w:keepNext/>
              <w:spacing w:after="120"/>
              <w:jc w:val="center"/>
              <w:rPr>
                <w:rFonts w:ascii="Arial" w:hAnsi="Arial" w:cs="Arial"/>
                <w:b/>
                <w:color w:val="FF8500"/>
              </w:rPr>
            </w:pPr>
          </w:p>
        </w:tc>
        <w:tc>
          <w:tcPr>
            <w:tcW w:w="4610" w:type="dxa"/>
          </w:tcPr>
          <w:p w14:paraId="5EE45E65" w14:textId="77777777" w:rsidR="00FD658E" w:rsidRPr="00FD658E" w:rsidRDefault="00222D2D" w:rsidP="005C518C">
            <w:pPr>
              <w:keepNext/>
              <w:spacing w:after="120"/>
              <w:jc w:val="center"/>
              <w:rPr>
                <w:rFonts w:ascii="Arial" w:hAnsi="Arial" w:cs="Arial"/>
                <w:color w:val="FF8500"/>
                <w:sz w:val="18"/>
                <w:szCs w:val="18"/>
              </w:rPr>
            </w:pPr>
            <w:r>
              <w:rPr>
                <w:rFonts w:ascii="Arial" w:hAnsi="Arial" w:cs="Arial"/>
                <w:b/>
                <w:color w:val="FF8500"/>
              </w:rPr>
              <w:t>24</w:t>
            </w:r>
            <w:r w:rsidR="00FD658E" w:rsidRPr="00FD658E">
              <w:rPr>
                <w:rFonts w:ascii="Arial" w:hAnsi="Arial" w:cs="Arial"/>
                <w:b/>
                <w:color w:val="FF8500"/>
              </w:rPr>
              <w:t xml:space="preserve">. ábra: </w:t>
            </w:r>
            <w:r w:rsidR="00FD658E" w:rsidRPr="00316464">
              <w:rPr>
                <w:rFonts w:ascii="Arial" w:hAnsi="Arial" w:cs="Arial"/>
                <w:bCs/>
                <w:color w:val="FF8500"/>
              </w:rPr>
              <w:t>A bruttó és nettó külföldi adósság alakulása (GDP %-a)</w:t>
            </w:r>
          </w:p>
        </w:tc>
      </w:tr>
      <w:tr w:rsidR="00FD658E" w:rsidRPr="003536D7" w14:paraId="101C4C53" w14:textId="77777777" w:rsidTr="005D5301">
        <w:tblPrEx>
          <w:tblCellMar>
            <w:left w:w="70" w:type="dxa"/>
            <w:right w:w="70" w:type="dxa"/>
          </w:tblCellMar>
        </w:tblPrEx>
        <w:tc>
          <w:tcPr>
            <w:tcW w:w="4610" w:type="dxa"/>
          </w:tcPr>
          <w:p w14:paraId="57D213CD" w14:textId="77777777" w:rsidR="00FD658E" w:rsidRPr="003536D7" w:rsidRDefault="001F5159" w:rsidP="005C518C">
            <w:pPr>
              <w:keepNext/>
              <w:spacing w:after="120"/>
              <w:jc w:val="center"/>
              <w:rPr>
                <w:rFonts w:ascii="Arial" w:hAnsi="Arial" w:cs="Arial"/>
              </w:rPr>
            </w:pPr>
            <w:r w:rsidRPr="001F5159">
              <w:rPr>
                <w:rFonts w:ascii="Arial" w:hAnsi="Arial" w:cs="Arial"/>
                <w:noProof/>
                <w:lang w:eastAsia="hu-HU"/>
              </w:rPr>
              <w:drawing>
                <wp:inline distT="0" distB="0" distL="0" distR="0" wp14:anchorId="77D7180C" wp14:editId="11C26E89">
                  <wp:extent cx="2838450" cy="1930400"/>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8450" cy="1930400"/>
                          </a:xfrm>
                          <a:prstGeom prst="rect">
                            <a:avLst/>
                          </a:prstGeom>
                          <a:noFill/>
                          <a:ln>
                            <a:noFill/>
                          </a:ln>
                        </pic:spPr>
                      </pic:pic>
                    </a:graphicData>
                  </a:graphic>
                </wp:inline>
              </w:drawing>
            </w:r>
          </w:p>
        </w:tc>
        <w:tc>
          <w:tcPr>
            <w:tcW w:w="496" w:type="dxa"/>
          </w:tcPr>
          <w:p w14:paraId="314E8F7E" w14:textId="77777777" w:rsidR="00FD658E" w:rsidRDefault="00FD658E" w:rsidP="005C518C">
            <w:pPr>
              <w:keepNext/>
              <w:spacing w:after="120"/>
              <w:jc w:val="center"/>
              <w:rPr>
                <w:rFonts w:ascii="Arial" w:hAnsi="Arial" w:cs="Arial"/>
                <w:noProof/>
                <w:lang w:eastAsia="hu-HU"/>
              </w:rPr>
            </w:pPr>
          </w:p>
        </w:tc>
        <w:tc>
          <w:tcPr>
            <w:tcW w:w="4610" w:type="dxa"/>
          </w:tcPr>
          <w:p w14:paraId="2DE39D75" w14:textId="77777777" w:rsidR="00FD658E" w:rsidRPr="003536D7" w:rsidRDefault="001F5159" w:rsidP="005C518C">
            <w:pPr>
              <w:keepNext/>
              <w:spacing w:after="120"/>
              <w:jc w:val="center"/>
              <w:rPr>
                <w:rFonts w:ascii="Arial" w:hAnsi="Arial" w:cs="Arial"/>
              </w:rPr>
            </w:pPr>
            <w:r w:rsidRPr="001F5159">
              <w:rPr>
                <w:rFonts w:ascii="Arial" w:hAnsi="Arial" w:cs="Arial"/>
                <w:noProof/>
                <w:lang w:eastAsia="hu-HU"/>
              </w:rPr>
              <w:drawing>
                <wp:inline distT="0" distB="0" distL="0" distR="0" wp14:anchorId="6B174014" wp14:editId="760235F3">
                  <wp:extent cx="2832100" cy="1924050"/>
                  <wp:effectExtent l="0" t="0" r="635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2100" cy="1924050"/>
                          </a:xfrm>
                          <a:prstGeom prst="rect">
                            <a:avLst/>
                          </a:prstGeom>
                          <a:noFill/>
                          <a:ln>
                            <a:noFill/>
                          </a:ln>
                        </pic:spPr>
                      </pic:pic>
                    </a:graphicData>
                  </a:graphic>
                </wp:inline>
              </w:drawing>
            </w:r>
          </w:p>
        </w:tc>
      </w:tr>
      <w:tr w:rsidR="00FD658E" w:rsidRPr="003536D7" w14:paraId="559C0EED" w14:textId="77777777" w:rsidTr="005D5301">
        <w:tc>
          <w:tcPr>
            <w:tcW w:w="4610" w:type="dxa"/>
          </w:tcPr>
          <w:p w14:paraId="28A8D62F" w14:textId="77777777" w:rsidR="00FD658E" w:rsidRPr="003536D7" w:rsidRDefault="00FD658E" w:rsidP="00316464">
            <w:pPr>
              <w:pStyle w:val="Kpalrstbank"/>
            </w:pPr>
            <w:r w:rsidRPr="003536D7">
              <w:t>Forrás: MNB</w:t>
            </w:r>
          </w:p>
        </w:tc>
        <w:tc>
          <w:tcPr>
            <w:tcW w:w="496" w:type="dxa"/>
          </w:tcPr>
          <w:p w14:paraId="702D8E3B" w14:textId="77777777" w:rsidR="00FD658E" w:rsidRPr="003536D7" w:rsidRDefault="00FD658E" w:rsidP="005C518C">
            <w:pPr>
              <w:keepNext/>
              <w:spacing w:after="120"/>
              <w:jc w:val="both"/>
              <w:rPr>
                <w:rFonts w:ascii="Arial" w:hAnsi="Arial" w:cs="Arial"/>
                <w:i/>
                <w:sz w:val="16"/>
                <w:szCs w:val="16"/>
              </w:rPr>
            </w:pPr>
          </w:p>
        </w:tc>
        <w:tc>
          <w:tcPr>
            <w:tcW w:w="4610" w:type="dxa"/>
          </w:tcPr>
          <w:p w14:paraId="1EB66060" w14:textId="77777777" w:rsidR="00FD658E" w:rsidRPr="003536D7" w:rsidRDefault="00FD658E" w:rsidP="00316464">
            <w:pPr>
              <w:pStyle w:val="Kpalrstbank"/>
            </w:pPr>
            <w:r w:rsidRPr="003536D7">
              <w:t>Forrás: MNB, Takarékbank előrejelzés (árnyékolt terület)</w:t>
            </w:r>
          </w:p>
        </w:tc>
      </w:tr>
    </w:tbl>
    <w:p w14:paraId="5EF581F2" w14:textId="77777777" w:rsidR="005D5301" w:rsidRDefault="001F5159" w:rsidP="00FD658E">
      <w:pPr>
        <w:spacing w:before="120" w:after="120" w:line="360" w:lineRule="auto"/>
        <w:jc w:val="both"/>
        <w:rPr>
          <w:rFonts w:ascii="Arial" w:hAnsi="Arial" w:cs="Arial"/>
          <w:sz w:val="20"/>
          <w:szCs w:val="20"/>
        </w:rPr>
      </w:pPr>
      <w:r>
        <w:rPr>
          <w:rFonts w:ascii="Arial" w:hAnsi="Arial" w:cs="Arial"/>
          <w:b/>
          <w:sz w:val="20"/>
          <w:szCs w:val="20"/>
        </w:rPr>
        <w:t>Jelentős, 2263</w:t>
      </w:r>
      <w:r w:rsidR="005D5301" w:rsidRPr="00520CC7">
        <w:rPr>
          <w:rFonts w:ascii="Arial" w:hAnsi="Arial" w:cs="Arial"/>
          <w:b/>
          <w:sz w:val="20"/>
          <w:szCs w:val="20"/>
        </w:rPr>
        <w:t xml:space="preserve"> millió euró </w:t>
      </w:r>
      <w:r w:rsidR="006C4674">
        <w:rPr>
          <w:rFonts w:ascii="Arial" w:hAnsi="Arial" w:cs="Arial"/>
          <w:b/>
          <w:sz w:val="20"/>
          <w:szCs w:val="20"/>
        </w:rPr>
        <w:t>hiány</w:t>
      </w:r>
      <w:r w:rsidR="005D5301" w:rsidRPr="00520CC7">
        <w:rPr>
          <w:rFonts w:ascii="Arial" w:hAnsi="Arial" w:cs="Arial"/>
          <w:b/>
          <w:sz w:val="20"/>
          <w:szCs w:val="20"/>
        </w:rPr>
        <w:t xml:space="preserve"> keletkezett a folyó fizetési mérlegben</w:t>
      </w:r>
      <w:r w:rsidR="005D5301" w:rsidRPr="00520CC7">
        <w:rPr>
          <w:rFonts w:ascii="Arial" w:hAnsi="Arial" w:cs="Arial"/>
          <w:sz w:val="20"/>
          <w:szCs w:val="20"/>
        </w:rPr>
        <w:t xml:space="preserve"> </w:t>
      </w:r>
      <w:r w:rsidR="006C4674">
        <w:rPr>
          <w:rFonts w:ascii="Arial" w:hAnsi="Arial" w:cs="Arial"/>
          <w:sz w:val="20"/>
          <w:szCs w:val="20"/>
        </w:rPr>
        <w:t xml:space="preserve">a </w:t>
      </w:r>
      <w:r>
        <w:rPr>
          <w:rFonts w:ascii="Arial" w:hAnsi="Arial" w:cs="Arial"/>
          <w:sz w:val="20"/>
          <w:szCs w:val="20"/>
        </w:rPr>
        <w:t>harmadik</w:t>
      </w:r>
      <w:r w:rsidR="005D5301" w:rsidRPr="00520CC7">
        <w:rPr>
          <w:rFonts w:ascii="Arial" w:hAnsi="Arial" w:cs="Arial"/>
          <w:sz w:val="20"/>
          <w:szCs w:val="20"/>
        </w:rPr>
        <w:t xml:space="preserve"> negyedévben, ami </w:t>
      </w:r>
      <w:r>
        <w:rPr>
          <w:rFonts w:ascii="Arial" w:hAnsi="Arial" w:cs="Arial"/>
          <w:sz w:val="20"/>
          <w:szCs w:val="20"/>
        </w:rPr>
        <w:t>közel 2,5 milliárd</w:t>
      </w:r>
      <w:r w:rsidR="005D5301" w:rsidRPr="00520CC7">
        <w:rPr>
          <w:rFonts w:ascii="Arial" w:hAnsi="Arial" w:cs="Arial"/>
          <w:sz w:val="20"/>
          <w:szCs w:val="20"/>
        </w:rPr>
        <w:t xml:space="preserve"> euró</w:t>
      </w:r>
      <w:r>
        <w:rPr>
          <w:rFonts w:ascii="Arial" w:hAnsi="Arial" w:cs="Arial"/>
          <w:sz w:val="20"/>
          <w:szCs w:val="20"/>
        </w:rPr>
        <w:t>val alacsonyabb</w:t>
      </w:r>
      <w:r w:rsidR="005D5301" w:rsidRPr="00520CC7">
        <w:rPr>
          <w:rFonts w:ascii="Arial" w:hAnsi="Arial" w:cs="Arial"/>
          <w:sz w:val="20"/>
          <w:szCs w:val="20"/>
        </w:rPr>
        <w:t xml:space="preserve"> </w:t>
      </w:r>
      <w:r>
        <w:rPr>
          <w:rFonts w:ascii="Arial" w:hAnsi="Arial" w:cs="Arial"/>
          <w:sz w:val="20"/>
          <w:szCs w:val="20"/>
        </w:rPr>
        <w:t>az egy évvel ezelőtti 226 millió euró többlethez</w:t>
      </w:r>
      <w:r w:rsidR="005D5301" w:rsidRPr="00520CC7">
        <w:rPr>
          <w:rFonts w:ascii="Arial" w:hAnsi="Arial" w:cs="Arial"/>
          <w:sz w:val="20"/>
          <w:szCs w:val="20"/>
        </w:rPr>
        <w:t xml:space="preserve"> képest. A tőkemérleggel együtt </w:t>
      </w:r>
      <w:r w:rsidR="005D5301" w:rsidRPr="005D5301">
        <w:rPr>
          <w:rFonts w:ascii="Arial" w:hAnsi="Arial" w:cs="Arial"/>
          <w:b/>
          <w:sz w:val="20"/>
          <w:szCs w:val="20"/>
        </w:rPr>
        <w:t xml:space="preserve">a külfölddel szembeni nettó finanszírozási </w:t>
      </w:r>
      <w:r w:rsidR="006C4674">
        <w:rPr>
          <w:rFonts w:ascii="Arial" w:hAnsi="Arial" w:cs="Arial"/>
          <w:b/>
          <w:sz w:val="20"/>
          <w:szCs w:val="20"/>
        </w:rPr>
        <w:t>igény</w:t>
      </w:r>
      <w:r w:rsidR="002E2E8A">
        <w:rPr>
          <w:rFonts w:ascii="Arial" w:hAnsi="Arial" w:cs="Arial"/>
          <w:b/>
          <w:sz w:val="20"/>
          <w:szCs w:val="20"/>
        </w:rPr>
        <w:t xml:space="preserve"> (hiány)</w:t>
      </w:r>
      <w:r w:rsidR="005D5301" w:rsidRPr="005D5301">
        <w:rPr>
          <w:rFonts w:ascii="Arial" w:hAnsi="Arial" w:cs="Arial"/>
          <w:b/>
          <w:sz w:val="20"/>
          <w:szCs w:val="20"/>
        </w:rPr>
        <w:t xml:space="preserve"> </w:t>
      </w:r>
      <w:r w:rsidR="002E2E8A">
        <w:rPr>
          <w:rFonts w:ascii="Arial" w:hAnsi="Arial" w:cs="Arial"/>
          <w:b/>
          <w:sz w:val="20"/>
          <w:szCs w:val="20"/>
        </w:rPr>
        <w:t>1668 millió euró volt szemben az egy évvel korábbi</w:t>
      </w:r>
      <w:r w:rsidR="005D5301" w:rsidRPr="005D5301">
        <w:rPr>
          <w:rFonts w:ascii="Arial" w:hAnsi="Arial" w:cs="Arial"/>
          <w:b/>
          <w:sz w:val="20"/>
          <w:szCs w:val="20"/>
        </w:rPr>
        <w:t xml:space="preserve"> </w:t>
      </w:r>
      <w:r w:rsidR="002E2E8A">
        <w:rPr>
          <w:rFonts w:ascii="Arial" w:hAnsi="Arial" w:cs="Arial"/>
          <w:b/>
          <w:sz w:val="20"/>
          <w:szCs w:val="20"/>
        </w:rPr>
        <w:t>964 millió euró finanszírozási képességgel (többlet)</w:t>
      </w:r>
      <w:r w:rsidR="005D5301" w:rsidRPr="00520CC7">
        <w:rPr>
          <w:rFonts w:ascii="Arial" w:hAnsi="Arial" w:cs="Arial"/>
          <w:sz w:val="20"/>
          <w:szCs w:val="20"/>
        </w:rPr>
        <w:t xml:space="preserve">, míg a szezonális hatások kiszűrésével </w:t>
      </w:r>
      <w:r w:rsidR="002E2E8A">
        <w:rPr>
          <w:rFonts w:ascii="Arial" w:hAnsi="Arial" w:cs="Arial"/>
          <w:sz w:val="20"/>
          <w:szCs w:val="20"/>
        </w:rPr>
        <w:t>1228</w:t>
      </w:r>
      <w:r w:rsidR="005D5301" w:rsidRPr="00520CC7">
        <w:rPr>
          <w:rFonts w:ascii="Arial" w:hAnsi="Arial" w:cs="Arial"/>
          <w:sz w:val="20"/>
          <w:szCs w:val="20"/>
        </w:rPr>
        <w:t xml:space="preserve"> </w:t>
      </w:r>
      <w:r w:rsidR="005D5301" w:rsidRPr="00520CC7">
        <w:rPr>
          <w:rFonts w:ascii="Arial" w:hAnsi="Arial" w:cs="Arial"/>
          <w:sz w:val="20"/>
          <w:szCs w:val="20"/>
        </w:rPr>
        <w:lastRenderedPageBreak/>
        <w:t xml:space="preserve">millió euró volt, a negyedéves GDP </w:t>
      </w:r>
      <w:r w:rsidR="002E2E8A">
        <w:rPr>
          <w:rFonts w:ascii="Arial" w:hAnsi="Arial" w:cs="Arial"/>
          <w:sz w:val="20"/>
          <w:szCs w:val="20"/>
        </w:rPr>
        <w:t>3,2</w:t>
      </w:r>
      <w:r w:rsidR="005D5301" w:rsidRPr="00520CC7">
        <w:rPr>
          <w:rFonts w:ascii="Arial" w:hAnsi="Arial" w:cs="Arial"/>
          <w:sz w:val="20"/>
          <w:szCs w:val="20"/>
        </w:rPr>
        <w:t xml:space="preserve">%-a. A külkereskedelmi mérleg </w:t>
      </w:r>
      <w:r w:rsidR="002E2E8A">
        <w:rPr>
          <w:rFonts w:ascii="Arial" w:hAnsi="Arial" w:cs="Arial"/>
          <w:sz w:val="20"/>
          <w:szCs w:val="20"/>
        </w:rPr>
        <w:t>érdemi romlását</w:t>
      </w:r>
      <w:r w:rsidR="005D5301" w:rsidRPr="00520CC7">
        <w:rPr>
          <w:rFonts w:ascii="Arial" w:hAnsi="Arial" w:cs="Arial"/>
          <w:sz w:val="20"/>
          <w:szCs w:val="20"/>
        </w:rPr>
        <w:t xml:space="preserve"> tükrözve </w:t>
      </w:r>
      <w:r w:rsidR="002E2E8A">
        <w:rPr>
          <w:rFonts w:ascii="Arial" w:hAnsi="Arial" w:cs="Arial"/>
          <w:b/>
          <w:sz w:val="20"/>
          <w:szCs w:val="20"/>
        </w:rPr>
        <w:t>2397</w:t>
      </w:r>
      <w:r w:rsidR="005D5301" w:rsidRPr="005D5301">
        <w:rPr>
          <w:rFonts w:ascii="Arial" w:hAnsi="Arial" w:cs="Arial"/>
          <w:b/>
          <w:sz w:val="20"/>
          <w:szCs w:val="20"/>
        </w:rPr>
        <w:t xml:space="preserve"> millió euró</w:t>
      </w:r>
      <w:r w:rsidR="006C4674">
        <w:rPr>
          <w:rFonts w:ascii="Arial" w:hAnsi="Arial" w:cs="Arial"/>
          <w:b/>
          <w:sz w:val="20"/>
          <w:szCs w:val="20"/>
        </w:rPr>
        <w:t>ra</w:t>
      </w:r>
      <w:r w:rsidR="005D5301" w:rsidRPr="005D5301">
        <w:rPr>
          <w:rFonts w:ascii="Arial" w:hAnsi="Arial" w:cs="Arial"/>
          <w:b/>
          <w:sz w:val="20"/>
          <w:szCs w:val="20"/>
        </w:rPr>
        <w:t xml:space="preserve"> </w:t>
      </w:r>
      <w:r w:rsidR="002E2E8A">
        <w:rPr>
          <w:rFonts w:ascii="Arial" w:hAnsi="Arial" w:cs="Arial"/>
          <w:b/>
          <w:sz w:val="20"/>
          <w:szCs w:val="20"/>
        </w:rPr>
        <w:t>ugrott</w:t>
      </w:r>
      <w:r w:rsidR="006C4674">
        <w:rPr>
          <w:rFonts w:ascii="Arial" w:hAnsi="Arial" w:cs="Arial"/>
          <w:b/>
          <w:sz w:val="20"/>
          <w:szCs w:val="20"/>
        </w:rPr>
        <w:t xml:space="preserve"> az áruegyenleg hiánya</w:t>
      </w:r>
      <w:r w:rsidR="005D5301" w:rsidRPr="005D5301">
        <w:rPr>
          <w:rFonts w:ascii="Arial" w:hAnsi="Arial" w:cs="Arial"/>
          <w:b/>
          <w:sz w:val="20"/>
          <w:szCs w:val="20"/>
        </w:rPr>
        <w:t xml:space="preserve"> az egy évvel ezelőtti </w:t>
      </w:r>
      <w:r w:rsidR="002E2E8A">
        <w:rPr>
          <w:rFonts w:ascii="Arial" w:hAnsi="Arial" w:cs="Arial"/>
          <w:b/>
          <w:sz w:val="20"/>
          <w:szCs w:val="20"/>
        </w:rPr>
        <w:t>124</w:t>
      </w:r>
      <w:r w:rsidR="005D5301" w:rsidRPr="005D5301">
        <w:rPr>
          <w:rFonts w:ascii="Arial" w:hAnsi="Arial" w:cs="Arial"/>
          <w:b/>
          <w:sz w:val="20"/>
          <w:szCs w:val="20"/>
        </w:rPr>
        <w:t xml:space="preserve"> millió euró hiányhoz</w:t>
      </w:r>
      <w:r w:rsidR="005D5301" w:rsidRPr="00520CC7">
        <w:rPr>
          <w:rFonts w:ascii="Arial" w:hAnsi="Arial" w:cs="Arial"/>
          <w:sz w:val="20"/>
          <w:szCs w:val="20"/>
        </w:rPr>
        <w:t xml:space="preserve"> képest, </w:t>
      </w:r>
      <w:r w:rsidR="006C4674">
        <w:rPr>
          <w:rFonts w:ascii="Arial" w:hAnsi="Arial" w:cs="Arial"/>
          <w:sz w:val="20"/>
          <w:szCs w:val="20"/>
        </w:rPr>
        <w:t>míg</w:t>
      </w:r>
      <w:r w:rsidR="005D5301" w:rsidRPr="00520CC7">
        <w:rPr>
          <w:rFonts w:ascii="Arial" w:hAnsi="Arial" w:cs="Arial"/>
          <w:sz w:val="20"/>
          <w:szCs w:val="20"/>
        </w:rPr>
        <w:t xml:space="preserve"> a szolgáltatások – ezen belül az idegenforgalom és szállítási szolgáltatások –</w:t>
      </w:r>
      <w:r w:rsidR="006C4674">
        <w:rPr>
          <w:rFonts w:ascii="Arial" w:hAnsi="Arial" w:cs="Arial"/>
          <w:sz w:val="20"/>
          <w:szCs w:val="20"/>
        </w:rPr>
        <w:t xml:space="preserve"> </w:t>
      </w:r>
      <w:r w:rsidR="006C4674">
        <w:rPr>
          <w:rFonts w:ascii="Arial" w:hAnsi="Arial" w:cs="Arial"/>
          <w:b/>
          <w:sz w:val="20"/>
          <w:szCs w:val="20"/>
        </w:rPr>
        <w:t xml:space="preserve">egyenlegének többlete </w:t>
      </w:r>
      <w:r w:rsidR="002E2E8A">
        <w:rPr>
          <w:rFonts w:ascii="Arial" w:hAnsi="Arial" w:cs="Arial"/>
          <w:b/>
          <w:sz w:val="20"/>
          <w:szCs w:val="20"/>
        </w:rPr>
        <w:t>1406</w:t>
      </w:r>
      <w:r w:rsidR="005D5301" w:rsidRPr="005D5301">
        <w:rPr>
          <w:rFonts w:ascii="Arial" w:hAnsi="Arial" w:cs="Arial"/>
          <w:b/>
          <w:sz w:val="20"/>
          <w:szCs w:val="20"/>
        </w:rPr>
        <w:t xml:space="preserve"> millió euróról </w:t>
      </w:r>
      <w:r w:rsidR="002E2E8A">
        <w:rPr>
          <w:rFonts w:ascii="Arial" w:hAnsi="Arial" w:cs="Arial"/>
          <w:b/>
          <w:sz w:val="20"/>
          <w:szCs w:val="20"/>
        </w:rPr>
        <w:t>1573</w:t>
      </w:r>
      <w:r w:rsidR="005D5301" w:rsidRPr="005D5301">
        <w:rPr>
          <w:rFonts w:ascii="Arial" w:hAnsi="Arial" w:cs="Arial"/>
          <w:b/>
          <w:sz w:val="20"/>
          <w:szCs w:val="20"/>
        </w:rPr>
        <w:t xml:space="preserve"> millió euróra </w:t>
      </w:r>
      <w:r w:rsidR="002E2E8A">
        <w:rPr>
          <w:rFonts w:ascii="Arial" w:hAnsi="Arial" w:cs="Arial"/>
          <w:b/>
          <w:sz w:val="20"/>
          <w:szCs w:val="20"/>
        </w:rPr>
        <w:t>emelkedett</w:t>
      </w:r>
      <w:r w:rsidR="005D5301" w:rsidRPr="00520CC7">
        <w:rPr>
          <w:rFonts w:ascii="Arial" w:hAnsi="Arial" w:cs="Arial"/>
          <w:sz w:val="20"/>
          <w:szCs w:val="20"/>
        </w:rPr>
        <w:t xml:space="preserve">. </w:t>
      </w:r>
      <w:r w:rsidR="007E4D83">
        <w:rPr>
          <w:rFonts w:ascii="Arial" w:hAnsi="Arial" w:cs="Arial"/>
          <w:sz w:val="20"/>
          <w:szCs w:val="20"/>
        </w:rPr>
        <w:t>A</w:t>
      </w:r>
      <w:r w:rsidR="005D5301" w:rsidRPr="00520CC7">
        <w:rPr>
          <w:rFonts w:ascii="Arial" w:hAnsi="Arial" w:cs="Arial"/>
          <w:sz w:val="20"/>
          <w:szCs w:val="20"/>
        </w:rPr>
        <w:t xml:space="preserve"> külföldön dolgozók</w:t>
      </w:r>
      <w:r w:rsidR="00E95C4F">
        <w:rPr>
          <w:rFonts w:ascii="Arial" w:hAnsi="Arial" w:cs="Arial"/>
          <w:sz w:val="20"/>
          <w:szCs w:val="20"/>
        </w:rPr>
        <w:t xml:space="preserve"> számának visszaesése, </w:t>
      </w:r>
      <w:r w:rsidR="007E4D83">
        <w:rPr>
          <w:rFonts w:ascii="Arial" w:hAnsi="Arial" w:cs="Arial"/>
          <w:sz w:val="20"/>
          <w:szCs w:val="20"/>
        </w:rPr>
        <w:t>és</w:t>
      </w:r>
      <w:r w:rsidR="005D5301" w:rsidRPr="00520CC7">
        <w:rPr>
          <w:rFonts w:ascii="Arial" w:hAnsi="Arial" w:cs="Arial"/>
          <w:sz w:val="20"/>
          <w:szCs w:val="20"/>
        </w:rPr>
        <w:t xml:space="preserve"> jövedelmeinek csökkenése</w:t>
      </w:r>
      <w:r w:rsidR="007E4D83">
        <w:rPr>
          <w:rFonts w:ascii="Arial" w:hAnsi="Arial" w:cs="Arial"/>
          <w:sz w:val="20"/>
          <w:szCs w:val="20"/>
        </w:rPr>
        <w:t>, valamint a befektetések jövedelmei</w:t>
      </w:r>
      <w:r w:rsidR="005D5301" w:rsidRPr="00520CC7">
        <w:rPr>
          <w:rFonts w:ascii="Arial" w:hAnsi="Arial" w:cs="Arial"/>
          <w:sz w:val="20"/>
          <w:szCs w:val="20"/>
        </w:rPr>
        <w:t xml:space="preserve"> miatt emelkedett az elsődleges jövedelmek hiánya, </w:t>
      </w:r>
      <w:r w:rsidR="00E95C4F">
        <w:rPr>
          <w:rFonts w:ascii="Arial" w:hAnsi="Arial" w:cs="Arial"/>
          <w:sz w:val="20"/>
          <w:szCs w:val="20"/>
        </w:rPr>
        <w:t xml:space="preserve">míg </w:t>
      </w:r>
      <w:r w:rsidR="007E4D83">
        <w:rPr>
          <w:rFonts w:ascii="Arial" w:hAnsi="Arial" w:cs="Arial"/>
          <w:sz w:val="20"/>
          <w:szCs w:val="20"/>
        </w:rPr>
        <w:t>enyhén mérséklődött</w:t>
      </w:r>
      <w:r w:rsidR="005D5301" w:rsidRPr="00520CC7">
        <w:rPr>
          <w:rFonts w:ascii="Arial" w:hAnsi="Arial" w:cs="Arial"/>
          <w:sz w:val="20"/>
          <w:szCs w:val="20"/>
        </w:rPr>
        <w:t xml:space="preserve"> a másodlagos jövedelmek hiánya.</w:t>
      </w:r>
      <w:r w:rsidR="00E95C4F">
        <w:rPr>
          <w:rFonts w:ascii="Arial" w:hAnsi="Arial" w:cs="Arial"/>
          <w:sz w:val="20"/>
          <w:szCs w:val="20"/>
        </w:rPr>
        <w:t xml:space="preserve"> Az alacsonyabb uniós kifizetések miatt </w:t>
      </w:r>
      <w:r w:rsidR="00E95C4F" w:rsidRPr="007E4D83">
        <w:rPr>
          <w:rFonts w:ascii="Arial" w:hAnsi="Arial" w:cs="Arial"/>
          <w:b/>
          <w:sz w:val="20"/>
          <w:szCs w:val="20"/>
        </w:rPr>
        <w:t xml:space="preserve">a tőkemérleg többlete </w:t>
      </w:r>
      <w:r w:rsidR="007E4D83" w:rsidRPr="007E4D83">
        <w:rPr>
          <w:rFonts w:ascii="Arial" w:hAnsi="Arial" w:cs="Arial"/>
          <w:b/>
          <w:sz w:val="20"/>
          <w:szCs w:val="20"/>
        </w:rPr>
        <w:t>738</w:t>
      </w:r>
      <w:r w:rsidR="00E95C4F" w:rsidRPr="007E4D83">
        <w:rPr>
          <w:rFonts w:ascii="Arial" w:hAnsi="Arial" w:cs="Arial"/>
          <w:b/>
          <w:sz w:val="20"/>
          <w:szCs w:val="20"/>
        </w:rPr>
        <w:t xml:space="preserve"> millió euróról </w:t>
      </w:r>
      <w:r w:rsidR="007E4D83" w:rsidRPr="007E4D83">
        <w:rPr>
          <w:rFonts w:ascii="Arial" w:hAnsi="Arial" w:cs="Arial"/>
          <w:b/>
          <w:sz w:val="20"/>
          <w:szCs w:val="20"/>
        </w:rPr>
        <w:t>594</w:t>
      </w:r>
      <w:r w:rsidR="00E95C4F" w:rsidRPr="007E4D83">
        <w:rPr>
          <w:rFonts w:ascii="Arial" w:hAnsi="Arial" w:cs="Arial"/>
          <w:b/>
          <w:sz w:val="20"/>
          <w:szCs w:val="20"/>
        </w:rPr>
        <w:t xml:space="preserve"> millió euróra esett vissza</w:t>
      </w:r>
      <w:r w:rsidR="00E95C4F">
        <w:rPr>
          <w:rFonts w:ascii="Arial" w:hAnsi="Arial" w:cs="Arial"/>
          <w:sz w:val="20"/>
          <w:szCs w:val="20"/>
        </w:rPr>
        <w:t>.</w:t>
      </w:r>
      <w:r w:rsidR="005D5301" w:rsidRPr="00520CC7">
        <w:rPr>
          <w:rFonts w:ascii="Arial" w:hAnsi="Arial" w:cs="Arial"/>
          <w:sz w:val="20"/>
          <w:szCs w:val="20"/>
        </w:rPr>
        <w:t xml:space="preserve"> A bruttó külső adósság </w:t>
      </w:r>
      <w:r w:rsidR="00196B30">
        <w:rPr>
          <w:rFonts w:ascii="Arial" w:hAnsi="Arial" w:cs="Arial"/>
          <w:sz w:val="20"/>
          <w:szCs w:val="20"/>
        </w:rPr>
        <w:t>90,5</w:t>
      </w:r>
      <w:r w:rsidR="001C204B">
        <w:rPr>
          <w:rFonts w:ascii="Arial" w:hAnsi="Arial" w:cs="Arial"/>
          <w:sz w:val="20"/>
          <w:szCs w:val="20"/>
        </w:rPr>
        <w:t xml:space="preserve"> milliárd</w:t>
      </w:r>
      <w:r w:rsidR="005D5301" w:rsidRPr="00520CC7">
        <w:rPr>
          <w:rFonts w:ascii="Arial" w:hAnsi="Arial" w:cs="Arial"/>
          <w:sz w:val="20"/>
          <w:szCs w:val="20"/>
        </w:rPr>
        <w:t xml:space="preserve"> euró</w:t>
      </w:r>
      <w:r w:rsidR="001C204B">
        <w:rPr>
          <w:rFonts w:ascii="Arial" w:hAnsi="Arial" w:cs="Arial"/>
          <w:sz w:val="20"/>
          <w:szCs w:val="20"/>
        </w:rPr>
        <w:t xml:space="preserve">ra nőtt az egy évvel ezelőtti </w:t>
      </w:r>
      <w:r w:rsidR="00196B30">
        <w:rPr>
          <w:rFonts w:ascii="Arial" w:hAnsi="Arial" w:cs="Arial"/>
          <w:sz w:val="20"/>
          <w:szCs w:val="20"/>
        </w:rPr>
        <w:t>80,2</w:t>
      </w:r>
      <w:r w:rsidR="005D5301" w:rsidRPr="00520CC7">
        <w:rPr>
          <w:rFonts w:ascii="Arial" w:hAnsi="Arial" w:cs="Arial"/>
          <w:sz w:val="20"/>
          <w:szCs w:val="20"/>
        </w:rPr>
        <w:t xml:space="preserve"> milliárdról, míg tul</w:t>
      </w:r>
      <w:r w:rsidR="001C204B">
        <w:rPr>
          <w:rFonts w:ascii="Arial" w:hAnsi="Arial" w:cs="Arial"/>
          <w:sz w:val="20"/>
          <w:szCs w:val="20"/>
        </w:rPr>
        <w:t xml:space="preserve">ajdonosi hitelekkel számolva </w:t>
      </w:r>
      <w:r w:rsidR="00196B30">
        <w:rPr>
          <w:rFonts w:ascii="Arial" w:hAnsi="Arial" w:cs="Arial"/>
          <w:sz w:val="20"/>
          <w:szCs w:val="20"/>
        </w:rPr>
        <w:t>127,3</w:t>
      </w:r>
      <w:r w:rsidR="001C204B">
        <w:rPr>
          <w:rFonts w:ascii="Arial" w:hAnsi="Arial" w:cs="Arial"/>
          <w:sz w:val="20"/>
          <w:szCs w:val="20"/>
        </w:rPr>
        <w:t xml:space="preserve"> milliárd euróra a tavaly</w:t>
      </w:r>
      <w:r w:rsidR="00196B30">
        <w:rPr>
          <w:rFonts w:ascii="Arial" w:hAnsi="Arial" w:cs="Arial"/>
          <w:sz w:val="20"/>
          <w:szCs w:val="20"/>
        </w:rPr>
        <w:t>előtt</w:t>
      </w:r>
      <w:r w:rsidR="001C204B">
        <w:rPr>
          <w:rFonts w:ascii="Arial" w:hAnsi="Arial" w:cs="Arial"/>
          <w:sz w:val="20"/>
          <w:szCs w:val="20"/>
        </w:rPr>
        <w:t xml:space="preserve">i </w:t>
      </w:r>
      <w:r w:rsidR="00196B30">
        <w:rPr>
          <w:rFonts w:ascii="Arial" w:hAnsi="Arial" w:cs="Arial"/>
          <w:sz w:val="20"/>
          <w:szCs w:val="20"/>
        </w:rPr>
        <w:t>110,5</w:t>
      </w:r>
      <w:r w:rsidR="005D5301" w:rsidRPr="00520CC7">
        <w:rPr>
          <w:rFonts w:ascii="Arial" w:hAnsi="Arial" w:cs="Arial"/>
          <w:sz w:val="20"/>
          <w:szCs w:val="20"/>
        </w:rPr>
        <w:t xml:space="preserve"> milli</w:t>
      </w:r>
      <w:r w:rsidR="001C204B">
        <w:rPr>
          <w:rFonts w:ascii="Arial" w:hAnsi="Arial" w:cs="Arial"/>
          <w:sz w:val="20"/>
          <w:szCs w:val="20"/>
        </w:rPr>
        <w:t>ár</w:t>
      </w:r>
      <w:r w:rsidR="00196B30">
        <w:rPr>
          <w:rFonts w:ascii="Arial" w:hAnsi="Arial" w:cs="Arial"/>
          <w:sz w:val="20"/>
          <w:szCs w:val="20"/>
        </w:rPr>
        <w:t>dról. A nettó külső adósság 17,3</w:t>
      </w:r>
      <w:r w:rsidR="005D5301" w:rsidRPr="00520CC7">
        <w:rPr>
          <w:rFonts w:ascii="Arial" w:hAnsi="Arial" w:cs="Arial"/>
          <w:sz w:val="20"/>
          <w:szCs w:val="20"/>
        </w:rPr>
        <w:t xml:space="preserve"> milliárd euróra emelkedett az egy é</w:t>
      </w:r>
      <w:r w:rsidR="001C204B">
        <w:rPr>
          <w:rFonts w:ascii="Arial" w:hAnsi="Arial" w:cs="Arial"/>
          <w:sz w:val="20"/>
          <w:szCs w:val="20"/>
        </w:rPr>
        <w:t xml:space="preserve">vvel ezelőtti </w:t>
      </w:r>
      <w:r w:rsidR="00196B30">
        <w:rPr>
          <w:rFonts w:ascii="Arial" w:hAnsi="Arial" w:cs="Arial"/>
          <w:sz w:val="20"/>
          <w:szCs w:val="20"/>
        </w:rPr>
        <w:t>10,6</w:t>
      </w:r>
      <w:r w:rsidR="005D5301" w:rsidRPr="00520CC7">
        <w:rPr>
          <w:rFonts w:ascii="Arial" w:hAnsi="Arial" w:cs="Arial"/>
          <w:sz w:val="20"/>
          <w:szCs w:val="20"/>
        </w:rPr>
        <w:t xml:space="preserve"> milliárdról, míg a </w:t>
      </w:r>
      <w:r w:rsidR="001C204B">
        <w:rPr>
          <w:rFonts w:ascii="Arial" w:hAnsi="Arial" w:cs="Arial"/>
          <w:sz w:val="20"/>
          <w:szCs w:val="20"/>
        </w:rPr>
        <w:t>tulajdonosi hit</w:t>
      </w:r>
      <w:r w:rsidR="00196B30">
        <w:rPr>
          <w:rFonts w:ascii="Arial" w:hAnsi="Arial" w:cs="Arial"/>
          <w:sz w:val="20"/>
          <w:szCs w:val="20"/>
        </w:rPr>
        <w:t>elekkel együtt 25,9</w:t>
      </w:r>
      <w:r w:rsidR="005D5301" w:rsidRPr="00520CC7">
        <w:rPr>
          <w:rFonts w:ascii="Arial" w:hAnsi="Arial" w:cs="Arial"/>
          <w:sz w:val="20"/>
          <w:szCs w:val="20"/>
        </w:rPr>
        <w:t xml:space="preserve"> milliá</w:t>
      </w:r>
      <w:r w:rsidR="001C204B">
        <w:rPr>
          <w:rFonts w:ascii="Arial" w:hAnsi="Arial" w:cs="Arial"/>
          <w:sz w:val="20"/>
          <w:szCs w:val="20"/>
        </w:rPr>
        <w:t>rdra a tavaly</w:t>
      </w:r>
      <w:r w:rsidR="00196B30">
        <w:rPr>
          <w:rFonts w:ascii="Arial" w:hAnsi="Arial" w:cs="Arial"/>
          <w:sz w:val="20"/>
          <w:szCs w:val="20"/>
        </w:rPr>
        <w:t>előtti 12,3</w:t>
      </w:r>
      <w:r w:rsidR="005D5301">
        <w:rPr>
          <w:rFonts w:ascii="Arial" w:hAnsi="Arial" w:cs="Arial"/>
          <w:sz w:val="20"/>
          <w:szCs w:val="20"/>
        </w:rPr>
        <w:t xml:space="preserve"> milliárdról</w:t>
      </w:r>
      <w:r w:rsidR="005D5301" w:rsidRPr="00FD658E">
        <w:rPr>
          <w:rFonts w:ascii="Arial" w:hAnsi="Arial" w:cs="Arial"/>
          <w:sz w:val="20"/>
          <w:szCs w:val="20"/>
        </w:rPr>
        <w:t>.</w:t>
      </w:r>
      <w:r w:rsidR="00CF54E0">
        <w:rPr>
          <w:rFonts w:ascii="Arial" w:hAnsi="Arial" w:cs="Arial"/>
          <w:sz w:val="20"/>
          <w:szCs w:val="20"/>
        </w:rPr>
        <w:t xml:space="preserve"> Az adósság megugrását részben az okozta, hogy a nem allokált aranyszámlákat átsorolták tömbarannyá, ami a nemzetközi módszertan szerint nem tekinthető külfölddel szembeni követelésnek. </w:t>
      </w:r>
    </w:p>
    <w:p w14:paraId="0B8717AE" w14:textId="77777777" w:rsidR="005C518C" w:rsidRPr="00FD658E" w:rsidRDefault="005C518C" w:rsidP="00FD658E">
      <w:pPr>
        <w:spacing w:before="120" w:after="120" w:line="360" w:lineRule="auto"/>
        <w:jc w:val="both"/>
        <w:rPr>
          <w:rFonts w:ascii="Arial" w:hAnsi="Arial" w:cs="Arial"/>
          <w:sz w:val="20"/>
          <w:szCs w:val="20"/>
        </w:rPr>
      </w:pPr>
      <w:r w:rsidRPr="00FD658E">
        <w:rPr>
          <w:rFonts w:ascii="Arial" w:hAnsi="Arial" w:cs="Arial"/>
          <w:sz w:val="20"/>
          <w:szCs w:val="20"/>
        </w:rPr>
        <w:t xml:space="preserve">A legtágabb értelmű (a működőtőke-befektetések közé sorolt egyéb tőke tételeket is tartalmazó) </w:t>
      </w:r>
      <w:r w:rsidRPr="00FD658E">
        <w:rPr>
          <w:rFonts w:ascii="Arial" w:hAnsi="Arial" w:cs="Arial"/>
          <w:b/>
          <w:sz w:val="20"/>
          <w:szCs w:val="20"/>
        </w:rPr>
        <w:t>bruttó külföldi adósság</w:t>
      </w:r>
      <w:r w:rsidR="00CF54E0">
        <w:rPr>
          <w:rFonts w:ascii="Arial" w:hAnsi="Arial" w:cs="Arial"/>
          <w:sz w:val="20"/>
          <w:szCs w:val="20"/>
        </w:rPr>
        <w:t xml:space="preserve"> a GDP 73</w:t>
      </w:r>
      <w:r w:rsidRPr="00FD658E">
        <w:rPr>
          <w:rFonts w:ascii="Arial" w:hAnsi="Arial" w:cs="Arial"/>
          <w:sz w:val="20"/>
          <w:szCs w:val="20"/>
        </w:rPr>
        <w:t xml:space="preserve">%-a alá került 2019 végére, ami </w:t>
      </w:r>
      <w:r w:rsidR="00B763B8">
        <w:rPr>
          <w:rFonts w:ascii="Arial" w:hAnsi="Arial" w:cs="Arial"/>
          <w:sz w:val="20"/>
          <w:szCs w:val="20"/>
        </w:rPr>
        <w:t>tavaly</w:t>
      </w:r>
      <w:r w:rsidRPr="00FD658E">
        <w:rPr>
          <w:rFonts w:ascii="Arial" w:hAnsi="Arial" w:cs="Arial"/>
          <w:sz w:val="20"/>
          <w:szCs w:val="20"/>
        </w:rPr>
        <w:t xml:space="preserve"> átmenetileg </w:t>
      </w:r>
      <w:r w:rsidR="0049108B">
        <w:rPr>
          <w:rFonts w:ascii="Arial" w:hAnsi="Arial" w:cs="Arial"/>
          <w:b/>
          <w:sz w:val="20"/>
          <w:szCs w:val="20"/>
        </w:rPr>
        <w:t>85</w:t>
      </w:r>
      <w:r w:rsidRPr="00FD658E">
        <w:rPr>
          <w:rFonts w:ascii="Arial" w:hAnsi="Arial" w:cs="Arial"/>
          <w:b/>
          <w:sz w:val="20"/>
          <w:szCs w:val="20"/>
        </w:rPr>
        <w:t xml:space="preserve">% </w:t>
      </w:r>
      <w:r w:rsidR="0049108B">
        <w:rPr>
          <w:rFonts w:ascii="Arial" w:hAnsi="Arial" w:cs="Arial"/>
          <w:b/>
          <w:sz w:val="20"/>
          <w:szCs w:val="20"/>
        </w:rPr>
        <w:t>közelébe</w:t>
      </w:r>
      <w:r w:rsidR="00D604AA">
        <w:rPr>
          <w:rFonts w:ascii="Arial" w:hAnsi="Arial" w:cs="Arial"/>
          <w:sz w:val="20"/>
          <w:szCs w:val="20"/>
        </w:rPr>
        <w:t xml:space="preserve"> ugr</w:t>
      </w:r>
      <w:r w:rsidR="00B763B8">
        <w:rPr>
          <w:rFonts w:ascii="Arial" w:hAnsi="Arial" w:cs="Arial"/>
          <w:sz w:val="20"/>
          <w:szCs w:val="20"/>
        </w:rPr>
        <w:t>ott</w:t>
      </w:r>
      <w:r w:rsidRPr="00FD658E">
        <w:rPr>
          <w:rFonts w:ascii="Arial" w:hAnsi="Arial" w:cs="Arial"/>
          <w:sz w:val="20"/>
          <w:szCs w:val="20"/>
        </w:rPr>
        <w:t xml:space="preserve">, míg </w:t>
      </w:r>
      <w:r w:rsidRPr="00FD658E">
        <w:rPr>
          <w:rFonts w:ascii="Arial" w:hAnsi="Arial" w:cs="Arial"/>
          <w:b/>
          <w:sz w:val="20"/>
          <w:szCs w:val="20"/>
        </w:rPr>
        <w:t xml:space="preserve">a </w:t>
      </w:r>
      <w:r w:rsidR="00233729">
        <w:rPr>
          <w:rFonts w:ascii="Arial" w:hAnsi="Arial" w:cs="Arial"/>
          <w:b/>
          <w:sz w:val="20"/>
          <w:szCs w:val="20"/>
        </w:rPr>
        <w:t xml:space="preserve">nettó külső adósság </w:t>
      </w:r>
      <w:r w:rsidR="00CF54E0">
        <w:rPr>
          <w:rFonts w:ascii="Arial" w:hAnsi="Arial" w:cs="Arial"/>
          <w:b/>
          <w:sz w:val="20"/>
          <w:szCs w:val="20"/>
        </w:rPr>
        <w:t>10</w:t>
      </w:r>
      <w:r w:rsidR="00D604AA">
        <w:rPr>
          <w:rFonts w:ascii="Arial" w:hAnsi="Arial" w:cs="Arial"/>
          <w:b/>
          <w:sz w:val="20"/>
          <w:szCs w:val="20"/>
        </w:rPr>
        <w:t>%-</w:t>
      </w:r>
      <w:proofErr w:type="spellStart"/>
      <w:r w:rsidR="00D604AA">
        <w:rPr>
          <w:rFonts w:ascii="Arial" w:hAnsi="Arial" w:cs="Arial"/>
          <w:b/>
          <w:sz w:val="20"/>
          <w:szCs w:val="20"/>
        </w:rPr>
        <w:t>ra</w:t>
      </w:r>
      <w:proofErr w:type="spellEnd"/>
      <w:r w:rsidR="00D604AA">
        <w:rPr>
          <w:rFonts w:ascii="Arial" w:hAnsi="Arial" w:cs="Arial"/>
          <w:b/>
          <w:sz w:val="20"/>
          <w:szCs w:val="20"/>
        </w:rPr>
        <w:t xml:space="preserve"> emelked</w:t>
      </w:r>
      <w:r w:rsidR="00B763B8">
        <w:rPr>
          <w:rFonts w:ascii="Arial" w:hAnsi="Arial" w:cs="Arial"/>
          <w:b/>
          <w:sz w:val="20"/>
          <w:szCs w:val="20"/>
        </w:rPr>
        <w:t>ett</w:t>
      </w:r>
      <w:r w:rsidRPr="00FD658E">
        <w:rPr>
          <w:rFonts w:ascii="Arial" w:hAnsi="Arial" w:cs="Arial"/>
          <w:b/>
          <w:sz w:val="20"/>
          <w:szCs w:val="20"/>
        </w:rPr>
        <w:t xml:space="preserve"> </w:t>
      </w:r>
      <w:r w:rsidRPr="00FD658E">
        <w:rPr>
          <w:rFonts w:ascii="Arial" w:hAnsi="Arial" w:cs="Arial"/>
          <w:sz w:val="20"/>
          <w:szCs w:val="20"/>
        </w:rPr>
        <w:t>a</w:t>
      </w:r>
      <w:r w:rsidR="00B763B8">
        <w:rPr>
          <w:rFonts w:ascii="Arial" w:hAnsi="Arial" w:cs="Arial"/>
          <w:sz w:val="20"/>
          <w:szCs w:val="20"/>
        </w:rPr>
        <w:t>z előző évi</w:t>
      </w:r>
      <w:r w:rsidR="00233729">
        <w:rPr>
          <w:rFonts w:ascii="Arial" w:hAnsi="Arial" w:cs="Arial"/>
          <w:sz w:val="20"/>
          <w:szCs w:val="20"/>
        </w:rPr>
        <w:t xml:space="preserve"> </w:t>
      </w:r>
      <w:r w:rsidR="00CF54E0">
        <w:rPr>
          <w:rFonts w:ascii="Arial" w:hAnsi="Arial" w:cs="Arial"/>
          <w:sz w:val="20"/>
          <w:szCs w:val="20"/>
        </w:rPr>
        <w:t>7,1</w:t>
      </w:r>
      <w:r w:rsidRPr="00FD658E">
        <w:rPr>
          <w:rFonts w:ascii="Arial" w:hAnsi="Arial" w:cs="Arial"/>
          <w:sz w:val="20"/>
          <w:szCs w:val="20"/>
        </w:rPr>
        <w:t>% után,</w:t>
      </w:r>
      <w:r w:rsidR="00CF54E0">
        <w:rPr>
          <w:rFonts w:ascii="Arial" w:hAnsi="Arial" w:cs="Arial"/>
          <w:sz w:val="20"/>
          <w:szCs w:val="20"/>
        </w:rPr>
        <w:t xml:space="preserve"> </w:t>
      </w:r>
      <w:r w:rsidR="0049108B">
        <w:rPr>
          <w:rFonts w:ascii="Arial" w:hAnsi="Arial" w:cs="Arial"/>
          <w:sz w:val="20"/>
          <w:szCs w:val="20"/>
        </w:rPr>
        <w:t>tavaly pedig 17</w:t>
      </w:r>
      <w:r w:rsidR="00CF54E0">
        <w:rPr>
          <w:rFonts w:ascii="Arial" w:hAnsi="Arial" w:cs="Arial"/>
          <w:sz w:val="20"/>
          <w:szCs w:val="20"/>
        </w:rPr>
        <w:t>% fölé emelkedhet</w:t>
      </w:r>
      <w:r w:rsidR="0049108B">
        <w:rPr>
          <w:rFonts w:ascii="Arial" w:hAnsi="Arial" w:cs="Arial"/>
          <w:sz w:val="20"/>
          <w:szCs w:val="20"/>
        </w:rPr>
        <w:t>ett</w:t>
      </w:r>
      <w:r w:rsidR="00CF54E0">
        <w:rPr>
          <w:rFonts w:ascii="Arial" w:hAnsi="Arial" w:cs="Arial"/>
          <w:sz w:val="20"/>
          <w:szCs w:val="20"/>
        </w:rPr>
        <w:t>.</w:t>
      </w:r>
      <w:r w:rsidRPr="00FD658E">
        <w:rPr>
          <w:rFonts w:ascii="Arial" w:hAnsi="Arial" w:cs="Arial"/>
          <w:sz w:val="20"/>
          <w:szCs w:val="20"/>
        </w:rPr>
        <w:t xml:space="preserve"> </w:t>
      </w:r>
      <w:r w:rsidR="00CF54E0">
        <w:rPr>
          <w:rFonts w:ascii="Arial" w:hAnsi="Arial" w:cs="Arial"/>
          <w:sz w:val="20"/>
          <w:szCs w:val="20"/>
        </w:rPr>
        <w:t>A</w:t>
      </w:r>
      <w:r w:rsidRPr="00FD658E">
        <w:rPr>
          <w:rFonts w:ascii="Arial" w:hAnsi="Arial" w:cs="Arial"/>
          <w:sz w:val="20"/>
          <w:szCs w:val="20"/>
        </w:rPr>
        <w:t xml:space="preserve"> következő években </w:t>
      </w:r>
      <w:r w:rsidR="00CF54E0">
        <w:rPr>
          <w:rFonts w:ascii="Arial" w:hAnsi="Arial" w:cs="Arial"/>
          <w:sz w:val="20"/>
          <w:szCs w:val="20"/>
        </w:rPr>
        <w:t xml:space="preserve">azonban </w:t>
      </w:r>
      <w:r w:rsidRPr="0049108B">
        <w:rPr>
          <w:rFonts w:ascii="Arial" w:hAnsi="Arial" w:cs="Arial"/>
          <w:b/>
          <w:sz w:val="20"/>
          <w:szCs w:val="20"/>
        </w:rPr>
        <w:t>újra csökkenő pályára állhat</w:t>
      </w:r>
      <w:r w:rsidRPr="00FD658E">
        <w:rPr>
          <w:rFonts w:ascii="Arial" w:hAnsi="Arial" w:cs="Arial"/>
          <w:sz w:val="20"/>
          <w:szCs w:val="20"/>
        </w:rPr>
        <w:t xml:space="preserve">, középtávon pedig </w:t>
      </w:r>
      <w:r w:rsidRPr="00FD658E">
        <w:rPr>
          <w:rFonts w:ascii="Arial" w:hAnsi="Arial" w:cs="Arial"/>
          <w:b/>
          <w:sz w:val="20"/>
          <w:szCs w:val="20"/>
        </w:rPr>
        <w:t>nettó külső hitelezői</w:t>
      </w:r>
      <w:r w:rsidRPr="00FD658E">
        <w:rPr>
          <w:rFonts w:ascii="Arial" w:hAnsi="Arial" w:cs="Arial"/>
          <w:sz w:val="20"/>
          <w:szCs w:val="20"/>
        </w:rPr>
        <w:t xml:space="preserve"> pozícióba kerülhet a hazai gazdaság. </w:t>
      </w:r>
    </w:p>
    <w:p w14:paraId="58A41DDD" w14:textId="77777777" w:rsidR="005C518C" w:rsidRPr="00FD658E" w:rsidRDefault="005C518C" w:rsidP="00FD658E">
      <w:pPr>
        <w:spacing w:before="120" w:after="120" w:line="360" w:lineRule="auto"/>
        <w:jc w:val="both"/>
        <w:rPr>
          <w:rFonts w:ascii="Arial" w:hAnsi="Arial" w:cs="Arial"/>
          <w:b/>
          <w:sz w:val="20"/>
          <w:szCs w:val="20"/>
        </w:rPr>
      </w:pPr>
      <w:r w:rsidRPr="00FD658E">
        <w:rPr>
          <w:rFonts w:ascii="Arial" w:hAnsi="Arial" w:cs="Arial"/>
          <w:sz w:val="20"/>
          <w:szCs w:val="20"/>
        </w:rPr>
        <w:t xml:space="preserve">A következő években </w:t>
      </w:r>
      <w:r w:rsidRPr="00FD658E">
        <w:rPr>
          <w:rFonts w:ascii="Arial" w:hAnsi="Arial" w:cs="Arial"/>
          <w:b/>
          <w:sz w:val="20"/>
          <w:szCs w:val="20"/>
        </w:rPr>
        <w:t xml:space="preserve">ismét </w:t>
      </w:r>
      <w:r w:rsidR="00FB5219">
        <w:rPr>
          <w:rFonts w:ascii="Arial" w:hAnsi="Arial" w:cs="Arial"/>
          <w:b/>
          <w:sz w:val="20"/>
          <w:szCs w:val="20"/>
        </w:rPr>
        <w:t>javulhat</w:t>
      </w:r>
      <w:r w:rsidRPr="00FD658E">
        <w:rPr>
          <w:rFonts w:ascii="Arial" w:hAnsi="Arial" w:cs="Arial"/>
          <w:b/>
          <w:sz w:val="20"/>
          <w:szCs w:val="20"/>
        </w:rPr>
        <w:t xml:space="preserve"> a folyó fizetési mérleg többlete</w:t>
      </w:r>
      <w:r w:rsidRPr="00FD658E">
        <w:rPr>
          <w:rFonts w:ascii="Arial" w:hAnsi="Arial" w:cs="Arial"/>
          <w:sz w:val="20"/>
          <w:szCs w:val="20"/>
        </w:rPr>
        <w:t xml:space="preserve">, részben az áruforgalom, részben pedig az idegenforgalom </w:t>
      </w:r>
      <w:r w:rsidR="00846F30">
        <w:rPr>
          <w:rFonts w:ascii="Arial" w:hAnsi="Arial" w:cs="Arial"/>
          <w:sz w:val="20"/>
          <w:szCs w:val="20"/>
        </w:rPr>
        <w:t>fokozatos</w:t>
      </w:r>
      <w:r w:rsidRPr="00FD658E">
        <w:rPr>
          <w:rFonts w:ascii="Arial" w:hAnsi="Arial" w:cs="Arial"/>
          <w:sz w:val="20"/>
          <w:szCs w:val="20"/>
        </w:rPr>
        <w:t xml:space="preserve"> helyreállásának köszönhetően, miközben új exportkapacitások üzembe hely</w:t>
      </w:r>
      <w:r w:rsidR="004E09A0">
        <w:rPr>
          <w:rFonts w:ascii="Arial" w:hAnsi="Arial" w:cs="Arial"/>
          <w:sz w:val="20"/>
          <w:szCs w:val="20"/>
        </w:rPr>
        <w:t>ezése adhat lökést az exportnak</w:t>
      </w:r>
      <w:r w:rsidRPr="00FD658E">
        <w:rPr>
          <w:rFonts w:ascii="Arial" w:hAnsi="Arial" w:cs="Arial"/>
          <w:sz w:val="20"/>
          <w:szCs w:val="20"/>
        </w:rPr>
        <w:t xml:space="preserve">. A </w:t>
      </w:r>
      <w:r w:rsidRPr="00FD658E">
        <w:rPr>
          <w:rFonts w:ascii="Arial" w:hAnsi="Arial" w:cs="Arial"/>
          <w:b/>
          <w:sz w:val="20"/>
          <w:szCs w:val="20"/>
        </w:rPr>
        <w:t>tőkemérleg</w:t>
      </w:r>
      <w:r w:rsidRPr="00FD658E">
        <w:rPr>
          <w:rFonts w:ascii="Arial" w:hAnsi="Arial" w:cs="Arial"/>
          <w:sz w:val="20"/>
          <w:szCs w:val="20"/>
        </w:rPr>
        <w:t xml:space="preserve"> pedig </w:t>
      </w:r>
      <w:r w:rsidRPr="00FD658E">
        <w:rPr>
          <w:rFonts w:ascii="Arial" w:hAnsi="Arial" w:cs="Arial"/>
          <w:b/>
          <w:sz w:val="20"/>
          <w:szCs w:val="20"/>
        </w:rPr>
        <w:t xml:space="preserve">az uniós források lehívásának köszönhetően </w:t>
      </w:r>
      <w:r w:rsidR="00CF54E0">
        <w:rPr>
          <w:rFonts w:ascii="Arial" w:hAnsi="Arial" w:cs="Arial"/>
          <w:b/>
          <w:sz w:val="20"/>
          <w:szCs w:val="20"/>
        </w:rPr>
        <w:t>emelkedhet</w:t>
      </w:r>
      <w:r w:rsidRPr="00FD658E">
        <w:rPr>
          <w:rFonts w:ascii="Arial" w:hAnsi="Arial" w:cs="Arial"/>
          <w:sz w:val="20"/>
          <w:szCs w:val="20"/>
        </w:rPr>
        <w:t xml:space="preserve"> meg a következő években, így </w:t>
      </w:r>
      <w:r w:rsidRPr="00FD658E">
        <w:rPr>
          <w:rFonts w:ascii="Arial" w:hAnsi="Arial" w:cs="Arial"/>
          <w:b/>
          <w:sz w:val="20"/>
          <w:szCs w:val="20"/>
        </w:rPr>
        <w:t>folytatódhat a külső adósság leépülése</w:t>
      </w:r>
      <w:r w:rsidRPr="00FD658E">
        <w:rPr>
          <w:rFonts w:ascii="Arial" w:hAnsi="Arial" w:cs="Arial"/>
          <w:sz w:val="20"/>
          <w:szCs w:val="20"/>
        </w:rPr>
        <w:t xml:space="preserve">, a nettó külső adósság pedig középtávon eltűnhet, a hazai gazdaság pedig a történelemben először </w:t>
      </w:r>
      <w:r w:rsidRPr="00FD658E">
        <w:rPr>
          <w:rFonts w:ascii="Arial" w:hAnsi="Arial" w:cs="Arial"/>
          <w:b/>
          <w:sz w:val="20"/>
          <w:szCs w:val="20"/>
        </w:rPr>
        <w:t>nettó külső hitelező</w:t>
      </w:r>
      <w:r w:rsidRPr="00FD658E">
        <w:rPr>
          <w:rFonts w:ascii="Arial" w:hAnsi="Arial" w:cs="Arial"/>
          <w:sz w:val="20"/>
          <w:szCs w:val="20"/>
        </w:rPr>
        <w:t xml:space="preserve"> lehet. Ez pedig </w:t>
      </w:r>
      <w:r w:rsidRPr="00FD658E">
        <w:rPr>
          <w:rFonts w:ascii="Arial" w:hAnsi="Arial" w:cs="Arial"/>
          <w:b/>
          <w:sz w:val="20"/>
          <w:szCs w:val="20"/>
        </w:rPr>
        <w:t>a világ legstabilabb országai közé</w:t>
      </w:r>
      <w:r w:rsidRPr="00FD658E">
        <w:rPr>
          <w:rFonts w:ascii="Arial" w:hAnsi="Arial" w:cs="Arial"/>
          <w:sz w:val="20"/>
          <w:szCs w:val="20"/>
        </w:rPr>
        <w:t xml:space="preserve"> emelheti a hazai gazdaságot, így egyrészt folytatódhatnak a felminősítések, másrészt meredeken visszaerősödhet a forint az alacsonyan tartott kamatok ellenére is.</w:t>
      </w:r>
      <w:r w:rsidR="00571CD0">
        <w:rPr>
          <w:rFonts w:ascii="Arial" w:hAnsi="Arial" w:cs="Arial"/>
          <w:sz w:val="20"/>
          <w:szCs w:val="20"/>
        </w:rPr>
        <w:t xml:space="preserve"> </w:t>
      </w:r>
      <w:r w:rsidR="00F629B9">
        <w:rPr>
          <w:rFonts w:ascii="Arial" w:hAnsi="Arial" w:cs="Arial"/>
          <w:b/>
          <w:sz w:val="20"/>
          <w:szCs w:val="20"/>
        </w:rPr>
        <w:t>2021-ben</w:t>
      </w:r>
      <w:r w:rsidR="00CF54E0">
        <w:rPr>
          <w:rFonts w:ascii="Arial" w:hAnsi="Arial" w:cs="Arial"/>
          <w:b/>
          <w:sz w:val="20"/>
          <w:szCs w:val="20"/>
        </w:rPr>
        <w:t xml:space="preserve"> </w:t>
      </w:r>
      <w:r w:rsidR="00F629B9">
        <w:rPr>
          <w:rFonts w:ascii="Arial" w:hAnsi="Arial" w:cs="Arial"/>
          <w:b/>
          <w:sz w:val="20"/>
          <w:szCs w:val="20"/>
        </w:rPr>
        <w:t>4,5 milliárd euróra emelkedhetett a deficit</w:t>
      </w:r>
      <w:r w:rsidR="00CF54E0">
        <w:rPr>
          <w:rFonts w:ascii="Arial" w:hAnsi="Arial" w:cs="Arial"/>
          <w:b/>
          <w:sz w:val="20"/>
          <w:szCs w:val="20"/>
        </w:rPr>
        <w:t xml:space="preserve"> a tavaly</w:t>
      </w:r>
      <w:r w:rsidR="00F629B9">
        <w:rPr>
          <w:rFonts w:ascii="Arial" w:hAnsi="Arial" w:cs="Arial"/>
          <w:b/>
          <w:sz w:val="20"/>
          <w:szCs w:val="20"/>
        </w:rPr>
        <w:t>előtti 2,1 milliárd euró hiányt követően</w:t>
      </w:r>
      <w:r w:rsidR="00571CD0">
        <w:rPr>
          <w:rFonts w:ascii="Arial" w:hAnsi="Arial" w:cs="Arial"/>
          <w:b/>
          <w:sz w:val="20"/>
          <w:szCs w:val="20"/>
        </w:rPr>
        <w:t>, megközelítve a GDP 3%-át</w:t>
      </w:r>
      <w:r w:rsidR="00F629B9">
        <w:rPr>
          <w:rFonts w:ascii="Arial" w:hAnsi="Arial" w:cs="Arial"/>
          <w:b/>
          <w:sz w:val="20"/>
          <w:szCs w:val="20"/>
        </w:rPr>
        <w:t>. A következő években azonban fokozatosan csökkenhet a folyó fizetési mérleg hiánya</w:t>
      </w:r>
      <w:r w:rsidR="00571CD0">
        <w:rPr>
          <w:rFonts w:ascii="Arial" w:hAnsi="Arial" w:cs="Arial"/>
          <w:b/>
          <w:sz w:val="20"/>
          <w:szCs w:val="20"/>
        </w:rPr>
        <w:t>.</w:t>
      </w:r>
      <w:r w:rsidR="00740403" w:rsidRPr="00740403">
        <w:rPr>
          <w:rFonts w:ascii="Arial" w:hAnsi="Arial" w:cs="Arial"/>
          <w:sz w:val="20"/>
          <w:szCs w:val="20"/>
        </w:rPr>
        <w:t xml:space="preserve"> </w:t>
      </w:r>
      <w:r w:rsidR="00571CD0">
        <w:rPr>
          <w:rFonts w:ascii="Arial" w:hAnsi="Arial" w:cs="Arial"/>
          <w:sz w:val="20"/>
          <w:szCs w:val="20"/>
        </w:rPr>
        <w:t>A</w:t>
      </w:r>
      <w:r w:rsidR="000F3E41">
        <w:rPr>
          <w:rFonts w:ascii="Arial" w:hAnsi="Arial" w:cs="Arial"/>
          <w:sz w:val="20"/>
          <w:szCs w:val="20"/>
        </w:rPr>
        <w:t xml:space="preserve"> tavaly enyhén csökkenő</w:t>
      </w:r>
      <w:r w:rsidR="00740403" w:rsidRPr="00740403">
        <w:rPr>
          <w:rFonts w:ascii="Arial" w:hAnsi="Arial" w:cs="Arial"/>
          <w:sz w:val="20"/>
          <w:szCs w:val="20"/>
        </w:rPr>
        <w:t xml:space="preserve"> tőkemérleggel együtt </w:t>
      </w:r>
      <w:r w:rsidR="00740403" w:rsidRPr="00740403">
        <w:rPr>
          <w:rFonts w:ascii="Arial" w:hAnsi="Arial" w:cs="Arial"/>
          <w:b/>
          <w:sz w:val="20"/>
          <w:szCs w:val="20"/>
        </w:rPr>
        <w:t xml:space="preserve">a </w:t>
      </w:r>
      <w:r w:rsidR="00CF54E0">
        <w:rPr>
          <w:rFonts w:ascii="Arial" w:hAnsi="Arial" w:cs="Arial"/>
          <w:b/>
          <w:sz w:val="20"/>
          <w:szCs w:val="20"/>
        </w:rPr>
        <w:t xml:space="preserve">külső finanszírozási </w:t>
      </w:r>
      <w:r w:rsidR="000F3E41">
        <w:rPr>
          <w:rFonts w:ascii="Arial" w:hAnsi="Arial" w:cs="Arial"/>
          <w:b/>
          <w:sz w:val="20"/>
          <w:szCs w:val="20"/>
        </w:rPr>
        <w:t>igény</w:t>
      </w:r>
      <w:r w:rsidR="00CF54E0">
        <w:rPr>
          <w:rFonts w:ascii="Arial" w:hAnsi="Arial" w:cs="Arial"/>
          <w:b/>
          <w:sz w:val="20"/>
          <w:szCs w:val="20"/>
        </w:rPr>
        <w:t xml:space="preserve"> </w:t>
      </w:r>
      <w:r w:rsidR="000F3E41">
        <w:rPr>
          <w:rFonts w:ascii="Arial" w:hAnsi="Arial" w:cs="Arial"/>
          <w:b/>
          <w:sz w:val="20"/>
          <w:szCs w:val="20"/>
        </w:rPr>
        <w:t>2 milliárd euró, a GDP 1,4%-a lehetett</w:t>
      </w:r>
      <w:r w:rsidR="00740403" w:rsidRPr="00740403">
        <w:rPr>
          <w:rFonts w:ascii="Arial" w:hAnsi="Arial" w:cs="Arial"/>
          <w:b/>
          <w:sz w:val="20"/>
          <w:szCs w:val="20"/>
        </w:rPr>
        <w:t xml:space="preserve">, </w:t>
      </w:r>
      <w:r w:rsidR="000F3E41">
        <w:rPr>
          <w:rFonts w:ascii="Arial" w:hAnsi="Arial" w:cs="Arial"/>
          <w:b/>
          <w:sz w:val="20"/>
          <w:szCs w:val="20"/>
        </w:rPr>
        <w:t>így tizenhárom év óta először mutatott hiányt külfölddel szemben</w:t>
      </w:r>
      <w:r w:rsidR="00740403" w:rsidRPr="00740403">
        <w:rPr>
          <w:rFonts w:ascii="Arial" w:hAnsi="Arial" w:cs="Arial"/>
          <w:sz w:val="20"/>
          <w:szCs w:val="20"/>
        </w:rPr>
        <w:t xml:space="preserve">. </w:t>
      </w:r>
      <w:r w:rsidR="000F3E41">
        <w:rPr>
          <w:rFonts w:ascii="Arial" w:hAnsi="Arial" w:cs="Arial"/>
          <w:sz w:val="20"/>
          <w:szCs w:val="20"/>
        </w:rPr>
        <w:t xml:space="preserve">A hazai gazdaság finanszírozása ismét többletet mutathat külfölddel szemben, azaz újra pozitívvá válhat a finanszírozási képessége. </w:t>
      </w:r>
      <w:r w:rsidR="0009296B">
        <w:rPr>
          <w:rFonts w:ascii="Arial" w:hAnsi="Arial" w:cs="Arial"/>
          <w:sz w:val="20"/>
          <w:szCs w:val="20"/>
        </w:rPr>
        <w:t xml:space="preserve">Az uniós források visszatartása ugyanakkor kockázatot jelenthet a tőkemérleg és a külső finanszírozási képesség, valamint a külső adósságmutatók alakulására.  </w:t>
      </w:r>
      <w:r w:rsidRPr="00FD658E">
        <w:rPr>
          <w:rFonts w:ascii="Arial" w:hAnsi="Arial" w:cs="Arial"/>
          <w:sz w:val="20"/>
          <w:szCs w:val="20"/>
        </w:rPr>
        <w:t xml:space="preserve">    </w:t>
      </w:r>
    </w:p>
    <w:p w14:paraId="2B1A9535" w14:textId="77777777" w:rsidR="005C518C" w:rsidRPr="00FD658E" w:rsidRDefault="005C518C" w:rsidP="00316464">
      <w:pPr>
        <w:pStyle w:val="Alcmtbank"/>
      </w:pPr>
      <w:r w:rsidRPr="00FD658E">
        <w:t>Ipar</w:t>
      </w:r>
    </w:p>
    <w:p w14:paraId="35DAD7A3" w14:textId="77777777" w:rsidR="005C518C" w:rsidRPr="00E556C1" w:rsidRDefault="00E556C1" w:rsidP="00FD658E">
      <w:pPr>
        <w:spacing w:before="120" w:after="120" w:line="360" w:lineRule="auto"/>
        <w:jc w:val="both"/>
        <w:rPr>
          <w:rFonts w:ascii="Arial" w:hAnsi="Arial" w:cs="Arial"/>
          <w:sz w:val="20"/>
          <w:szCs w:val="20"/>
        </w:rPr>
      </w:pPr>
      <w:r w:rsidRPr="00E556C1">
        <w:rPr>
          <w:rFonts w:ascii="Arial" w:hAnsi="Arial" w:cs="Arial"/>
          <w:b/>
          <w:sz w:val="20"/>
          <w:szCs w:val="20"/>
        </w:rPr>
        <w:t xml:space="preserve">2,6%-kal nőtt az ipari termelés </w:t>
      </w:r>
      <w:r w:rsidRPr="00E556C1">
        <w:rPr>
          <w:rFonts w:ascii="Arial" w:hAnsi="Arial" w:cs="Arial"/>
          <w:sz w:val="20"/>
          <w:szCs w:val="20"/>
        </w:rPr>
        <w:t xml:space="preserve">novemberben, míg munkanaphatással megtisztítva a termelés 2,1%-kal növekedett. A szezonálisan és munkanappal kiigazított adatok alapján az ipari kibocsátás </w:t>
      </w:r>
      <w:r w:rsidRPr="00E556C1">
        <w:rPr>
          <w:rFonts w:ascii="Arial" w:hAnsi="Arial" w:cs="Arial"/>
          <w:b/>
          <w:sz w:val="20"/>
          <w:szCs w:val="20"/>
        </w:rPr>
        <w:t xml:space="preserve">az előző hónaphoz képest 2,9%-kal emelkedett, </w:t>
      </w:r>
      <w:r w:rsidRPr="00E556C1">
        <w:rPr>
          <w:rFonts w:ascii="Arial" w:hAnsi="Arial" w:cs="Arial"/>
          <w:sz w:val="20"/>
          <w:szCs w:val="20"/>
        </w:rPr>
        <w:t xml:space="preserve">mivel a chiphiány feltehető enyhülése, valamint egy új modell gyártása javíthatta a járműgyártás teljesítményét, miközben más ágazatok jó teljesítménye részben ellensúlyozza a járműgyártás </w:t>
      </w:r>
      <w:r w:rsidRPr="00E556C1">
        <w:rPr>
          <w:rFonts w:ascii="Arial" w:hAnsi="Arial" w:cs="Arial"/>
          <w:sz w:val="20"/>
          <w:szCs w:val="20"/>
        </w:rPr>
        <w:lastRenderedPageBreak/>
        <w:t xml:space="preserve">területén továbbra is fennálló problémákat. Augusztusban a Mercedes leállása a tervezettnél tovább tartott, ráadásul szeptemberben ismét leállt a termelés a chiphiány miatt, csakúgy, mit a Suzukinál. Októberben a hazai autógyárakban újraindulhatott a termelés, miközben október végétől a Mercedes egy új, teljesen elektromos modell gyártását kezdte el Kecskeméten, így a kisebb javulásra lehetett számítani. A Mercedes karácsonyi leállása azonban megint hosszabb volt a szezonálisnál. </w:t>
      </w:r>
      <w:r w:rsidRPr="00E556C1">
        <w:rPr>
          <w:rFonts w:ascii="Arial" w:hAnsi="Arial" w:cs="Arial"/>
          <w:b/>
          <w:sz w:val="20"/>
          <w:szCs w:val="20"/>
        </w:rPr>
        <w:t>A félvezetők és más alkatrészek hiánya nélkül az ipari termelés volumene akár 9-12%-kal is meghaladhatná a jelenlegi szintet</w:t>
      </w:r>
      <w:r w:rsidR="00EC366B" w:rsidRPr="00E556C1">
        <w:rPr>
          <w:rFonts w:ascii="Arial" w:hAnsi="Arial" w:cs="Arial"/>
          <w:sz w:val="20"/>
          <w:szCs w:val="20"/>
        </w:rPr>
        <w:t>.</w:t>
      </w:r>
    </w:p>
    <w:tbl>
      <w:tblPr>
        <w:tblW w:w="10083" w:type="dxa"/>
        <w:tblLook w:val="01E0" w:firstRow="1" w:lastRow="1" w:firstColumn="1" w:lastColumn="1" w:noHBand="0" w:noVBand="0"/>
      </w:tblPr>
      <w:tblGrid>
        <w:gridCol w:w="4926"/>
        <w:gridCol w:w="222"/>
        <w:gridCol w:w="222"/>
        <w:gridCol w:w="222"/>
        <w:gridCol w:w="4491"/>
      </w:tblGrid>
      <w:tr w:rsidR="00CF7929" w:rsidRPr="003536D7" w14:paraId="555EAC6C" w14:textId="77777777" w:rsidTr="00684EB1">
        <w:tc>
          <w:tcPr>
            <w:tcW w:w="4866" w:type="dxa"/>
            <w:shd w:val="clear" w:color="auto" w:fill="auto"/>
          </w:tcPr>
          <w:p w14:paraId="278F69B3" w14:textId="77777777" w:rsidR="00CF7929" w:rsidRPr="00FD658E" w:rsidRDefault="00CF7929" w:rsidP="00684EB1">
            <w:pPr>
              <w:spacing w:after="120"/>
              <w:jc w:val="center"/>
              <w:rPr>
                <w:rFonts w:ascii="Arial" w:hAnsi="Arial" w:cs="Arial"/>
                <w:color w:val="FF8500"/>
              </w:rPr>
            </w:pPr>
            <w:r>
              <w:rPr>
                <w:rFonts w:ascii="Arial" w:hAnsi="Arial" w:cs="Arial"/>
                <w:b/>
                <w:color w:val="FF8500"/>
              </w:rPr>
              <w:t>25</w:t>
            </w:r>
            <w:r w:rsidRPr="00FD658E">
              <w:rPr>
                <w:rFonts w:ascii="Arial" w:hAnsi="Arial" w:cs="Arial"/>
                <w:b/>
                <w:color w:val="FF8500"/>
              </w:rPr>
              <w:t xml:space="preserve">. ábra: </w:t>
            </w:r>
            <w:r w:rsidRPr="00316464">
              <w:rPr>
                <w:rFonts w:ascii="Arial" w:hAnsi="Arial" w:cs="Arial"/>
                <w:bCs/>
                <w:color w:val="FF8500"/>
              </w:rPr>
              <w:t>Az ipari termelés alakulása</w:t>
            </w:r>
          </w:p>
        </w:tc>
        <w:tc>
          <w:tcPr>
            <w:tcW w:w="222" w:type="dxa"/>
          </w:tcPr>
          <w:p w14:paraId="43D6B791" w14:textId="77777777" w:rsidR="00CF7929" w:rsidRPr="00FD658E" w:rsidRDefault="00CF7929" w:rsidP="00684EB1">
            <w:pPr>
              <w:keepNext/>
              <w:jc w:val="center"/>
              <w:rPr>
                <w:rFonts w:ascii="Arial" w:hAnsi="Arial" w:cs="Arial"/>
                <w:b/>
                <w:color w:val="FF8500"/>
              </w:rPr>
            </w:pPr>
          </w:p>
        </w:tc>
        <w:tc>
          <w:tcPr>
            <w:tcW w:w="222" w:type="dxa"/>
          </w:tcPr>
          <w:p w14:paraId="1F4D10B7" w14:textId="77777777" w:rsidR="00CF7929" w:rsidRPr="00FD658E" w:rsidRDefault="00CF7929" w:rsidP="00684EB1">
            <w:pPr>
              <w:keepNext/>
              <w:jc w:val="center"/>
              <w:rPr>
                <w:rFonts w:ascii="Arial" w:hAnsi="Arial" w:cs="Arial"/>
                <w:b/>
                <w:color w:val="FF8500"/>
              </w:rPr>
            </w:pPr>
          </w:p>
        </w:tc>
        <w:tc>
          <w:tcPr>
            <w:tcW w:w="222" w:type="dxa"/>
          </w:tcPr>
          <w:p w14:paraId="6A870A8E" w14:textId="77777777" w:rsidR="00CF7929" w:rsidRPr="00FD658E" w:rsidRDefault="00CF7929" w:rsidP="00684EB1">
            <w:pPr>
              <w:keepNext/>
              <w:jc w:val="center"/>
              <w:rPr>
                <w:rFonts w:ascii="Arial" w:hAnsi="Arial" w:cs="Arial"/>
                <w:b/>
                <w:color w:val="FF8500"/>
              </w:rPr>
            </w:pPr>
          </w:p>
        </w:tc>
        <w:tc>
          <w:tcPr>
            <w:tcW w:w="4551" w:type="dxa"/>
            <w:shd w:val="clear" w:color="auto" w:fill="auto"/>
          </w:tcPr>
          <w:p w14:paraId="59ACCDC4" w14:textId="77777777" w:rsidR="00CF7929" w:rsidRPr="00FD658E" w:rsidRDefault="00CF7929" w:rsidP="00684EB1">
            <w:pPr>
              <w:keepNext/>
              <w:jc w:val="center"/>
              <w:rPr>
                <w:rFonts w:ascii="Arial" w:hAnsi="Arial" w:cs="Arial"/>
                <w:b/>
                <w:color w:val="FF8500"/>
              </w:rPr>
            </w:pPr>
            <w:r>
              <w:rPr>
                <w:rFonts w:ascii="Arial" w:hAnsi="Arial" w:cs="Arial"/>
                <w:b/>
                <w:color w:val="FF8500"/>
              </w:rPr>
              <w:t>26</w:t>
            </w:r>
            <w:r w:rsidRPr="00FD658E">
              <w:rPr>
                <w:rFonts w:ascii="Arial" w:hAnsi="Arial" w:cs="Arial"/>
                <w:b/>
                <w:color w:val="FF8500"/>
              </w:rPr>
              <w:t>. ábra:</w:t>
            </w:r>
            <w:r w:rsidRPr="00316464">
              <w:rPr>
                <w:rFonts w:ascii="Arial" w:hAnsi="Arial" w:cs="Arial"/>
                <w:bCs/>
                <w:color w:val="FF8500"/>
              </w:rPr>
              <w:t xml:space="preserve"> Ipari termelés </w:t>
            </w:r>
            <w:r w:rsidRPr="00316464">
              <w:rPr>
                <w:rFonts w:ascii="Arial" w:hAnsi="Arial" w:cs="Arial"/>
                <w:bCs/>
                <w:color w:val="FF8500"/>
              </w:rPr>
              <w:br/>
              <w:t>2015. évi bázison</w:t>
            </w:r>
            <w:r w:rsidRPr="00FD658E">
              <w:rPr>
                <w:rFonts w:ascii="Arial" w:hAnsi="Arial" w:cs="Arial"/>
                <w:b/>
                <w:color w:val="FF8500"/>
              </w:rPr>
              <w:t xml:space="preserve"> </w:t>
            </w:r>
          </w:p>
        </w:tc>
      </w:tr>
      <w:tr w:rsidR="00CF7929" w:rsidRPr="003536D7" w14:paraId="275E0FBD" w14:textId="77777777" w:rsidTr="00684EB1">
        <w:tc>
          <w:tcPr>
            <w:tcW w:w="4866" w:type="dxa"/>
            <w:shd w:val="clear" w:color="auto" w:fill="auto"/>
          </w:tcPr>
          <w:p w14:paraId="2C098B5E" w14:textId="77777777" w:rsidR="00CF7929" w:rsidRPr="003536D7" w:rsidRDefault="009E0B17" w:rsidP="00684EB1">
            <w:pPr>
              <w:spacing w:after="120"/>
              <w:jc w:val="both"/>
              <w:rPr>
                <w:rFonts w:ascii="Arial" w:hAnsi="Arial" w:cs="Arial"/>
              </w:rPr>
            </w:pPr>
            <w:r w:rsidRPr="009E0B17">
              <w:rPr>
                <w:rFonts w:ascii="Arial" w:hAnsi="Arial" w:cs="Arial"/>
                <w:noProof/>
                <w:lang w:eastAsia="hu-HU"/>
              </w:rPr>
              <w:drawing>
                <wp:inline distT="0" distB="0" distL="0" distR="0" wp14:anchorId="4DDCA0B1" wp14:editId="240D720E">
                  <wp:extent cx="2984500" cy="1873250"/>
                  <wp:effectExtent l="0" t="0" r="635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4500" cy="1873250"/>
                          </a:xfrm>
                          <a:prstGeom prst="rect">
                            <a:avLst/>
                          </a:prstGeom>
                          <a:noFill/>
                          <a:ln>
                            <a:noFill/>
                          </a:ln>
                        </pic:spPr>
                      </pic:pic>
                    </a:graphicData>
                  </a:graphic>
                </wp:inline>
              </w:drawing>
            </w:r>
          </w:p>
        </w:tc>
        <w:tc>
          <w:tcPr>
            <w:tcW w:w="222" w:type="dxa"/>
          </w:tcPr>
          <w:p w14:paraId="053470B7" w14:textId="77777777" w:rsidR="00CF7929" w:rsidRDefault="00CF7929" w:rsidP="00684EB1">
            <w:pPr>
              <w:spacing w:after="120"/>
              <w:jc w:val="both"/>
              <w:rPr>
                <w:rFonts w:ascii="Arial" w:hAnsi="Arial" w:cs="Arial"/>
                <w:noProof/>
                <w:lang w:eastAsia="hu-HU"/>
              </w:rPr>
            </w:pPr>
          </w:p>
        </w:tc>
        <w:tc>
          <w:tcPr>
            <w:tcW w:w="222" w:type="dxa"/>
          </w:tcPr>
          <w:p w14:paraId="47D4CE9B" w14:textId="77777777" w:rsidR="00CF7929" w:rsidRDefault="00CF7929" w:rsidP="00684EB1">
            <w:pPr>
              <w:spacing w:after="120"/>
              <w:jc w:val="both"/>
              <w:rPr>
                <w:rFonts w:ascii="Arial" w:hAnsi="Arial" w:cs="Arial"/>
                <w:noProof/>
                <w:lang w:eastAsia="hu-HU"/>
              </w:rPr>
            </w:pPr>
          </w:p>
        </w:tc>
        <w:tc>
          <w:tcPr>
            <w:tcW w:w="222" w:type="dxa"/>
          </w:tcPr>
          <w:p w14:paraId="4A06FE01" w14:textId="77777777" w:rsidR="00CF7929" w:rsidRDefault="00CF7929" w:rsidP="00684EB1">
            <w:pPr>
              <w:spacing w:after="120"/>
              <w:jc w:val="both"/>
              <w:rPr>
                <w:rFonts w:ascii="Arial" w:hAnsi="Arial" w:cs="Arial"/>
                <w:noProof/>
                <w:lang w:eastAsia="hu-HU"/>
              </w:rPr>
            </w:pPr>
          </w:p>
        </w:tc>
        <w:tc>
          <w:tcPr>
            <w:tcW w:w="4551" w:type="dxa"/>
            <w:shd w:val="clear" w:color="auto" w:fill="auto"/>
          </w:tcPr>
          <w:p w14:paraId="094B4335" w14:textId="77777777" w:rsidR="00CF7929" w:rsidRPr="003536D7" w:rsidRDefault="00E556C1" w:rsidP="00684EB1">
            <w:pPr>
              <w:spacing w:after="120"/>
              <w:jc w:val="both"/>
              <w:rPr>
                <w:rFonts w:ascii="Arial" w:hAnsi="Arial" w:cs="Arial"/>
              </w:rPr>
            </w:pPr>
            <w:r>
              <w:rPr>
                <w:rFonts w:ascii="Arial" w:hAnsi="Arial" w:cs="Arial"/>
                <w:noProof/>
                <w:lang w:eastAsia="hu-HU"/>
              </w:rPr>
              <w:drawing>
                <wp:inline distT="0" distB="0" distL="0" distR="0" wp14:anchorId="32DD4F10" wp14:editId="6F2EF9B1">
                  <wp:extent cx="2676525" cy="1962150"/>
                  <wp:effectExtent l="0" t="0" r="952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6525" cy="1962150"/>
                          </a:xfrm>
                          <a:prstGeom prst="rect">
                            <a:avLst/>
                          </a:prstGeom>
                          <a:noFill/>
                          <a:ln>
                            <a:noFill/>
                          </a:ln>
                        </pic:spPr>
                      </pic:pic>
                    </a:graphicData>
                  </a:graphic>
                </wp:inline>
              </w:drawing>
            </w:r>
          </w:p>
        </w:tc>
      </w:tr>
      <w:tr w:rsidR="00CF7929" w:rsidRPr="003536D7" w14:paraId="0B53F6C0" w14:textId="77777777" w:rsidTr="00684EB1">
        <w:tc>
          <w:tcPr>
            <w:tcW w:w="4866" w:type="dxa"/>
            <w:shd w:val="clear" w:color="auto" w:fill="auto"/>
          </w:tcPr>
          <w:p w14:paraId="5E8E8413" w14:textId="77777777" w:rsidR="00CF7929" w:rsidRPr="003536D7" w:rsidRDefault="00CF7929" w:rsidP="00684EB1">
            <w:pPr>
              <w:pStyle w:val="Kpalrstbank"/>
            </w:pPr>
            <w:r w:rsidRPr="003536D7">
              <w:t xml:space="preserve">Forrás: KSH, </w:t>
            </w:r>
            <w:proofErr w:type="spellStart"/>
            <w:r w:rsidRPr="003536D7">
              <w:t>Ifo</w:t>
            </w:r>
            <w:proofErr w:type="spellEnd"/>
            <w:r w:rsidRPr="003536D7">
              <w:t>, Takarékbank előrejelzés (árnyékolt terület)</w:t>
            </w:r>
          </w:p>
        </w:tc>
        <w:tc>
          <w:tcPr>
            <w:tcW w:w="222" w:type="dxa"/>
          </w:tcPr>
          <w:p w14:paraId="1C6DB282" w14:textId="77777777" w:rsidR="00CF7929" w:rsidRPr="003536D7" w:rsidRDefault="00CF7929" w:rsidP="00684EB1">
            <w:pPr>
              <w:pStyle w:val="Kpalrstbank"/>
            </w:pPr>
          </w:p>
        </w:tc>
        <w:tc>
          <w:tcPr>
            <w:tcW w:w="222" w:type="dxa"/>
          </w:tcPr>
          <w:p w14:paraId="3765E464" w14:textId="77777777" w:rsidR="00CF7929" w:rsidRPr="003536D7" w:rsidRDefault="00CF7929" w:rsidP="00684EB1">
            <w:pPr>
              <w:pStyle w:val="Kpalrstbank"/>
            </w:pPr>
          </w:p>
        </w:tc>
        <w:tc>
          <w:tcPr>
            <w:tcW w:w="222" w:type="dxa"/>
          </w:tcPr>
          <w:p w14:paraId="5AF7AEE3" w14:textId="77777777" w:rsidR="00CF7929" w:rsidRPr="003536D7" w:rsidRDefault="00CF7929" w:rsidP="00684EB1">
            <w:pPr>
              <w:pStyle w:val="Kpalrstbank"/>
            </w:pPr>
          </w:p>
        </w:tc>
        <w:tc>
          <w:tcPr>
            <w:tcW w:w="4551" w:type="dxa"/>
            <w:shd w:val="clear" w:color="auto" w:fill="auto"/>
          </w:tcPr>
          <w:p w14:paraId="6AFD1D25" w14:textId="77777777" w:rsidR="00CF7929" w:rsidRPr="003536D7" w:rsidRDefault="00CF7929" w:rsidP="00684EB1">
            <w:pPr>
              <w:pStyle w:val="Kpalrstbank"/>
            </w:pPr>
            <w:r w:rsidRPr="003536D7">
              <w:t>Forrás: KSH, Takarékbank előrejelzés (árnyékolt terület)</w:t>
            </w:r>
          </w:p>
        </w:tc>
      </w:tr>
    </w:tbl>
    <w:p w14:paraId="2F2DE337" w14:textId="77777777" w:rsidR="001C1A78" w:rsidRDefault="0040696B" w:rsidP="00FD658E">
      <w:pPr>
        <w:spacing w:before="120" w:after="120" w:line="360" w:lineRule="auto"/>
        <w:jc w:val="both"/>
        <w:rPr>
          <w:rFonts w:ascii="Arial" w:hAnsi="Arial" w:cs="Arial"/>
          <w:sz w:val="20"/>
          <w:szCs w:val="20"/>
        </w:rPr>
      </w:pPr>
      <w:r w:rsidRPr="0040696B">
        <w:rPr>
          <w:rFonts w:ascii="Arial" w:hAnsi="Arial" w:cs="Arial"/>
          <w:bCs/>
          <w:sz w:val="20"/>
          <w:szCs w:val="20"/>
        </w:rPr>
        <w:t xml:space="preserve">Az ipari termelés 2020 októberéig teljesen kilábalt a járvány okozta válságból, a további lendületes növekedést azonban a chiphiány fékezi, így ismét a járvány előtti szint alá esett az ipari termelés. Novemberben </w:t>
      </w:r>
      <w:r w:rsidRPr="0040696B">
        <w:rPr>
          <w:rFonts w:ascii="Arial" w:hAnsi="Arial" w:cs="Arial"/>
          <w:b/>
          <w:bCs/>
          <w:sz w:val="20"/>
          <w:szCs w:val="20"/>
        </w:rPr>
        <w:t>a 2020 áprilisi mélyponthoz képest 63,7%-kal nőtt</w:t>
      </w:r>
      <w:r w:rsidRPr="0040696B">
        <w:rPr>
          <w:rFonts w:ascii="Arial" w:hAnsi="Arial" w:cs="Arial"/>
          <w:bCs/>
          <w:sz w:val="20"/>
          <w:szCs w:val="20"/>
        </w:rPr>
        <w:t xml:space="preserve"> az ipari termelés. 2015. évi átlaghoz viszonyítva 19,8%-kal bővült az ipari termelés, míg 42,3%-kal haladja meg a 2010. évi átlagos termelési szintet, így az ipari termelés történelmi csúcs közelében maradt. Az első tíz hónapban 9,9%-kal bővült az ipari termelés.</w:t>
      </w:r>
    </w:p>
    <w:p w14:paraId="0E72890E" w14:textId="77777777" w:rsidR="0040696B" w:rsidRDefault="0040696B" w:rsidP="00316464">
      <w:pPr>
        <w:spacing w:before="120" w:after="120" w:line="360" w:lineRule="auto"/>
        <w:jc w:val="both"/>
        <w:rPr>
          <w:rFonts w:ascii="Arial" w:hAnsi="Arial" w:cs="Arial"/>
          <w:bCs/>
          <w:sz w:val="20"/>
          <w:szCs w:val="20"/>
        </w:rPr>
      </w:pPr>
      <w:r w:rsidRPr="0040696B">
        <w:rPr>
          <w:rFonts w:ascii="Arial" w:hAnsi="Arial" w:cs="Arial"/>
          <w:bCs/>
          <w:sz w:val="20"/>
          <w:szCs w:val="20"/>
        </w:rPr>
        <w:t xml:space="preserve">Az autógyárak termelése 2020 októberében már meghaladta a járvány előtti szintet, azonban tavaly augusztusban már 36%-kal alulmúlta, így mintegy </w:t>
      </w:r>
      <w:r w:rsidRPr="0040696B">
        <w:rPr>
          <w:rFonts w:ascii="Arial" w:hAnsi="Arial" w:cs="Arial"/>
          <w:b/>
          <w:bCs/>
          <w:sz w:val="20"/>
          <w:szCs w:val="20"/>
        </w:rPr>
        <w:t>10 százalékponttal mérsékelte az ipari termelés volumenét</w:t>
      </w:r>
      <w:r w:rsidRPr="0040696B">
        <w:rPr>
          <w:rFonts w:ascii="Arial" w:hAnsi="Arial" w:cs="Arial"/>
          <w:bCs/>
          <w:sz w:val="20"/>
          <w:szCs w:val="20"/>
        </w:rPr>
        <w:t xml:space="preserve">. A chiphiány ellenére azonban bíztató, hogy </w:t>
      </w:r>
      <w:r w:rsidRPr="0040696B">
        <w:rPr>
          <w:rFonts w:ascii="Arial" w:hAnsi="Arial" w:cs="Arial"/>
          <w:b/>
          <w:bCs/>
          <w:sz w:val="20"/>
          <w:szCs w:val="20"/>
        </w:rPr>
        <w:t>a járműgyártás új rendelései, valamint rendelésállománya</w:t>
      </w:r>
      <w:r w:rsidRPr="0040696B">
        <w:rPr>
          <w:rFonts w:ascii="Arial" w:hAnsi="Arial" w:cs="Arial"/>
          <w:bCs/>
          <w:sz w:val="20"/>
          <w:szCs w:val="20"/>
        </w:rPr>
        <w:t xml:space="preserve"> a tavalyelőtti őszi hónapoktól </w:t>
      </w:r>
      <w:r w:rsidRPr="0040696B">
        <w:rPr>
          <w:rFonts w:ascii="Arial" w:hAnsi="Arial" w:cs="Arial"/>
          <w:b/>
          <w:bCs/>
          <w:sz w:val="20"/>
          <w:szCs w:val="20"/>
        </w:rPr>
        <w:t>jelentősen emelkedett</w:t>
      </w:r>
      <w:r w:rsidRPr="0040696B">
        <w:rPr>
          <w:rFonts w:ascii="Arial" w:hAnsi="Arial" w:cs="Arial"/>
          <w:bCs/>
          <w:sz w:val="20"/>
          <w:szCs w:val="20"/>
        </w:rPr>
        <w:t xml:space="preserve">, az autógyártók a 2020 harmadik negyedévétől kifejezetten kedvező eredményekről számoltak be – és a járvány miatti bizonytalanságok mellett – rendkívül kedvezőnek látták a rövidtávú keresleti kilátásokat, amit azonban a chiphiány, és más ellátási és szállítási nehézségek jelentősen beárnyékolnak, így </w:t>
      </w:r>
      <w:r w:rsidRPr="0040696B">
        <w:rPr>
          <w:rFonts w:ascii="Arial" w:hAnsi="Arial" w:cs="Arial"/>
          <w:b/>
          <w:bCs/>
          <w:sz w:val="20"/>
          <w:szCs w:val="20"/>
        </w:rPr>
        <w:t>nem tudják teljesíteni a megrendeléseket</w:t>
      </w:r>
      <w:r w:rsidRPr="0040696B">
        <w:rPr>
          <w:rFonts w:ascii="Arial" w:hAnsi="Arial" w:cs="Arial"/>
          <w:bCs/>
          <w:sz w:val="20"/>
          <w:szCs w:val="20"/>
        </w:rPr>
        <w:t xml:space="preserve">. Az autógyártók a szűk beszállítói kapacitások miatt rövidtávon elsősorban a drágább, nagyobb </w:t>
      </w:r>
      <w:proofErr w:type="spellStart"/>
      <w:r w:rsidRPr="0040696B">
        <w:rPr>
          <w:rFonts w:ascii="Arial" w:hAnsi="Arial" w:cs="Arial"/>
          <w:bCs/>
          <w:sz w:val="20"/>
          <w:szCs w:val="20"/>
        </w:rPr>
        <w:t>profitmarzzsal</w:t>
      </w:r>
      <w:proofErr w:type="spellEnd"/>
      <w:r w:rsidRPr="0040696B">
        <w:rPr>
          <w:rFonts w:ascii="Arial" w:hAnsi="Arial" w:cs="Arial"/>
          <w:bCs/>
          <w:sz w:val="20"/>
          <w:szCs w:val="20"/>
        </w:rPr>
        <w:t xml:space="preserve"> rendelkező modellek rendeléseit teljesítik. A német ipar gyengélkedése ellenére </w:t>
      </w:r>
      <w:r>
        <w:rPr>
          <w:rFonts w:ascii="Arial" w:hAnsi="Arial" w:cs="Arial"/>
          <w:bCs/>
          <w:sz w:val="20"/>
          <w:szCs w:val="20"/>
        </w:rPr>
        <w:t>a</w:t>
      </w:r>
      <w:r w:rsidRPr="0040696B">
        <w:rPr>
          <w:rFonts w:ascii="Arial" w:hAnsi="Arial" w:cs="Arial"/>
          <w:bCs/>
          <w:sz w:val="20"/>
          <w:szCs w:val="20"/>
        </w:rPr>
        <w:t xml:space="preserve"> német feldolgozóipari beszerzési menedzser index továbbra is magas, noha némileg mérséklődött a tavaly márciusi történelmi csúcshoz képest, az euró-övezeti pedig </w:t>
      </w:r>
      <w:r>
        <w:rPr>
          <w:rFonts w:ascii="Arial" w:hAnsi="Arial" w:cs="Arial"/>
          <w:bCs/>
          <w:sz w:val="20"/>
          <w:szCs w:val="20"/>
        </w:rPr>
        <w:t xml:space="preserve">a </w:t>
      </w:r>
      <w:r w:rsidRPr="0040696B">
        <w:rPr>
          <w:rFonts w:ascii="Arial" w:hAnsi="Arial" w:cs="Arial"/>
          <w:bCs/>
          <w:sz w:val="20"/>
          <w:szCs w:val="20"/>
        </w:rPr>
        <w:t xml:space="preserve">májusihoz képest, amit elsősorban a beszállítói láncok akadozása, a chiphiány és más alkatrészek, alapanyagok hiánya, valamint az elszálló termelési költségek okoztak. A német </w:t>
      </w:r>
      <w:r w:rsidRPr="0040696B">
        <w:rPr>
          <w:rFonts w:ascii="Arial" w:hAnsi="Arial" w:cs="Arial"/>
          <w:bCs/>
          <w:sz w:val="20"/>
          <w:szCs w:val="20"/>
        </w:rPr>
        <w:lastRenderedPageBreak/>
        <w:t>ipari rendelésállományok mindenesetre olyan magas szinten állnak, hogy a beszállítói problémák enyhülése azonnal éles felpattanást eredményezhetne.</w:t>
      </w:r>
    </w:p>
    <w:p w14:paraId="5B0089EB" w14:textId="77777777" w:rsidR="00721B4A" w:rsidRPr="0040696B" w:rsidRDefault="0040696B" w:rsidP="00316464">
      <w:pPr>
        <w:spacing w:before="120" w:after="120" w:line="360" w:lineRule="auto"/>
        <w:jc w:val="both"/>
        <w:rPr>
          <w:rFonts w:ascii="Arial" w:hAnsi="Arial" w:cs="Arial"/>
          <w:sz w:val="20"/>
          <w:szCs w:val="20"/>
        </w:rPr>
      </w:pPr>
      <w:r w:rsidRPr="0040696B">
        <w:rPr>
          <w:rFonts w:ascii="Arial" w:hAnsi="Arial" w:cs="Arial"/>
          <w:bCs/>
          <w:sz w:val="20"/>
          <w:szCs w:val="20"/>
        </w:rPr>
        <w:t xml:space="preserve">A következő hónapokban </w:t>
      </w:r>
      <w:r w:rsidRPr="0040696B">
        <w:rPr>
          <w:rFonts w:ascii="Arial" w:hAnsi="Arial" w:cs="Arial"/>
          <w:b/>
          <w:bCs/>
          <w:sz w:val="20"/>
          <w:szCs w:val="20"/>
        </w:rPr>
        <w:t>újra növekedési pályára állhat az ipari termelés</w:t>
      </w:r>
      <w:r w:rsidRPr="0040696B">
        <w:rPr>
          <w:rFonts w:ascii="Arial" w:hAnsi="Arial" w:cs="Arial"/>
          <w:bCs/>
          <w:sz w:val="20"/>
          <w:szCs w:val="20"/>
        </w:rPr>
        <w:t xml:space="preserve">, azonban </w:t>
      </w:r>
      <w:r w:rsidRPr="0040696B">
        <w:rPr>
          <w:rFonts w:ascii="Arial" w:hAnsi="Arial" w:cs="Arial"/>
          <w:b/>
          <w:bCs/>
          <w:sz w:val="20"/>
          <w:szCs w:val="20"/>
        </w:rPr>
        <w:t>a félvezetőhiány még sokiág fennmaradhat</w:t>
      </w:r>
      <w:r w:rsidRPr="0040696B">
        <w:rPr>
          <w:rFonts w:ascii="Arial" w:hAnsi="Arial" w:cs="Arial"/>
          <w:bCs/>
          <w:sz w:val="20"/>
          <w:szCs w:val="20"/>
        </w:rPr>
        <w:t xml:space="preserve">, amit csak minimálisan enyhíthet, hogy az </w:t>
      </w:r>
      <w:proofErr w:type="spellStart"/>
      <w:r w:rsidRPr="0040696B">
        <w:rPr>
          <w:rFonts w:ascii="Arial" w:hAnsi="Arial" w:cs="Arial"/>
          <w:bCs/>
          <w:sz w:val="20"/>
          <w:szCs w:val="20"/>
        </w:rPr>
        <w:t>Infineon</w:t>
      </w:r>
      <w:proofErr w:type="spellEnd"/>
      <w:r w:rsidRPr="0040696B">
        <w:rPr>
          <w:rFonts w:ascii="Arial" w:hAnsi="Arial" w:cs="Arial"/>
          <w:bCs/>
          <w:sz w:val="20"/>
          <w:szCs w:val="20"/>
        </w:rPr>
        <w:t xml:space="preserve"> a közelmúltban Ausztriában nyitott egy új üzemet. </w:t>
      </w:r>
      <w:r w:rsidRPr="0040696B">
        <w:rPr>
          <w:rFonts w:ascii="Arial" w:hAnsi="Arial" w:cs="Arial"/>
          <w:b/>
          <w:bCs/>
          <w:sz w:val="20"/>
          <w:szCs w:val="20"/>
        </w:rPr>
        <w:t xml:space="preserve">Az autógyártók ugyanakkor abban bíznak, hogy a chiphiány a második félévben már érdemben enyhülhet új chipgyártó kapacitások üzembe helyezésének köszönhetően, ami meredek felpattanást okozhatna az ipari termelésben. </w:t>
      </w:r>
      <w:r w:rsidRPr="0040696B">
        <w:rPr>
          <w:rFonts w:ascii="Arial" w:hAnsi="Arial" w:cs="Arial"/>
          <w:bCs/>
          <w:sz w:val="20"/>
          <w:szCs w:val="20"/>
        </w:rPr>
        <w:t xml:space="preserve">A beszállótói láncok szakadozása továbbra is jelentős kockázatot jelenthet, csakúgy, mint számos nyersanyag és az energia árainak elszállása, aminek következtében más ágazatokban, így például a műtrágya gyártásban is leállásokat eredményezhet. A külső keresletet a helyreálló európai és amerikai gazdaságok, az európai helyreállítási alap, az amerikai költségvetési élénkítések is húzhatják. Ugyanakkor továbbra is élénkítheti az ipart az elhalasztott kereslet megjelenése, valamint a készletek feltöltése is, így a következő hónapokban fokozatos élénkülésre számítunk az ipari termelésben, amit új – főleg az akkumulátorgyártáshoz és autóiparhoz kapcsolódó – kapacitások várható üzembe helyezése is támogathat. </w:t>
      </w:r>
      <w:r>
        <w:rPr>
          <w:rFonts w:ascii="Arial" w:hAnsi="Arial" w:cs="Arial"/>
          <w:b/>
          <w:bCs/>
          <w:sz w:val="20"/>
          <w:szCs w:val="20"/>
        </w:rPr>
        <w:t>Tavaly</w:t>
      </w:r>
      <w:r w:rsidRPr="0040696B">
        <w:rPr>
          <w:rFonts w:ascii="Arial" w:hAnsi="Arial" w:cs="Arial"/>
          <w:b/>
          <w:bCs/>
          <w:sz w:val="20"/>
          <w:szCs w:val="20"/>
        </w:rPr>
        <w:t xml:space="preserve"> bázishatások és új kapacitások üzembe helyezése miatt 10%-os növekedés várható, amit </w:t>
      </w:r>
      <w:r>
        <w:rPr>
          <w:rFonts w:ascii="Arial" w:hAnsi="Arial" w:cs="Arial"/>
          <w:b/>
          <w:bCs/>
          <w:sz w:val="20"/>
          <w:szCs w:val="20"/>
        </w:rPr>
        <w:t>idén</w:t>
      </w:r>
      <w:r w:rsidRPr="0040696B">
        <w:rPr>
          <w:rFonts w:ascii="Arial" w:hAnsi="Arial" w:cs="Arial"/>
          <w:b/>
          <w:bCs/>
          <w:sz w:val="20"/>
          <w:szCs w:val="20"/>
        </w:rPr>
        <w:t xml:space="preserve"> 5-6%-os növekedés követhet.</w:t>
      </w:r>
      <w:r w:rsidR="00721B4A" w:rsidRPr="0040696B">
        <w:rPr>
          <w:rFonts w:ascii="Arial" w:hAnsi="Arial" w:cs="Arial"/>
          <w:bCs/>
          <w:sz w:val="20"/>
          <w:szCs w:val="20"/>
        </w:rPr>
        <w:t xml:space="preserve"> </w:t>
      </w:r>
      <w:r w:rsidR="00721B4A" w:rsidRPr="0040696B">
        <w:rPr>
          <w:rFonts w:ascii="Arial" w:hAnsi="Arial" w:cs="Arial"/>
          <w:sz w:val="20"/>
          <w:szCs w:val="20"/>
        </w:rPr>
        <w:t xml:space="preserve"> </w:t>
      </w:r>
    </w:p>
    <w:p w14:paraId="3EB7E02D" w14:textId="77777777" w:rsidR="005C518C" w:rsidRPr="007661C6" w:rsidRDefault="005C518C" w:rsidP="007661C6">
      <w:pPr>
        <w:spacing w:before="120" w:after="120" w:line="360" w:lineRule="auto"/>
        <w:jc w:val="both"/>
        <w:rPr>
          <w:rFonts w:ascii="Arial" w:hAnsi="Arial" w:cs="Arial"/>
          <w:b/>
          <w:sz w:val="20"/>
          <w:szCs w:val="20"/>
        </w:rPr>
      </w:pPr>
      <w:r w:rsidRPr="007661C6">
        <w:rPr>
          <w:rFonts w:ascii="Arial" w:hAnsi="Arial" w:cs="Arial"/>
          <w:sz w:val="20"/>
          <w:szCs w:val="20"/>
        </w:rPr>
        <w:t xml:space="preserve">A részletes adatok szerint </w:t>
      </w:r>
      <w:r w:rsidR="00792F84">
        <w:rPr>
          <w:rFonts w:ascii="Arial" w:hAnsi="Arial" w:cs="Arial"/>
          <w:sz w:val="20"/>
          <w:szCs w:val="20"/>
        </w:rPr>
        <w:t>novemberben</w:t>
      </w:r>
      <w:r w:rsidRPr="007661C6">
        <w:rPr>
          <w:rFonts w:ascii="Arial" w:hAnsi="Arial" w:cs="Arial"/>
          <w:sz w:val="20"/>
          <w:szCs w:val="20"/>
        </w:rPr>
        <w:t xml:space="preserve"> </w:t>
      </w:r>
      <w:r w:rsidR="001F2D22">
        <w:rPr>
          <w:rFonts w:ascii="Arial" w:hAnsi="Arial" w:cs="Arial"/>
          <w:b/>
          <w:sz w:val="20"/>
          <w:szCs w:val="20"/>
        </w:rPr>
        <w:t xml:space="preserve">az ipar exportértékesítése </w:t>
      </w:r>
      <w:r w:rsidR="00792F84">
        <w:rPr>
          <w:rFonts w:ascii="Arial" w:hAnsi="Arial" w:cs="Arial"/>
          <w:b/>
          <w:sz w:val="20"/>
          <w:szCs w:val="20"/>
        </w:rPr>
        <w:t>0,4</w:t>
      </w:r>
      <w:r w:rsidRPr="007661C6">
        <w:rPr>
          <w:rFonts w:ascii="Arial" w:hAnsi="Arial" w:cs="Arial"/>
          <w:b/>
          <w:sz w:val="20"/>
          <w:szCs w:val="20"/>
        </w:rPr>
        <w:t>%-kal</w:t>
      </w:r>
      <w:r w:rsidR="00792F84">
        <w:rPr>
          <w:rFonts w:ascii="Arial" w:hAnsi="Arial" w:cs="Arial"/>
          <w:b/>
          <w:sz w:val="20"/>
          <w:szCs w:val="20"/>
        </w:rPr>
        <w:t xml:space="preserve"> csökkent</w:t>
      </w:r>
      <w:r w:rsidRPr="007661C6">
        <w:rPr>
          <w:rFonts w:ascii="Arial" w:hAnsi="Arial" w:cs="Arial"/>
          <w:sz w:val="20"/>
          <w:szCs w:val="20"/>
        </w:rPr>
        <w:t xml:space="preserve">, </w:t>
      </w:r>
      <w:r w:rsidRPr="007661C6">
        <w:rPr>
          <w:rFonts w:ascii="Arial" w:hAnsi="Arial" w:cs="Arial"/>
          <w:b/>
          <w:sz w:val="20"/>
          <w:szCs w:val="20"/>
        </w:rPr>
        <w:t xml:space="preserve">míg a belföldi eladások </w:t>
      </w:r>
      <w:r w:rsidR="00792F84">
        <w:rPr>
          <w:rFonts w:ascii="Arial" w:hAnsi="Arial" w:cs="Arial"/>
          <w:b/>
          <w:sz w:val="20"/>
          <w:szCs w:val="20"/>
        </w:rPr>
        <w:t>6,9</w:t>
      </w:r>
      <w:r w:rsidRPr="007661C6">
        <w:rPr>
          <w:rFonts w:ascii="Arial" w:hAnsi="Arial" w:cs="Arial"/>
          <w:b/>
          <w:sz w:val="20"/>
          <w:szCs w:val="20"/>
        </w:rPr>
        <w:t xml:space="preserve">%-kal </w:t>
      </w:r>
      <w:r w:rsidR="000469EA">
        <w:rPr>
          <w:rFonts w:ascii="Arial" w:hAnsi="Arial" w:cs="Arial"/>
          <w:b/>
          <w:sz w:val="20"/>
          <w:szCs w:val="20"/>
        </w:rPr>
        <w:t>nőttek</w:t>
      </w:r>
      <w:r w:rsidRPr="007661C6">
        <w:rPr>
          <w:rFonts w:ascii="Arial" w:hAnsi="Arial" w:cs="Arial"/>
          <w:sz w:val="20"/>
          <w:szCs w:val="20"/>
        </w:rPr>
        <w:t xml:space="preserve"> az egy évvel korábbi adatokhoz képest. Ez utóbbin belül a feldolgozóipari eladások </w:t>
      </w:r>
      <w:r w:rsidR="00792F84">
        <w:rPr>
          <w:rFonts w:ascii="Arial" w:hAnsi="Arial" w:cs="Arial"/>
          <w:sz w:val="20"/>
          <w:szCs w:val="20"/>
        </w:rPr>
        <w:t>11,3</w:t>
      </w:r>
      <w:r w:rsidRPr="007661C6">
        <w:rPr>
          <w:rFonts w:ascii="Arial" w:hAnsi="Arial" w:cs="Arial"/>
          <w:sz w:val="20"/>
          <w:szCs w:val="20"/>
        </w:rPr>
        <w:t xml:space="preserve">%-kal </w:t>
      </w:r>
      <w:r w:rsidR="001F2D22">
        <w:rPr>
          <w:rFonts w:ascii="Arial" w:hAnsi="Arial" w:cs="Arial"/>
          <w:sz w:val="20"/>
          <w:szCs w:val="20"/>
        </w:rPr>
        <w:t>nőttek</w:t>
      </w:r>
      <w:r w:rsidRPr="007661C6">
        <w:rPr>
          <w:rFonts w:ascii="Arial" w:hAnsi="Arial" w:cs="Arial"/>
          <w:sz w:val="20"/>
          <w:szCs w:val="20"/>
        </w:rPr>
        <w:t xml:space="preserve"> az egy évvel korábbihoz képest. Az ipar ágai közül </w:t>
      </w:r>
      <w:r w:rsidRPr="007661C6">
        <w:rPr>
          <w:rFonts w:ascii="Arial" w:hAnsi="Arial" w:cs="Arial"/>
          <w:b/>
          <w:sz w:val="20"/>
          <w:szCs w:val="20"/>
        </w:rPr>
        <w:t xml:space="preserve">a feldolgozóipari termelés </w:t>
      </w:r>
      <w:r w:rsidR="00792F84">
        <w:rPr>
          <w:rFonts w:ascii="Arial" w:hAnsi="Arial" w:cs="Arial"/>
          <w:b/>
          <w:sz w:val="20"/>
          <w:szCs w:val="20"/>
        </w:rPr>
        <w:t>1,3</w:t>
      </w:r>
      <w:r w:rsidRPr="007661C6">
        <w:rPr>
          <w:rFonts w:ascii="Arial" w:hAnsi="Arial" w:cs="Arial"/>
          <w:b/>
          <w:sz w:val="20"/>
          <w:szCs w:val="20"/>
        </w:rPr>
        <w:t>%-kal</w:t>
      </w:r>
      <w:r w:rsidR="000469EA">
        <w:rPr>
          <w:rFonts w:ascii="Arial" w:hAnsi="Arial" w:cs="Arial"/>
          <w:b/>
          <w:sz w:val="20"/>
          <w:szCs w:val="20"/>
        </w:rPr>
        <w:t xml:space="preserve"> nőtt</w:t>
      </w:r>
      <w:r w:rsidRPr="007661C6">
        <w:rPr>
          <w:rFonts w:ascii="Arial" w:hAnsi="Arial" w:cs="Arial"/>
          <w:b/>
          <w:sz w:val="20"/>
          <w:szCs w:val="20"/>
        </w:rPr>
        <w:t>,</w:t>
      </w:r>
      <w:r w:rsidR="00792F84">
        <w:rPr>
          <w:rFonts w:ascii="Arial" w:hAnsi="Arial" w:cs="Arial"/>
          <w:sz w:val="20"/>
          <w:szCs w:val="20"/>
        </w:rPr>
        <w:t xml:space="preserve"> a bányászat 3</w:t>
      </w:r>
      <w:r w:rsidR="00C66E70">
        <w:rPr>
          <w:rFonts w:ascii="Arial" w:hAnsi="Arial" w:cs="Arial"/>
          <w:sz w:val="20"/>
          <w:szCs w:val="20"/>
        </w:rPr>
        <w:t>7</w:t>
      </w:r>
      <w:r w:rsidRPr="007661C6">
        <w:rPr>
          <w:rFonts w:ascii="Arial" w:hAnsi="Arial" w:cs="Arial"/>
          <w:sz w:val="20"/>
          <w:szCs w:val="20"/>
        </w:rPr>
        <w:t xml:space="preserve">%-kal, míg az energiaipar </w:t>
      </w:r>
      <w:r w:rsidR="001F2D22">
        <w:rPr>
          <w:rFonts w:ascii="Arial" w:hAnsi="Arial" w:cs="Arial"/>
          <w:sz w:val="20"/>
          <w:szCs w:val="20"/>
        </w:rPr>
        <w:t xml:space="preserve">kibocsátása </w:t>
      </w:r>
      <w:r w:rsidR="00792F84">
        <w:rPr>
          <w:rFonts w:ascii="Arial" w:hAnsi="Arial" w:cs="Arial"/>
          <w:sz w:val="20"/>
          <w:szCs w:val="20"/>
        </w:rPr>
        <w:t>10,1</w:t>
      </w:r>
      <w:r w:rsidRPr="007661C6">
        <w:rPr>
          <w:rFonts w:ascii="Arial" w:hAnsi="Arial" w:cs="Arial"/>
          <w:sz w:val="20"/>
          <w:szCs w:val="20"/>
        </w:rPr>
        <w:t xml:space="preserve">%-kal </w:t>
      </w:r>
      <w:r w:rsidR="000469EA">
        <w:rPr>
          <w:rFonts w:ascii="Arial" w:hAnsi="Arial" w:cs="Arial"/>
          <w:sz w:val="20"/>
          <w:szCs w:val="20"/>
        </w:rPr>
        <w:t>emelkedett</w:t>
      </w:r>
      <w:r w:rsidRPr="007661C6">
        <w:rPr>
          <w:rFonts w:ascii="Arial" w:hAnsi="Arial" w:cs="Arial"/>
          <w:sz w:val="20"/>
          <w:szCs w:val="20"/>
        </w:rPr>
        <w:t xml:space="preserve">. A feldolgozóipar tizenhárom </w:t>
      </w:r>
      <w:proofErr w:type="spellStart"/>
      <w:r w:rsidRPr="007661C6">
        <w:rPr>
          <w:rFonts w:ascii="Arial" w:hAnsi="Arial" w:cs="Arial"/>
          <w:sz w:val="20"/>
          <w:szCs w:val="20"/>
        </w:rPr>
        <w:t>alága</w:t>
      </w:r>
      <w:proofErr w:type="spellEnd"/>
      <w:r w:rsidRPr="007661C6">
        <w:rPr>
          <w:rFonts w:ascii="Arial" w:hAnsi="Arial" w:cs="Arial"/>
          <w:sz w:val="20"/>
          <w:szCs w:val="20"/>
        </w:rPr>
        <w:t xml:space="preserve"> közül </w:t>
      </w:r>
      <w:r w:rsidR="00E15BFE">
        <w:rPr>
          <w:rFonts w:ascii="Arial" w:hAnsi="Arial" w:cs="Arial"/>
          <w:sz w:val="20"/>
          <w:szCs w:val="20"/>
        </w:rPr>
        <w:t xml:space="preserve">a </w:t>
      </w:r>
      <w:r w:rsidR="00792F84">
        <w:rPr>
          <w:rFonts w:ascii="Arial" w:hAnsi="Arial" w:cs="Arial"/>
          <w:sz w:val="20"/>
          <w:szCs w:val="20"/>
        </w:rPr>
        <w:t>nyolc</w:t>
      </w:r>
      <w:r w:rsidRPr="007661C6">
        <w:rPr>
          <w:rFonts w:ascii="Arial" w:hAnsi="Arial" w:cs="Arial"/>
          <w:sz w:val="20"/>
          <w:szCs w:val="20"/>
        </w:rPr>
        <w:t xml:space="preserve"> növekedett. </w:t>
      </w:r>
      <w:r w:rsidRPr="007661C6">
        <w:rPr>
          <w:rFonts w:ascii="Arial" w:hAnsi="Arial" w:cs="Arial"/>
          <w:b/>
          <w:sz w:val="20"/>
          <w:szCs w:val="20"/>
        </w:rPr>
        <w:t xml:space="preserve">A járműipar kibocsátása </w:t>
      </w:r>
      <w:r w:rsidR="00792F84">
        <w:rPr>
          <w:rFonts w:ascii="Arial" w:hAnsi="Arial" w:cs="Arial"/>
          <w:b/>
          <w:sz w:val="20"/>
          <w:szCs w:val="20"/>
        </w:rPr>
        <w:t>15,1</w:t>
      </w:r>
      <w:r w:rsidR="00E068D5">
        <w:rPr>
          <w:rFonts w:ascii="Arial" w:hAnsi="Arial" w:cs="Arial"/>
          <w:b/>
          <w:sz w:val="20"/>
          <w:szCs w:val="20"/>
        </w:rPr>
        <w:t xml:space="preserve">%-kal </w:t>
      </w:r>
      <w:r w:rsidR="00AC377C">
        <w:rPr>
          <w:rFonts w:ascii="Arial" w:hAnsi="Arial" w:cs="Arial"/>
          <w:b/>
          <w:sz w:val="20"/>
          <w:szCs w:val="20"/>
        </w:rPr>
        <w:t>csökkent</w:t>
      </w:r>
      <w:r w:rsidR="00792F84">
        <w:rPr>
          <w:rFonts w:ascii="Arial" w:hAnsi="Arial" w:cs="Arial"/>
          <w:b/>
          <w:sz w:val="20"/>
          <w:szCs w:val="20"/>
        </w:rPr>
        <w:t>, mivel a globális félvezetőhiány miatt a gyárak kisebb kapacitással, illetve egyműszakos munkarendben dolgoztak. Enélkül az ipari termelés növekedése 5-6 százalékponttal lehetett volna magasabb</w:t>
      </w:r>
      <w:r w:rsidRPr="007661C6">
        <w:rPr>
          <w:rFonts w:ascii="Arial" w:hAnsi="Arial" w:cs="Arial"/>
          <w:sz w:val="20"/>
          <w:szCs w:val="20"/>
        </w:rPr>
        <w:t>. A</w:t>
      </w:r>
      <w:r w:rsidR="00AC377C" w:rsidRPr="00AC377C">
        <w:rPr>
          <w:rFonts w:ascii="Arial" w:hAnsi="Arial" w:cs="Arial"/>
          <w:b/>
          <w:sz w:val="20"/>
          <w:szCs w:val="20"/>
        </w:rPr>
        <w:t xml:space="preserve"> </w:t>
      </w:r>
      <w:r w:rsidR="00AC377C" w:rsidRPr="007661C6">
        <w:rPr>
          <w:rFonts w:ascii="Arial" w:hAnsi="Arial" w:cs="Arial"/>
          <w:b/>
          <w:sz w:val="20"/>
          <w:szCs w:val="20"/>
        </w:rPr>
        <w:t>közúti gépjármű</w:t>
      </w:r>
      <w:r w:rsidR="00AC377C">
        <w:rPr>
          <w:rFonts w:ascii="Arial" w:hAnsi="Arial" w:cs="Arial"/>
          <w:b/>
          <w:sz w:val="20"/>
          <w:szCs w:val="20"/>
        </w:rPr>
        <w:t xml:space="preserve"> gyártásának</w:t>
      </w:r>
      <w:r w:rsidRPr="007661C6">
        <w:rPr>
          <w:rFonts w:ascii="Arial" w:hAnsi="Arial" w:cs="Arial"/>
          <w:sz w:val="20"/>
          <w:szCs w:val="20"/>
        </w:rPr>
        <w:t xml:space="preserve"> </w:t>
      </w:r>
      <w:r w:rsidR="00E068D5">
        <w:rPr>
          <w:rFonts w:ascii="Arial" w:hAnsi="Arial" w:cs="Arial"/>
          <w:sz w:val="20"/>
          <w:szCs w:val="20"/>
        </w:rPr>
        <w:t xml:space="preserve">volumene </w:t>
      </w:r>
      <w:r w:rsidR="00792F84">
        <w:rPr>
          <w:rFonts w:ascii="Arial" w:hAnsi="Arial" w:cs="Arial"/>
          <w:b/>
          <w:sz w:val="20"/>
          <w:szCs w:val="20"/>
        </w:rPr>
        <w:t>11,5</w:t>
      </w:r>
      <w:r w:rsidR="00AC377C">
        <w:rPr>
          <w:rFonts w:ascii="Arial" w:hAnsi="Arial" w:cs="Arial"/>
          <w:b/>
          <w:sz w:val="20"/>
          <w:szCs w:val="20"/>
        </w:rPr>
        <w:t>%-kal</w:t>
      </w:r>
      <w:r w:rsidRPr="007661C6">
        <w:rPr>
          <w:rFonts w:ascii="Arial" w:hAnsi="Arial" w:cs="Arial"/>
          <w:sz w:val="20"/>
          <w:szCs w:val="20"/>
        </w:rPr>
        <w:t xml:space="preserve">, </w:t>
      </w:r>
      <w:r w:rsidR="00E068D5">
        <w:rPr>
          <w:rFonts w:ascii="Arial" w:hAnsi="Arial" w:cs="Arial"/>
          <w:sz w:val="20"/>
          <w:szCs w:val="20"/>
        </w:rPr>
        <w:t>míg</w:t>
      </w:r>
      <w:r w:rsidRPr="007661C6">
        <w:rPr>
          <w:rFonts w:ascii="Arial" w:hAnsi="Arial" w:cs="Arial"/>
          <w:sz w:val="20"/>
          <w:szCs w:val="20"/>
        </w:rPr>
        <w:t xml:space="preserve"> </w:t>
      </w:r>
      <w:r w:rsidRPr="007661C6">
        <w:rPr>
          <w:rFonts w:ascii="Arial" w:hAnsi="Arial" w:cs="Arial"/>
          <w:b/>
          <w:sz w:val="20"/>
          <w:szCs w:val="20"/>
        </w:rPr>
        <w:t>a</w:t>
      </w:r>
      <w:r w:rsidR="00AC377C">
        <w:rPr>
          <w:rFonts w:ascii="Arial" w:hAnsi="Arial" w:cs="Arial"/>
          <w:b/>
          <w:sz w:val="20"/>
          <w:szCs w:val="20"/>
        </w:rPr>
        <w:t xml:space="preserve"> közúti jármű alkatrészeinek</w:t>
      </w:r>
      <w:r w:rsidRPr="007661C6">
        <w:rPr>
          <w:rFonts w:ascii="Arial" w:hAnsi="Arial" w:cs="Arial"/>
          <w:b/>
          <w:sz w:val="20"/>
          <w:szCs w:val="20"/>
        </w:rPr>
        <w:t xml:space="preserve"> gyá</w:t>
      </w:r>
      <w:r w:rsidR="00AC377C">
        <w:rPr>
          <w:rFonts w:ascii="Arial" w:hAnsi="Arial" w:cs="Arial"/>
          <w:b/>
          <w:sz w:val="20"/>
          <w:szCs w:val="20"/>
        </w:rPr>
        <w:t>rtása</w:t>
      </w:r>
      <w:r w:rsidR="001F2D22">
        <w:rPr>
          <w:rFonts w:ascii="Arial" w:hAnsi="Arial" w:cs="Arial"/>
          <w:b/>
          <w:sz w:val="20"/>
          <w:szCs w:val="20"/>
        </w:rPr>
        <w:t xml:space="preserve"> </w:t>
      </w:r>
      <w:r w:rsidR="00792F84">
        <w:rPr>
          <w:rFonts w:ascii="Arial" w:hAnsi="Arial" w:cs="Arial"/>
          <w:b/>
          <w:sz w:val="20"/>
          <w:szCs w:val="20"/>
        </w:rPr>
        <w:t>21</w:t>
      </w:r>
      <w:r w:rsidR="00AC377C">
        <w:rPr>
          <w:rFonts w:ascii="Arial" w:hAnsi="Arial" w:cs="Arial"/>
          <w:b/>
          <w:sz w:val="20"/>
          <w:szCs w:val="20"/>
        </w:rPr>
        <w:t>%-kal esett vissza</w:t>
      </w:r>
      <w:r w:rsidRPr="007661C6">
        <w:rPr>
          <w:rFonts w:ascii="Arial" w:hAnsi="Arial" w:cs="Arial"/>
          <w:sz w:val="20"/>
          <w:szCs w:val="20"/>
        </w:rPr>
        <w:t xml:space="preserve">. A számítógép, elektronikai, optikai termékek gyártása </w:t>
      </w:r>
      <w:r w:rsidR="00792F84">
        <w:rPr>
          <w:rFonts w:ascii="Arial" w:hAnsi="Arial" w:cs="Arial"/>
          <w:sz w:val="20"/>
          <w:szCs w:val="20"/>
        </w:rPr>
        <w:t>2,1</w:t>
      </w:r>
      <w:r w:rsidRPr="007661C6">
        <w:rPr>
          <w:rFonts w:ascii="Arial" w:hAnsi="Arial" w:cs="Arial"/>
          <w:sz w:val="20"/>
          <w:szCs w:val="20"/>
        </w:rPr>
        <w:t xml:space="preserve">%-kal </w:t>
      </w:r>
      <w:r w:rsidR="00AC377C">
        <w:rPr>
          <w:rFonts w:ascii="Arial" w:hAnsi="Arial" w:cs="Arial"/>
          <w:sz w:val="20"/>
          <w:szCs w:val="20"/>
        </w:rPr>
        <w:t>csökkent</w:t>
      </w:r>
      <w:r w:rsidR="00792F84">
        <w:rPr>
          <w:rFonts w:ascii="Arial" w:hAnsi="Arial" w:cs="Arial"/>
          <w:sz w:val="20"/>
          <w:szCs w:val="20"/>
        </w:rPr>
        <w:t>, szintén a chip-, és alapanyaghiány miatt</w:t>
      </w:r>
      <w:r w:rsidRPr="007661C6">
        <w:rPr>
          <w:rFonts w:ascii="Arial" w:hAnsi="Arial" w:cs="Arial"/>
          <w:sz w:val="20"/>
          <w:szCs w:val="20"/>
        </w:rPr>
        <w:t>. A két legnagyobb alágazat közül az elektroni</w:t>
      </w:r>
      <w:r w:rsidR="00741920">
        <w:rPr>
          <w:rFonts w:ascii="Arial" w:hAnsi="Arial" w:cs="Arial"/>
          <w:sz w:val="20"/>
          <w:szCs w:val="20"/>
        </w:rPr>
        <w:t>k</w:t>
      </w:r>
      <w:r w:rsidR="00AC377C">
        <w:rPr>
          <w:rFonts w:ascii="Arial" w:hAnsi="Arial" w:cs="Arial"/>
          <w:sz w:val="20"/>
          <w:szCs w:val="20"/>
        </w:rPr>
        <w:t>u</w:t>
      </w:r>
      <w:r w:rsidR="00792F84">
        <w:rPr>
          <w:rFonts w:ascii="Arial" w:hAnsi="Arial" w:cs="Arial"/>
          <w:sz w:val="20"/>
          <w:szCs w:val="20"/>
        </w:rPr>
        <w:t>s fogyasztási cikk gyártása 4,6</w:t>
      </w:r>
      <w:r w:rsidR="00741920">
        <w:rPr>
          <w:rFonts w:ascii="Arial" w:hAnsi="Arial" w:cs="Arial"/>
          <w:sz w:val="20"/>
          <w:szCs w:val="20"/>
        </w:rPr>
        <w:t>%-kal</w:t>
      </w:r>
      <w:r w:rsidR="00792F84">
        <w:rPr>
          <w:rFonts w:ascii="Arial" w:hAnsi="Arial" w:cs="Arial"/>
          <w:sz w:val="20"/>
          <w:szCs w:val="20"/>
        </w:rPr>
        <w:t xml:space="preserve"> emelkedett</w:t>
      </w:r>
      <w:r w:rsidRPr="007661C6">
        <w:rPr>
          <w:rFonts w:ascii="Arial" w:hAnsi="Arial" w:cs="Arial"/>
          <w:sz w:val="20"/>
          <w:szCs w:val="20"/>
        </w:rPr>
        <w:t>, míg a kisebb súlyú elektronikai alkatr</w:t>
      </w:r>
      <w:r w:rsidR="00E068D5">
        <w:rPr>
          <w:rFonts w:ascii="Arial" w:hAnsi="Arial" w:cs="Arial"/>
          <w:sz w:val="20"/>
          <w:szCs w:val="20"/>
        </w:rPr>
        <w:t>ész, áramk</w:t>
      </w:r>
      <w:r w:rsidR="00741920">
        <w:rPr>
          <w:rFonts w:ascii="Arial" w:hAnsi="Arial" w:cs="Arial"/>
          <w:sz w:val="20"/>
          <w:szCs w:val="20"/>
        </w:rPr>
        <w:t xml:space="preserve">öri kártya gyártása </w:t>
      </w:r>
      <w:r w:rsidR="00792F84">
        <w:rPr>
          <w:rFonts w:ascii="Arial" w:hAnsi="Arial" w:cs="Arial"/>
          <w:sz w:val="20"/>
          <w:szCs w:val="20"/>
        </w:rPr>
        <w:t>24</w:t>
      </w:r>
      <w:r w:rsidRPr="007661C6">
        <w:rPr>
          <w:rFonts w:ascii="Arial" w:hAnsi="Arial" w:cs="Arial"/>
          <w:sz w:val="20"/>
          <w:szCs w:val="20"/>
        </w:rPr>
        <w:t xml:space="preserve">%-kal </w:t>
      </w:r>
      <w:r w:rsidR="00AC377C">
        <w:rPr>
          <w:rFonts w:ascii="Arial" w:hAnsi="Arial" w:cs="Arial"/>
          <w:sz w:val="20"/>
          <w:szCs w:val="20"/>
        </w:rPr>
        <w:t>csökkent</w:t>
      </w:r>
      <w:r w:rsidRPr="007661C6">
        <w:rPr>
          <w:rFonts w:ascii="Arial" w:hAnsi="Arial" w:cs="Arial"/>
          <w:sz w:val="20"/>
          <w:szCs w:val="20"/>
        </w:rPr>
        <w:t xml:space="preserve">. </w:t>
      </w:r>
      <w:r w:rsidR="00E15BFE">
        <w:rPr>
          <w:rFonts w:ascii="Arial" w:hAnsi="Arial" w:cs="Arial"/>
          <w:sz w:val="20"/>
          <w:szCs w:val="20"/>
        </w:rPr>
        <w:t>Jelentős</w:t>
      </w:r>
      <w:r w:rsidR="00E81A74" w:rsidRPr="00E81A74">
        <w:rPr>
          <w:rFonts w:ascii="Arial" w:hAnsi="Arial" w:cs="Arial"/>
          <w:sz w:val="20"/>
          <w:szCs w:val="20"/>
        </w:rPr>
        <w:t xml:space="preserve"> mértékben, </w:t>
      </w:r>
      <w:r w:rsidR="00792F84">
        <w:rPr>
          <w:rFonts w:ascii="Arial" w:hAnsi="Arial" w:cs="Arial"/>
          <w:b/>
          <w:sz w:val="20"/>
          <w:szCs w:val="20"/>
        </w:rPr>
        <w:t>15,7</w:t>
      </w:r>
      <w:r w:rsidR="00E81A74" w:rsidRPr="00E81A74">
        <w:rPr>
          <w:rFonts w:ascii="Arial" w:hAnsi="Arial" w:cs="Arial"/>
          <w:b/>
          <w:sz w:val="20"/>
          <w:szCs w:val="20"/>
        </w:rPr>
        <w:t>%-kal</w:t>
      </w:r>
      <w:r w:rsidR="00E15BFE">
        <w:rPr>
          <w:rFonts w:ascii="Arial" w:hAnsi="Arial" w:cs="Arial"/>
          <w:b/>
          <w:sz w:val="20"/>
          <w:szCs w:val="20"/>
        </w:rPr>
        <w:t xml:space="preserve"> bővült</w:t>
      </w:r>
      <w:r w:rsidR="00E81A74" w:rsidRPr="00E81A74">
        <w:rPr>
          <w:rFonts w:ascii="Arial" w:hAnsi="Arial" w:cs="Arial"/>
          <w:b/>
          <w:sz w:val="20"/>
          <w:szCs w:val="20"/>
        </w:rPr>
        <w:t xml:space="preserve"> a villamos berendezés gyártása</w:t>
      </w:r>
      <w:r w:rsidR="00E81A74" w:rsidRPr="00E81A74">
        <w:rPr>
          <w:rFonts w:ascii="Arial" w:hAnsi="Arial" w:cs="Arial"/>
          <w:sz w:val="20"/>
          <w:szCs w:val="20"/>
        </w:rPr>
        <w:t xml:space="preserve">, nagyrészt a járműgyártáshoz köthető </w:t>
      </w:r>
      <w:r w:rsidR="00E81A74" w:rsidRPr="00ED6C81">
        <w:rPr>
          <w:rFonts w:ascii="Arial" w:hAnsi="Arial" w:cs="Arial"/>
          <w:b/>
          <w:sz w:val="20"/>
          <w:szCs w:val="20"/>
        </w:rPr>
        <w:t>akkumulátorgyártás</w:t>
      </w:r>
      <w:r w:rsidR="00E81A74" w:rsidRPr="00E81A74">
        <w:rPr>
          <w:rFonts w:ascii="Arial" w:hAnsi="Arial" w:cs="Arial"/>
          <w:sz w:val="20"/>
          <w:szCs w:val="20"/>
        </w:rPr>
        <w:t xml:space="preserve"> felfutásának</w:t>
      </w:r>
      <w:r w:rsidR="001546F2">
        <w:rPr>
          <w:rFonts w:ascii="Arial" w:hAnsi="Arial" w:cs="Arial"/>
          <w:sz w:val="20"/>
          <w:szCs w:val="20"/>
        </w:rPr>
        <w:t>, valamint a villamosmotor- és áramfejlesztő gépek gyártásának</w:t>
      </w:r>
      <w:r w:rsidR="00E81A74" w:rsidRPr="00E81A74">
        <w:rPr>
          <w:rFonts w:ascii="Arial" w:hAnsi="Arial" w:cs="Arial"/>
          <w:sz w:val="20"/>
          <w:szCs w:val="20"/>
        </w:rPr>
        <w:t xml:space="preserve"> köszönhetően.</w:t>
      </w:r>
      <w:r w:rsidR="00CC3FFD">
        <w:rPr>
          <w:rFonts w:ascii="Arial" w:hAnsi="Arial" w:cs="Arial"/>
          <w:sz w:val="20"/>
          <w:szCs w:val="20"/>
        </w:rPr>
        <w:t xml:space="preserve"> </w:t>
      </w:r>
      <w:r w:rsidR="00792F84">
        <w:rPr>
          <w:rFonts w:ascii="Arial" w:hAnsi="Arial" w:cs="Arial"/>
          <w:sz w:val="20"/>
          <w:szCs w:val="20"/>
        </w:rPr>
        <w:t>A feldolgozóiparból 11</w:t>
      </w:r>
      <w:r w:rsidR="00CC3FFD" w:rsidRPr="00CC3FFD">
        <w:rPr>
          <w:rFonts w:ascii="Arial" w:hAnsi="Arial" w:cs="Arial"/>
          <w:sz w:val="20"/>
          <w:szCs w:val="20"/>
        </w:rPr>
        <w:t xml:space="preserve">%-kal részesülő </w:t>
      </w:r>
      <w:r w:rsidR="00CC3FFD" w:rsidRPr="00E15BFE">
        <w:rPr>
          <w:rFonts w:ascii="Arial" w:hAnsi="Arial" w:cs="Arial"/>
          <w:b/>
          <w:sz w:val="20"/>
          <w:szCs w:val="20"/>
        </w:rPr>
        <w:t>élelmiszer</w:t>
      </w:r>
      <w:r w:rsidR="00CC3FFD" w:rsidRPr="00CC3FFD">
        <w:rPr>
          <w:rFonts w:ascii="Arial" w:hAnsi="Arial" w:cs="Arial"/>
          <w:sz w:val="20"/>
          <w:szCs w:val="20"/>
        </w:rPr>
        <w:t>, it</w:t>
      </w:r>
      <w:r w:rsidR="001546F2">
        <w:rPr>
          <w:rFonts w:ascii="Arial" w:hAnsi="Arial" w:cs="Arial"/>
          <w:sz w:val="20"/>
          <w:szCs w:val="20"/>
        </w:rPr>
        <w:t>al és dohánytermék termelése</w:t>
      </w:r>
      <w:r w:rsidR="00792F84">
        <w:rPr>
          <w:rFonts w:ascii="Arial" w:hAnsi="Arial" w:cs="Arial"/>
          <w:sz w:val="20"/>
          <w:szCs w:val="20"/>
        </w:rPr>
        <w:t xml:space="preserve"> kiemelkedően,</w:t>
      </w:r>
      <w:r w:rsidR="001546F2">
        <w:rPr>
          <w:rFonts w:ascii="Arial" w:hAnsi="Arial" w:cs="Arial"/>
          <w:sz w:val="20"/>
          <w:szCs w:val="20"/>
        </w:rPr>
        <w:t xml:space="preserve"> </w:t>
      </w:r>
      <w:r w:rsidR="00792F84">
        <w:rPr>
          <w:rFonts w:ascii="Arial" w:hAnsi="Arial" w:cs="Arial"/>
          <w:b/>
          <w:sz w:val="20"/>
          <w:szCs w:val="20"/>
        </w:rPr>
        <w:t>17,4</w:t>
      </w:r>
      <w:r w:rsidR="00CC3FFD" w:rsidRPr="00E15BFE">
        <w:rPr>
          <w:rFonts w:ascii="Arial" w:hAnsi="Arial" w:cs="Arial"/>
          <w:b/>
          <w:sz w:val="20"/>
          <w:szCs w:val="20"/>
        </w:rPr>
        <w:t>%-kal</w:t>
      </w:r>
      <w:r w:rsidR="00CC3FFD" w:rsidRPr="00CC3FFD">
        <w:rPr>
          <w:rFonts w:ascii="Arial" w:hAnsi="Arial" w:cs="Arial"/>
          <w:sz w:val="20"/>
          <w:szCs w:val="20"/>
        </w:rPr>
        <w:t xml:space="preserve"> </w:t>
      </w:r>
      <w:r w:rsidR="00E15BFE">
        <w:rPr>
          <w:rFonts w:ascii="Arial" w:hAnsi="Arial" w:cs="Arial"/>
          <w:sz w:val="20"/>
          <w:szCs w:val="20"/>
        </w:rPr>
        <w:t>növekedett az egy évvel korábbihoz képest</w:t>
      </w:r>
      <w:r w:rsidR="00CC3FFD" w:rsidRPr="00CC3FFD">
        <w:rPr>
          <w:rFonts w:ascii="Arial" w:hAnsi="Arial" w:cs="Arial"/>
          <w:sz w:val="20"/>
          <w:szCs w:val="20"/>
        </w:rPr>
        <w:t xml:space="preserve">, </w:t>
      </w:r>
      <w:r w:rsidR="00E15BFE">
        <w:rPr>
          <w:rFonts w:ascii="Arial" w:hAnsi="Arial" w:cs="Arial"/>
          <w:sz w:val="20"/>
          <w:szCs w:val="20"/>
        </w:rPr>
        <w:t xml:space="preserve">mind </w:t>
      </w:r>
      <w:r w:rsidR="001546F2">
        <w:rPr>
          <w:rFonts w:ascii="Arial" w:hAnsi="Arial" w:cs="Arial"/>
          <w:sz w:val="20"/>
          <w:szCs w:val="20"/>
        </w:rPr>
        <w:t>a külpiaci</w:t>
      </w:r>
      <w:r w:rsidR="00E15BFE">
        <w:rPr>
          <w:rFonts w:ascii="Arial" w:hAnsi="Arial" w:cs="Arial"/>
          <w:sz w:val="20"/>
          <w:szCs w:val="20"/>
        </w:rPr>
        <w:t>,</w:t>
      </w:r>
      <w:r w:rsidR="001546F2">
        <w:rPr>
          <w:rFonts w:ascii="Arial" w:hAnsi="Arial" w:cs="Arial"/>
          <w:sz w:val="20"/>
          <w:szCs w:val="20"/>
        </w:rPr>
        <w:t xml:space="preserve"> </w:t>
      </w:r>
      <w:r w:rsidR="00E15BFE">
        <w:rPr>
          <w:rFonts w:ascii="Arial" w:hAnsi="Arial" w:cs="Arial"/>
          <w:sz w:val="20"/>
          <w:szCs w:val="20"/>
        </w:rPr>
        <w:t>mind</w:t>
      </w:r>
      <w:r w:rsidR="001546F2">
        <w:rPr>
          <w:rFonts w:ascii="Arial" w:hAnsi="Arial" w:cs="Arial"/>
          <w:sz w:val="20"/>
          <w:szCs w:val="20"/>
        </w:rPr>
        <w:t xml:space="preserve"> a hazai eladások </w:t>
      </w:r>
      <w:r w:rsidR="00E15BFE">
        <w:rPr>
          <w:rFonts w:ascii="Arial" w:hAnsi="Arial" w:cs="Arial"/>
          <w:sz w:val="20"/>
          <w:szCs w:val="20"/>
        </w:rPr>
        <w:t>növekedésének</w:t>
      </w:r>
      <w:r w:rsidR="001546F2">
        <w:rPr>
          <w:rFonts w:ascii="Arial" w:hAnsi="Arial" w:cs="Arial"/>
          <w:sz w:val="20"/>
          <w:szCs w:val="20"/>
        </w:rPr>
        <w:t xml:space="preserve"> követ</w:t>
      </w:r>
      <w:r w:rsidR="00E15BFE">
        <w:rPr>
          <w:rFonts w:ascii="Arial" w:hAnsi="Arial" w:cs="Arial"/>
          <w:sz w:val="20"/>
          <w:szCs w:val="20"/>
        </w:rPr>
        <w:t>keztében. A legnagyobb súlyt (24</w:t>
      </w:r>
      <w:r w:rsidR="00CC3FFD" w:rsidRPr="00CC3FFD">
        <w:rPr>
          <w:rFonts w:ascii="Arial" w:hAnsi="Arial" w:cs="Arial"/>
          <w:sz w:val="20"/>
          <w:szCs w:val="20"/>
        </w:rPr>
        <w:t>%) képviselő húsfeldolgozás, -tartó</w:t>
      </w:r>
      <w:r w:rsidR="001546F2">
        <w:rPr>
          <w:rFonts w:ascii="Arial" w:hAnsi="Arial" w:cs="Arial"/>
          <w:sz w:val="20"/>
          <w:szCs w:val="20"/>
        </w:rPr>
        <w:t xml:space="preserve">sítás, húskészítmény gyártása </w:t>
      </w:r>
      <w:r w:rsidR="00CC3FFD" w:rsidRPr="00CC3FFD">
        <w:rPr>
          <w:rFonts w:ascii="Arial" w:hAnsi="Arial" w:cs="Arial"/>
          <w:sz w:val="20"/>
          <w:szCs w:val="20"/>
        </w:rPr>
        <w:t>1</w:t>
      </w:r>
      <w:r w:rsidR="00792F84">
        <w:rPr>
          <w:rFonts w:ascii="Arial" w:hAnsi="Arial" w:cs="Arial"/>
          <w:sz w:val="20"/>
          <w:szCs w:val="20"/>
        </w:rPr>
        <w:t>7,5</w:t>
      </w:r>
      <w:r w:rsidR="00CC3FFD" w:rsidRPr="00CC3FFD">
        <w:rPr>
          <w:rFonts w:ascii="Arial" w:hAnsi="Arial" w:cs="Arial"/>
          <w:sz w:val="20"/>
          <w:szCs w:val="20"/>
        </w:rPr>
        <w:t>%-kal</w:t>
      </w:r>
      <w:r w:rsidR="00E15BFE">
        <w:rPr>
          <w:rFonts w:ascii="Arial" w:hAnsi="Arial" w:cs="Arial"/>
          <w:sz w:val="20"/>
          <w:szCs w:val="20"/>
        </w:rPr>
        <w:t xml:space="preserve"> nőtt</w:t>
      </w:r>
      <w:r w:rsidR="00CC3FFD" w:rsidRPr="00CC3FFD">
        <w:rPr>
          <w:rFonts w:ascii="Arial" w:hAnsi="Arial" w:cs="Arial"/>
          <w:sz w:val="20"/>
          <w:szCs w:val="20"/>
        </w:rPr>
        <w:t>.</w:t>
      </w:r>
      <w:r w:rsidR="00E81A74">
        <w:rPr>
          <w:rFonts w:ascii="Arial" w:hAnsi="Arial" w:cs="Arial"/>
          <w:sz w:val="20"/>
          <w:szCs w:val="20"/>
        </w:rPr>
        <w:t xml:space="preserve"> </w:t>
      </w:r>
      <w:r w:rsidR="00B82892">
        <w:rPr>
          <w:rFonts w:ascii="Arial" w:hAnsi="Arial" w:cs="Arial"/>
          <w:sz w:val="20"/>
          <w:szCs w:val="20"/>
        </w:rPr>
        <w:t xml:space="preserve">A </w:t>
      </w:r>
      <w:r w:rsidR="00D37A97">
        <w:rPr>
          <w:rFonts w:ascii="Arial" w:hAnsi="Arial" w:cs="Arial"/>
          <w:sz w:val="20"/>
          <w:szCs w:val="20"/>
        </w:rPr>
        <w:t>fafeldolgozás 4,1</w:t>
      </w:r>
      <w:r w:rsidR="00676B5E" w:rsidRPr="007661C6">
        <w:rPr>
          <w:rFonts w:ascii="Arial" w:hAnsi="Arial" w:cs="Arial"/>
          <w:sz w:val="20"/>
          <w:szCs w:val="20"/>
        </w:rPr>
        <w:t>%-kal,</w:t>
      </w:r>
      <w:r w:rsidR="00676B5E">
        <w:rPr>
          <w:rFonts w:ascii="Arial" w:hAnsi="Arial" w:cs="Arial"/>
          <w:sz w:val="20"/>
          <w:szCs w:val="20"/>
        </w:rPr>
        <w:t xml:space="preserve"> a </w:t>
      </w:r>
      <w:r w:rsidR="00E15BFE">
        <w:rPr>
          <w:rFonts w:ascii="Arial" w:hAnsi="Arial" w:cs="Arial"/>
          <w:sz w:val="20"/>
          <w:szCs w:val="20"/>
        </w:rPr>
        <w:t xml:space="preserve">vegyipar termelése </w:t>
      </w:r>
      <w:r w:rsidR="00D37A97">
        <w:rPr>
          <w:rFonts w:ascii="Arial" w:hAnsi="Arial" w:cs="Arial"/>
          <w:sz w:val="20"/>
          <w:szCs w:val="20"/>
        </w:rPr>
        <w:t>7,3</w:t>
      </w:r>
      <w:r w:rsidRPr="007661C6">
        <w:rPr>
          <w:rFonts w:ascii="Arial" w:hAnsi="Arial" w:cs="Arial"/>
          <w:sz w:val="20"/>
          <w:szCs w:val="20"/>
        </w:rPr>
        <w:t xml:space="preserve">%-kal, </w:t>
      </w:r>
      <w:r w:rsidR="00BE7865" w:rsidRPr="007661C6">
        <w:rPr>
          <w:rFonts w:ascii="Arial" w:hAnsi="Arial" w:cs="Arial"/>
          <w:sz w:val="20"/>
          <w:szCs w:val="20"/>
        </w:rPr>
        <w:t xml:space="preserve">a gumigyártás </w:t>
      </w:r>
      <w:r w:rsidR="00D37A97">
        <w:rPr>
          <w:rFonts w:ascii="Arial" w:hAnsi="Arial" w:cs="Arial"/>
          <w:sz w:val="20"/>
          <w:szCs w:val="20"/>
        </w:rPr>
        <w:t>9,3</w:t>
      </w:r>
      <w:r w:rsidR="00BE7865" w:rsidRPr="007661C6">
        <w:rPr>
          <w:rFonts w:ascii="Arial" w:hAnsi="Arial" w:cs="Arial"/>
          <w:sz w:val="20"/>
          <w:szCs w:val="20"/>
        </w:rPr>
        <w:t xml:space="preserve">%-kal, </w:t>
      </w:r>
      <w:r w:rsidR="00676B5E" w:rsidRPr="007661C6">
        <w:rPr>
          <w:rFonts w:ascii="Arial" w:hAnsi="Arial" w:cs="Arial"/>
          <w:sz w:val="20"/>
          <w:szCs w:val="20"/>
        </w:rPr>
        <w:t xml:space="preserve">a fémalapanyag és fémfeldolgozás </w:t>
      </w:r>
      <w:r w:rsidR="000A3DCB">
        <w:rPr>
          <w:rFonts w:ascii="Arial" w:hAnsi="Arial" w:cs="Arial"/>
          <w:sz w:val="20"/>
          <w:szCs w:val="20"/>
        </w:rPr>
        <w:t>16,2</w:t>
      </w:r>
      <w:r w:rsidR="00676B5E">
        <w:rPr>
          <w:rFonts w:ascii="Arial" w:hAnsi="Arial" w:cs="Arial"/>
          <w:sz w:val="20"/>
          <w:szCs w:val="20"/>
        </w:rPr>
        <w:t>%-kal,</w:t>
      </w:r>
      <w:r w:rsidR="00676B5E" w:rsidRPr="00676B5E">
        <w:rPr>
          <w:rFonts w:ascii="Arial" w:hAnsi="Arial" w:cs="Arial"/>
          <w:sz w:val="20"/>
          <w:szCs w:val="20"/>
        </w:rPr>
        <w:t xml:space="preserve"> </w:t>
      </w:r>
      <w:r w:rsidR="00676B5E" w:rsidRPr="007661C6">
        <w:rPr>
          <w:rFonts w:ascii="Arial" w:hAnsi="Arial" w:cs="Arial"/>
          <w:sz w:val="20"/>
          <w:szCs w:val="20"/>
        </w:rPr>
        <w:t xml:space="preserve">a kokszgyártás, kőolaj-feldolgozás </w:t>
      </w:r>
      <w:r w:rsidR="000A3DCB">
        <w:rPr>
          <w:rFonts w:ascii="Arial" w:hAnsi="Arial" w:cs="Arial"/>
          <w:sz w:val="20"/>
          <w:szCs w:val="20"/>
        </w:rPr>
        <w:t>12,3</w:t>
      </w:r>
      <w:r w:rsidR="00676B5E">
        <w:rPr>
          <w:rFonts w:ascii="Arial" w:hAnsi="Arial" w:cs="Arial"/>
          <w:sz w:val="20"/>
          <w:szCs w:val="20"/>
        </w:rPr>
        <w:t>%-</w:t>
      </w:r>
      <w:r w:rsidR="00E15BFE">
        <w:rPr>
          <w:rFonts w:ascii="Arial" w:hAnsi="Arial" w:cs="Arial"/>
          <w:sz w:val="20"/>
          <w:szCs w:val="20"/>
        </w:rPr>
        <w:t xml:space="preserve">kal, az egyéb feldolgozóipar </w:t>
      </w:r>
      <w:r w:rsidR="00406046">
        <w:rPr>
          <w:rFonts w:ascii="Arial" w:hAnsi="Arial" w:cs="Arial"/>
          <w:sz w:val="20"/>
          <w:szCs w:val="20"/>
        </w:rPr>
        <w:t>10,7</w:t>
      </w:r>
      <w:r w:rsidR="00676B5E" w:rsidRPr="007661C6">
        <w:rPr>
          <w:rFonts w:ascii="Arial" w:hAnsi="Arial" w:cs="Arial"/>
          <w:sz w:val="20"/>
          <w:szCs w:val="20"/>
        </w:rPr>
        <w:t>%-kal</w:t>
      </w:r>
      <w:r w:rsidR="00E15BFE">
        <w:rPr>
          <w:rFonts w:ascii="Arial" w:hAnsi="Arial" w:cs="Arial"/>
          <w:sz w:val="20"/>
          <w:szCs w:val="20"/>
        </w:rPr>
        <w:t xml:space="preserve"> </w:t>
      </w:r>
      <w:r w:rsidR="00CC3FFD">
        <w:rPr>
          <w:rFonts w:ascii="Arial" w:hAnsi="Arial" w:cs="Arial"/>
          <w:sz w:val="20"/>
          <w:szCs w:val="20"/>
        </w:rPr>
        <w:t>nőtt. Ezzel szemben</w:t>
      </w:r>
      <w:r w:rsidRPr="007661C6">
        <w:rPr>
          <w:rFonts w:ascii="Arial" w:hAnsi="Arial" w:cs="Arial"/>
          <w:sz w:val="20"/>
          <w:szCs w:val="20"/>
        </w:rPr>
        <w:t xml:space="preserve"> </w:t>
      </w:r>
      <w:r w:rsidR="00D37A97">
        <w:rPr>
          <w:rFonts w:ascii="Arial" w:hAnsi="Arial" w:cs="Arial"/>
          <w:sz w:val="20"/>
          <w:szCs w:val="20"/>
        </w:rPr>
        <w:t>a</w:t>
      </w:r>
      <w:r w:rsidR="00D37A97" w:rsidRPr="007661C6">
        <w:rPr>
          <w:rFonts w:ascii="Arial" w:hAnsi="Arial" w:cs="Arial"/>
          <w:sz w:val="20"/>
          <w:szCs w:val="20"/>
        </w:rPr>
        <w:t xml:space="preserve"> gép, gép</w:t>
      </w:r>
      <w:r w:rsidR="00406046">
        <w:rPr>
          <w:rFonts w:ascii="Arial" w:hAnsi="Arial" w:cs="Arial"/>
          <w:sz w:val="20"/>
          <w:szCs w:val="20"/>
        </w:rPr>
        <w:t xml:space="preserve">i berendezés gyártása </w:t>
      </w:r>
      <w:r w:rsidR="00D37A97">
        <w:rPr>
          <w:rFonts w:ascii="Arial" w:hAnsi="Arial" w:cs="Arial"/>
          <w:sz w:val="20"/>
          <w:szCs w:val="20"/>
        </w:rPr>
        <w:t xml:space="preserve">6,6%-kal, </w:t>
      </w:r>
      <w:r w:rsidR="00676B5E" w:rsidRPr="007661C6">
        <w:rPr>
          <w:rFonts w:ascii="Arial" w:hAnsi="Arial" w:cs="Arial"/>
          <w:sz w:val="20"/>
          <w:szCs w:val="20"/>
        </w:rPr>
        <w:t xml:space="preserve">gyógyszergyártás </w:t>
      </w:r>
      <w:r w:rsidR="00406046">
        <w:rPr>
          <w:rFonts w:ascii="Arial" w:hAnsi="Arial" w:cs="Arial"/>
          <w:sz w:val="20"/>
          <w:szCs w:val="20"/>
        </w:rPr>
        <w:t>10,2</w:t>
      </w:r>
      <w:r w:rsidR="00676B5E" w:rsidRPr="007661C6">
        <w:rPr>
          <w:rFonts w:ascii="Arial" w:hAnsi="Arial" w:cs="Arial"/>
          <w:sz w:val="20"/>
          <w:szCs w:val="20"/>
        </w:rPr>
        <w:t>%-kal</w:t>
      </w:r>
      <w:r w:rsidR="00406046">
        <w:rPr>
          <w:rFonts w:ascii="Arial" w:hAnsi="Arial" w:cs="Arial"/>
          <w:sz w:val="20"/>
          <w:szCs w:val="20"/>
        </w:rPr>
        <w:t xml:space="preserve">, </w:t>
      </w:r>
      <w:r w:rsidR="00406046" w:rsidRPr="007661C6">
        <w:rPr>
          <w:rFonts w:ascii="Arial" w:hAnsi="Arial" w:cs="Arial"/>
          <w:sz w:val="20"/>
          <w:szCs w:val="20"/>
        </w:rPr>
        <w:t xml:space="preserve">a textília, ruházati termék gyártása </w:t>
      </w:r>
      <w:r w:rsidR="00406046">
        <w:rPr>
          <w:rFonts w:ascii="Arial" w:hAnsi="Arial" w:cs="Arial"/>
          <w:sz w:val="20"/>
          <w:szCs w:val="20"/>
        </w:rPr>
        <w:t>1,2%-kal</w:t>
      </w:r>
      <w:r w:rsidR="00676B5E">
        <w:rPr>
          <w:rFonts w:ascii="Arial" w:hAnsi="Arial" w:cs="Arial"/>
          <w:sz w:val="20"/>
          <w:szCs w:val="20"/>
        </w:rPr>
        <w:t xml:space="preserve"> </w:t>
      </w:r>
      <w:r w:rsidRPr="007661C6">
        <w:rPr>
          <w:rFonts w:ascii="Arial" w:hAnsi="Arial" w:cs="Arial"/>
          <w:sz w:val="20"/>
          <w:szCs w:val="20"/>
        </w:rPr>
        <w:t xml:space="preserve">esett vissza. </w:t>
      </w:r>
      <w:r w:rsidR="00B00276" w:rsidRPr="00B00276">
        <w:rPr>
          <w:rFonts w:ascii="Arial" w:hAnsi="Arial" w:cs="Arial"/>
          <w:b/>
          <w:sz w:val="20"/>
          <w:szCs w:val="20"/>
        </w:rPr>
        <w:t>A</w:t>
      </w:r>
      <w:r w:rsidRPr="00B00276">
        <w:rPr>
          <w:rFonts w:ascii="Arial" w:hAnsi="Arial" w:cs="Arial"/>
          <w:b/>
          <w:sz w:val="20"/>
          <w:szCs w:val="20"/>
        </w:rPr>
        <w:t>z</w:t>
      </w:r>
      <w:r w:rsidRPr="007661C6">
        <w:rPr>
          <w:rFonts w:ascii="Arial" w:hAnsi="Arial" w:cs="Arial"/>
          <w:b/>
          <w:sz w:val="20"/>
          <w:szCs w:val="20"/>
        </w:rPr>
        <w:t xml:space="preserve"> új megrendelések </w:t>
      </w:r>
      <w:r w:rsidR="00B00276">
        <w:rPr>
          <w:rFonts w:ascii="Arial" w:hAnsi="Arial" w:cs="Arial"/>
          <w:b/>
          <w:sz w:val="20"/>
          <w:szCs w:val="20"/>
        </w:rPr>
        <w:t>novemberben</w:t>
      </w:r>
      <w:r w:rsidR="00523A73">
        <w:rPr>
          <w:rFonts w:ascii="Arial" w:hAnsi="Arial" w:cs="Arial"/>
          <w:b/>
          <w:sz w:val="20"/>
          <w:szCs w:val="20"/>
        </w:rPr>
        <w:t xml:space="preserve"> </w:t>
      </w:r>
      <w:r w:rsidR="00B00276">
        <w:rPr>
          <w:rFonts w:ascii="Arial" w:hAnsi="Arial" w:cs="Arial"/>
          <w:b/>
          <w:sz w:val="20"/>
          <w:szCs w:val="20"/>
        </w:rPr>
        <w:t>2,2</w:t>
      </w:r>
      <w:r w:rsidRPr="007661C6">
        <w:rPr>
          <w:rFonts w:ascii="Arial" w:hAnsi="Arial" w:cs="Arial"/>
          <w:b/>
          <w:sz w:val="20"/>
          <w:szCs w:val="20"/>
        </w:rPr>
        <w:t xml:space="preserve">%-kal </w:t>
      </w:r>
      <w:r w:rsidR="00B00276">
        <w:rPr>
          <w:rFonts w:ascii="Arial" w:hAnsi="Arial" w:cs="Arial"/>
          <w:b/>
          <w:sz w:val="20"/>
          <w:szCs w:val="20"/>
        </w:rPr>
        <w:t>csökkentek</w:t>
      </w:r>
      <w:r w:rsidRPr="007661C6">
        <w:rPr>
          <w:rFonts w:ascii="Arial" w:hAnsi="Arial" w:cs="Arial"/>
          <w:sz w:val="20"/>
          <w:szCs w:val="20"/>
        </w:rPr>
        <w:t>, ezen</w:t>
      </w:r>
      <w:r w:rsidR="00432850">
        <w:rPr>
          <w:rFonts w:ascii="Arial" w:hAnsi="Arial" w:cs="Arial"/>
          <w:sz w:val="20"/>
          <w:szCs w:val="20"/>
        </w:rPr>
        <w:t xml:space="preserve"> b</w:t>
      </w:r>
      <w:r w:rsidR="00E15BFE">
        <w:rPr>
          <w:rFonts w:ascii="Arial" w:hAnsi="Arial" w:cs="Arial"/>
          <w:sz w:val="20"/>
          <w:szCs w:val="20"/>
        </w:rPr>
        <w:t xml:space="preserve">elül az új </w:t>
      </w:r>
      <w:r w:rsidR="00E15BFE">
        <w:rPr>
          <w:rFonts w:ascii="Arial" w:hAnsi="Arial" w:cs="Arial"/>
          <w:sz w:val="20"/>
          <w:szCs w:val="20"/>
        </w:rPr>
        <w:lastRenderedPageBreak/>
        <w:t xml:space="preserve">exportrendelések </w:t>
      </w:r>
      <w:r w:rsidR="00B00276">
        <w:rPr>
          <w:rFonts w:ascii="Arial" w:hAnsi="Arial" w:cs="Arial"/>
          <w:sz w:val="20"/>
          <w:szCs w:val="20"/>
        </w:rPr>
        <w:t>3,7</w:t>
      </w:r>
      <w:r w:rsidRPr="007661C6">
        <w:rPr>
          <w:rFonts w:ascii="Arial" w:hAnsi="Arial" w:cs="Arial"/>
          <w:sz w:val="20"/>
          <w:szCs w:val="20"/>
        </w:rPr>
        <w:t>%-kal</w:t>
      </w:r>
      <w:r w:rsidR="00B00276">
        <w:rPr>
          <w:rFonts w:ascii="Arial" w:hAnsi="Arial" w:cs="Arial"/>
          <w:sz w:val="20"/>
          <w:szCs w:val="20"/>
        </w:rPr>
        <w:t xml:space="preserve"> estek vissza</w:t>
      </w:r>
      <w:r w:rsidRPr="007661C6">
        <w:rPr>
          <w:rFonts w:ascii="Arial" w:hAnsi="Arial" w:cs="Arial"/>
          <w:sz w:val="20"/>
          <w:szCs w:val="20"/>
        </w:rPr>
        <w:t>,</w:t>
      </w:r>
      <w:r w:rsidR="00432850">
        <w:rPr>
          <w:rFonts w:ascii="Arial" w:hAnsi="Arial" w:cs="Arial"/>
          <w:sz w:val="20"/>
          <w:szCs w:val="20"/>
        </w:rPr>
        <w:t xml:space="preserve"> m</w:t>
      </w:r>
      <w:r w:rsidR="00E15BFE">
        <w:rPr>
          <w:rFonts w:ascii="Arial" w:hAnsi="Arial" w:cs="Arial"/>
          <w:sz w:val="20"/>
          <w:szCs w:val="20"/>
        </w:rPr>
        <w:t xml:space="preserve">íg az új belföldi rendelések </w:t>
      </w:r>
      <w:r w:rsidR="00B00276">
        <w:rPr>
          <w:rFonts w:ascii="Arial" w:hAnsi="Arial" w:cs="Arial"/>
          <w:sz w:val="20"/>
          <w:szCs w:val="20"/>
        </w:rPr>
        <w:t>7,3</w:t>
      </w:r>
      <w:r w:rsidRPr="007661C6">
        <w:rPr>
          <w:rFonts w:ascii="Arial" w:hAnsi="Arial" w:cs="Arial"/>
          <w:sz w:val="20"/>
          <w:szCs w:val="20"/>
        </w:rPr>
        <w:t xml:space="preserve">%-kal nőttek. </w:t>
      </w:r>
      <w:r w:rsidRPr="007661C6">
        <w:rPr>
          <w:rFonts w:ascii="Arial" w:hAnsi="Arial" w:cs="Arial"/>
          <w:b/>
          <w:sz w:val="20"/>
          <w:szCs w:val="20"/>
        </w:rPr>
        <w:t>A rendelésállomány</w:t>
      </w:r>
      <w:r w:rsidR="00B00276">
        <w:rPr>
          <w:rFonts w:ascii="Arial" w:hAnsi="Arial" w:cs="Arial"/>
          <w:b/>
          <w:sz w:val="20"/>
          <w:szCs w:val="20"/>
        </w:rPr>
        <w:t xml:space="preserve"> ugyanakkor</w:t>
      </w:r>
      <w:r w:rsidRPr="007661C6">
        <w:rPr>
          <w:rFonts w:ascii="Arial" w:hAnsi="Arial" w:cs="Arial"/>
          <w:b/>
          <w:sz w:val="20"/>
          <w:szCs w:val="20"/>
        </w:rPr>
        <w:t xml:space="preserve"> </w:t>
      </w:r>
      <w:r w:rsidR="00B00276">
        <w:rPr>
          <w:rFonts w:ascii="Arial" w:hAnsi="Arial" w:cs="Arial"/>
          <w:b/>
          <w:sz w:val="20"/>
          <w:szCs w:val="20"/>
        </w:rPr>
        <w:t>11,7</w:t>
      </w:r>
      <w:r w:rsidRPr="007661C6">
        <w:rPr>
          <w:rFonts w:ascii="Arial" w:hAnsi="Arial" w:cs="Arial"/>
          <w:b/>
          <w:sz w:val="20"/>
          <w:szCs w:val="20"/>
        </w:rPr>
        <w:t xml:space="preserve">%-kal haladta meg az egy évvel ezelőtti szintet. </w:t>
      </w:r>
    </w:p>
    <w:p w14:paraId="2F1FF617" w14:textId="77777777" w:rsidR="005C518C" w:rsidRPr="003536D7" w:rsidRDefault="005C518C" w:rsidP="00316464">
      <w:pPr>
        <w:pStyle w:val="Alcmtbank"/>
      </w:pPr>
      <w:r w:rsidRPr="003536D7">
        <w:t>Beruházások</w:t>
      </w:r>
    </w:p>
    <w:p w14:paraId="78309EBA" w14:textId="77777777" w:rsidR="005D71A6" w:rsidRDefault="00D259CB" w:rsidP="007661C6">
      <w:pPr>
        <w:spacing w:after="120" w:line="360" w:lineRule="auto"/>
        <w:jc w:val="both"/>
        <w:rPr>
          <w:rFonts w:ascii="Arial" w:hAnsi="Arial" w:cs="Arial"/>
          <w:bCs/>
          <w:sz w:val="20"/>
          <w:szCs w:val="20"/>
        </w:rPr>
      </w:pPr>
      <w:r w:rsidRPr="00D259CB">
        <w:rPr>
          <w:rFonts w:ascii="Arial" w:hAnsi="Arial" w:cs="Arial"/>
          <w:bCs/>
          <w:sz w:val="20"/>
          <w:szCs w:val="20"/>
        </w:rPr>
        <w:t xml:space="preserve">2021 harmadik negyedévében </w:t>
      </w:r>
      <w:r w:rsidRPr="00D259CB">
        <w:rPr>
          <w:rFonts w:ascii="Arial" w:hAnsi="Arial" w:cs="Arial"/>
          <w:b/>
          <w:bCs/>
          <w:sz w:val="20"/>
          <w:szCs w:val="20"/>
        </w:rPr>
        <w:t>12,4%-kal nőtt a beruházások</w:t>
      </w:r>
      <w:r>
        <w:rPr>
          <w:rFonts w:ascii="Arial" w:hAnsi="Arial" w:cs="Arial"/>
          <w:bCs/>
          <w:sz w:val="20"/>
          <w:szCs w:val="20"/>
        </w:rPr>
        <w:t xml:space="preserve"> volumene</w:t>
      </w:r>
      <w:r w:rsidRPr="00D259CB">
        <w:rPr>
          <w:rFonts w:ascii="Arial" w:hAnsi="Arial" w:cs="Arial"/>
          <w:bCs/>
          <w:sz w:val="20"/>
          <w:szCs w:val="20"/>
        </w:rPr>
        <w:t xml:space="preserve"> - részben az egy évvel ezelőtti alacsony bázis hatására - az előző év azonos időszakához képest, míg 1,8%-kal bővült az előző negyedévihez képest szezonálisan kiigazítva, így </w:t>
      </w:r>
      <w:r w:rsidRPr="00D259CB">
        <w:rPr>
          <w:rFonts w:ascii="Arial" w:hAnsi="Arial" w:cs="Arial"/>
          <w:b/>
          <w:bCs/>
          <w:sz w:val="20"/>
          <w:szCs w:val="20"/>
        </w:rPr>
        <w:t>a beruházások volumene már bőven meghaladta a járvány előtt szintet, sőt, a 2019-ben elért csúcsot is.</w:t>
      </w:r>
      <w:r w:rsidRPr="00D259CB">
        <w:rPr>
          <w:rFonts w:ascii="Arial" w:hAnsi="Arial" w:cs="Arial"/>
          <w:bCs/>
          <w:sz w:val="20"/>
          <w:szCs w:val="20"/>
        </w:rPr>
        <w:t xml:space="preserve"> Ehhez leginkább a feldolgozóipar járult hozzá. A fejlesztések folytatódó felfutása a </w:t>
      </w:r>
      <w:r w:rsidRPr="00D259CB">
        <w:rPr>
          <w:rFonts w:ascii="Arial" w:hAnsi="Arial" w:cs="Arial"/>
          <w:b/>
          <w:bCs/>
          <w:sz w:val="20"/>
          <w:szCs w:val="20"/>
        </w:rPr>
        <w:t>vállalkozásoknak</w:t>
      </w:r>
      <w:r w:rsidRPr="00D259CB">
        <w:rPr>
          <w:rFonts w:ascii="Arial" w:hAnsi="Arial" w:cs="Arial"/>
          <w:bCs/>
          <w:sz w:val="20"/>
          <w:szCs w:val="20"/>
        </w:rPr>
        <w:t xml:space="preserve"> volt köszönhető, esetükben </w:t>
      </w:r>
      <w:r w:rsidRPr="00D259CB">
        <w:rPr>
          <w:rFonts w:ascii="Arial" w:hAnsi="Arial" w:cs="Arial"/>
          <w:b/>
          <w:bCs/>
          <w:sz w:val="20"/>
          <w:szCs w:val="20"/>
        </w:rPr>
        <w:t>22%-kal nőtt a volumen</w:t>
      </w:r>
      <w:r w:rsidRPr="00D259CB">
        <w:rPr>
          <w:rFonts w:ascii="Arial" w:hAnsi="Arial" w:cs="Arial"/>
          <w:bCs/>
          <w:sz w:val="20"/>
          <w:szCs w:val="20"/>
        </w:rPr>
        <w:t xml:space="preserve"> az előző év azonos időszakához képest.  A beruházásokon belül a teljesítményérték közel 60%-át képviselő </w:t>
      </w:r>
      <w:r w:rsidRPr="00D259CB">
        <w:rPr>
          <w:rFonts w:ascii="Arial" w:hAnsi="Arial" w:cs="Arial"/>
          <w:b/>
          <w:bCs/>
          <w:sz w:val="20"/>
          <w:szCs w:val="20"/>
        </w:rPr>
        <w:t>építési beruházásoké 14,1%-kal,</w:t>
      </w:r>
      <w:r w:rsidRPr="00D259CB">
        <w:rPr>
          <w:rFonts w:ascii="Arial" w:hAnsi="Arial" w:cs="Arial"/>
          <w:bCs/>
          <w:sz w:val="20"/>
          <w:szCs w:val="20"/>
        </w:rPr>
        <w:t xml:space="preserve"> a 40%-ot kitevő </w:t>
      </w:r>
      <w:r w:rsidRPr="00D259CB">
        <w:rPr>
          <w:rFonts w:ascii="Arial" w:hAnsi="Arial" w:cs="Arial"/>
          <w:b/>
          <w:bCs/>
          <w:sz w:val="20"/>
          <w:szCs w:val="20"/>
        </w:rPr>
        <w:t>gép- és berendezésberuházásoké 10,3%-kal emelkedett</w:t>
      </w:r>
      <w:r w:rsidRPr="00D259CB">
        <w:rPr>
          <w:rFonts w:ascii="Arial" w:hAnsi="Arial" w:cs="Arial"/>
          <w:bCs/>
          <w:sz w:val="20"/>
          <w:szCs w:val="20"/>
        </w:rPr>
        <w:t>. A gépberuházások mintegy harmadát kitevő belföldi gyártású gépek volumene jelentősebben bővült. A beruházási teljesítmény több mint 57%-át megvalósító, legalább 50 főt foglalkoztató vállalkozások körében a fejlesztések volumene 21,8%-kal gyarapodott. A növekedésben szerepet játszottak a Covid19-járvány tavaly</w:t>
      </w:r>
      <w:r>
        <w:rPr>
          <w:rFonts w:ascii="Arial" w:hAnsi="Arial" w:cs="Arial"/>
          <w:bCs/>
          <w:sz w:val="20"/>
          <w:szCs w:val="20"/>
        </w:rPr>
        <w:t>előtt</w:t>
      </w:r>
      <w:r w:rsidRPr="00D259CB">
        <w:rPr>
          <w:rFonts w:ascii="Arial" w:hAnsi="Arial" w:cs="Arial"/>
          <w:bCs/>
          <w:sz w:val="20"/>
          <w:szCs w:val="20"/>
        </w:rPr>
        <w:t xml:space="preserve">i mélypontja után kezdődött új vállalati fejlesztések is. Ugyanakkor a beruházások 13%-át realizáló </w:t>
      </w:r>
      <w:r w:rsidRPr="00D259CB">
        <w:rPr>
          <w:rFonts w:ascii="Arial" w:hAnsi="Arial" w:cs="Arial"/>
          <w:b/>
          <w:bCs/>
          <w:sz w:val="20"/>
          <w:szCs w:val="20"/>
        </w:rPr>
        <w:t>költségvetési szerveknél a fejlesztések 11,7%-kal csökkentek</w:t>
      </w:r>
      <w:r w:rsidRPr="00D259CB">
        <w:rPr>
          <w:rFonts w:ascii="Arial" w:hAnsi="Arial" w:cs="Arial"/>
          <w:bCs/>
          <w:sz w:val="20"/>
          <w:szCs w:val="20"/>
        </w:rPr>
        <w:t xml:space="preserve"> a bázisidőszakhoz képest, ezen belül mind a központi szervek, mind az önkormányzatok csökkentették beruházásaikat a bázisidőszakhoz képest. A 2015. évi átlaghoz képest 58,1%-kal bővültek, </w:t>
      </w:r>
      <w:r w:rsidRPr="00D259CB">
        <w:rPr>
          <w:rFonts w:ascii="Arial" w:hAnsi="Arial" w:cs="Arial"/>
          <w:b/>
          <w:bCs/>
          <w:sz w:val="20"/>
          <w:szCs w:val="20"/>
        </w:rPr>
        <w:t>2010-hez képest 95,1%-kal nőttek</w:t>
      </w:r>
      <w:r w:rsidRPr="00D259CB">
        <w:rPr>
          <w:rFonts w:ascii="Arial" w:hAnsi="Arial" w:cs="Arial"/>
          <w:bCs/>
          <w:sz w:val="20"/>
          <w:szCs w:val="20"/>
        </w:rPr>
        <w:t xml:space="preserve"> – közel megduplázódtak – a beruházások. Mivel a beruházások növekedése érdemben meghaladta a GDP növekedését</w:t>
      </w:r>
      <w:r>
        <w:rPr>
          <w:rFonts w:ascii="Arial" w:hAnsi="Arial" w:cs="Arial"/>
          <w:b/>
          <w:bCs/>
          <w:sz w:val="20"/>
          <w:szCs w:val="20"/>
        </w:rPr>
        <w:t>, a beruházási ráta 27,5%-</w:t>
      </w:r>
      <w:proofErr w:type="spellStart"/>
      <w:r>
        <w:rPr>
          <w:rFonts w:ascii="Arial" w:hAnsi="Arial" w:cs="Arial"/>
          <w:b/>
          <w:bCs/>
          <w:sz w:val="20"/>
          <w:szCs w:val="20"/>
        </w:rPr>
        <w:t>ra</w:t>
      </w:r>
      <w:proofErr w:type="spellEnd"/>
      <w:r>
        <w:rPr>
          <w:rFonts w:ascii="Arial" w:hAnsi="Arial" w:cs="Arial"/>
          <w:b/>
          <w:bCs/>
          <w:sz w:val="20"/>
          <w:szCs w:val="20"/>
        </w:rPr>
        <w:t xml:space="preserve"> emelked</w:t>
      </w:r>
      <w:r w:rsidRPr="00D259CB">
        <w:rPr>
          <w:rFonts w:ascii="Arial" w:hAnsi="Arial" w:cs="Arial"/>
          <w:b/>
          <w:bCs/>
          <w:sz w:val="20"/>
          <w:szCs w:val="20"/>
        </w:rPr>
        <w:t>ett</w:t>
      </w:r>
      <w:r w:rsidRPr="00D259CB">
        <w:rPr>
          <w:rFonts w:ascii="Arial" w:hAnsi="Arial" w:cs="Arial"/>
          <w:bCs/>
          <w:sz w:val="20"/>
          <w:szCs w:val="20"/>
        </w:rPr>
        <w:t>.</w:t>
      </w:r>
    </w:p>
    <w:p w14:paraId="7C46459F" w14:textId="77777777" w:rsidR="001C1A78" w:rsidRDefault="00D91047" w:rsidP="007661C6">
      <w:pPr>
        <w:spacing w:after="120" w:line="360" w:lineRule="auto"/>
        <w:jc w:val="both"/>
        <w:rPr>
          <w:rFonts w:ascii="Arial" w:hAnsi="Arial" w:cs="Arial"/>
          <w:bCs/>
          <w:sz w:val="20"/>
          <w:szCs w:val="20"/>
        </w:rPr>
      </w:pPr>
      <w:r w:rsidRPr="00D91047">
        <w:rPr>
          <w:rFonts w:ascii="Arial" w:hAnsi="Arial" w:cs="Arial"/>
          <w:sz w:val="20"/>
          <w:szCs w:val="20"/>
        </w:rPr>
        <w:t xml:space="preserve">A beruházások a </w:t>
      </w:r>
      <w:r w:rsidRPr="00D91047">
        <w:rPr>
          <w:rFonts w:ascii="Arial" w:hAnsi="Arial" w:cs="Arial"/>
          <w:b/>
          <w:sz w:val="20"/>
          <w:szCs w:val="20"/>
        </w:rPr>
        <w:t>nemzetgazdasági ágaztok többségében</w:t>
      </w:r>
      <w:r w:rsidRPr="00D91047">
        <w:rPr>
          <w:rFonts w:ascii="Arial" w:hAnsi="Arial" w:cs="Arial"/>
          <w:sz w:val="20"/>
          <w:szCs w:val="20"/>
        </w:rPr>
        <w:t xml:space="preserve"> növekedtek. A járvány negatív gazdasági hatásait – más intézkedések mellett – a kormány a vállalatok beruházásainak igen nagyvolumenű </w:t>
      </w:r>
      <w:r w:rsidRPr="00D91047">
        <w:rPr>
          <w:rFonts w:ascii="Arial" w:hAnsi="Arial" w:cs="Arial"/>
          <w:b/>
          <w:sz w:val="20"/>
          <w:szCs w:val="20"/>
        </w:rPr>
        <w:t>közvetlen támogatásával,</w:t>
      </w:r>
      <w:r w:rsidRPr="00D91047">
        <w:rPr>
          <w:rFonts w:ascii="Arial" w:hAnsi="Arial" w:cs="Arial"/>
          <w:sz w:val="20"/>
          <w:szCs w:val="20"/>
        </w:rPr>
        <w:t xml:space="preserve"> a jegybankkal és állami bankok támogatásával </w:t>
      </w:r>
      <w:r w:rsidRPr="00D91047">
        <w:rPr>
          <w:rFonts w:ascii="Arial" w:hAnsi="Arial" w:cs="Arial"/>
          <w:b/>
          <w:sz w:val="20"/>
          <w:szCs w:val="20"/>
        </w:rPr>
        <w:t>alacsony kamatozású hitelekkel</w:t>
      </w:r>
      <w:r w:rsidRPr="00D91047">
        <w:rPr>
          <w:rFonts w:ascii="Arial" w:hAnsi="Arial" w:cs="Arial"/>
          <w:sz w:val="20"/>
          <w:szCs w:val="20"/>
        </w:rPr>
        <w:t xml:space="preserve"> és </w:t>
      </w:r>
      <w:r w:rsidRPr="00D91047">
        <w:rPr>
          <w:rFonts w:ascii="Arial" w:hAnsi="Arial" w:cs="Arial"/>
          <w:b/>
          <w:sz w:val="20"/>
          <w:szCs w:val="20"/>
        </w:rPr>
        <w:t>garanciaprogramokkal</w:t>
      </w:r>
      <w:r w:rsidRPr="00D91047">
        <w:rPr>
          <w:rFonts w:ascii="Arial" w:hAnsi="Arial" w:cs="Arial"/>
          <w:sz w:val="20"/>
          <w:szCs w:val="20"/>
        </w:rPr>
        <w:t xml:space="preserve"> sikeresen ellensúlyozta, ennek hatása már</w:t>
      </w:r>
      <w:r>
        <w:rPr>
          <w:rFonts w:ascii="Arial" w:hAnsi="Arial" w:cs="Arial"/>
          <w:sz w:val="20"/>
          <w:szCs w:val="20"/>
        </w:rPr>
        <w:t xml:space="preserve"> a tavalyi évben határozottan jel</w:t>
      </w:r>
      <w:r w:rsidRPr="00D91047">
        <w:rPr>
          <w:rFonts w:ascii="Arial" w:hAnsi="Arial" w:cs="Arial"/>
          <w:sz w:val="20"/>
          <w:szCs w:val="20"/>
        </w:rPr>
        <w:t>e</w:t>
      </w:r>
      <w:r>
        <w:rPr>
          <w:rFonts w:ascii="Arial" w:hAnsi="Arial" w:cs="Arial"/>
          <w:sz w:val="20"/>
          <w:szCs w:val="20"/>
        </w:rPr>
        <w:t>ntkezett</w:t>
      </w:r>
      <w:r w:rsidRPr="00D91047">
        <w:rPr>
          <w:rFonts w:ascii="Arial" w:hAnsi="Arial" w:cs="Arial"/>
          <w:sz w:val="20"/>
          <w:szCs w:val="20"/>
        </w:rPr>
        <w:t xml:space="preserve">. A feldolgozóipari beruházások a rekordszintű működő tőke beáramlás is támogatja. </w:t>
      </w:r>
      <w:r w:rsidRPr="00D91047">
        <w:rPr>
          <w:rFonts w:ascii="Arial" w:hAnsi="Arial" w:cs="Arial"/>
          <w:b/>
          <w:sz w:val="20"/>
          <w:szCs w:val="20"/>
        </w:rPr>
        <w:t>A lakossági beruházásokat</w:t>
      </w:r>
      <w:r w:rsidRPr="00D91047">
        <w:rPr>
          <w:rFonts w:ascii="Arial" w:hAnsi="Arial" w:cs="Arial"/>
          <w:sz w:val="20"/>
          <w:szCs w:val="20"/>
        </w:rPr>
        <w:t xml:space="preserve"> az 5%-os kedvezményes újlakás áfa visszavezetése mellett számos családtámogatási és a bürokráciát és egyéb költségeket csökkentő programjai, valamint a lakásfelújítási támogatások is élénkítik. Érdemi felfutás várható az állami beruházások, valamint az uniós források által támogatott beruházások területén, az uniós helyreállítási alap (</w:t>
      </w:r>
      <w:proofErr w:type="spellStart"/>
      <w:r w:rsidRPr="00D91047">
        <w:rPr>
          <w:rFonts w:ascii="Arial" w:hAnsi="Arial" w:cs="Arial"/>
          <w:sz w:val="20"/>
          <w:szCs w:val="20"/>
        </w:rPr>
        <w:t>Next</w:t>
      </w:r>
      <w:proofErr w:type="spellEnd"/>
      <w:r w:rsidRPr="00D91047">
        <w:rPr>
          <w:rFonts w:ascii="Arial" w:hAnsi="Arial" w:cs="Arial"/>
          <w:sz w:val="20"/>
          <w:szCs w:val="20"/>
        </w:rPr>
        <w:t xml:space="preserve"> </w:t>
      </w:r>
      <w:proofErr w:type="spellStart"/>
      <w:r w:rsidRPr="00D91047">
        <w:rPr>
          <w:rFonts w:ascii="Arial" w:hAnsi="Arial" w:cs="Arial"/>
          <w:sz w:val="20"/>
          <w:szCs w:val="20"/>
        </w:rPr>
        <w:t>Generation</w:t>
      </w:r>
      <w:proofErr w:type="spellEnd"/>
      <w:r w:rsidRPr="00D91047">
        <w:rPr>
          <w:rFonts w:ascii="Arial" w:hAnsi="Arial" w:cs="Arial"/>
          <w:sz w:val="20"/>
          <w:szCs w:val="20"/>
        </w:rPr>
        <w:t xml:space="preserve"> EU) pedig soha nem látott többletforrást biztosít – az utóbbi késlekedését a költségvetés megelőlegezi. Mindezek hatására </w:t>
      </w:r>
      <w:r>
        <w:rPr>
          <w:rFonts w:ascii="Arial" w:hAnsi="Arial" w:cs="Arial"/>
          <w:sz w:val="20"/>
          <w:szCs w:val="20"/>
        </w:rPr>
        <w:t xml:space="preserve">tavaly </w:t>
      </w:r>
      <w:r w:rsidRPr="00D91047">
        <w:rPr>
          <w:rFonts w:ascii="Arial" w:hAnsi="Arial" w:cs="Arial"/>
          <w:b/>
          <w:sz w:val="20"/>
          <w:szCs w:val="20"/>
        </w:rPr>
        <w:t>7% feletti lehetett növekedés</w:t>
      </w:r>
      <w:r w:rsidRPr="00D91047">
        <w:rPr>
          <w:rFonts w:ascii="Arial" w:hAnsi="Arial" w:cs="Arial"/>
          <w:sz w:val="20"/>
          <w:szCs w:val="20"/>
        </w:rPr>
        <w:t xml:space="preserve"> a beruházások területén, bőven ellensúlyozva a tavaly</w:t>
      </w:r>
      <w:r>
        <w:rPr>
          <w:rFonts w:ascii="Arial" w:hAnsi="Arial" w:cs="Arial"/>
          <w:sz w:val="20"/>
          <w:szCs w:val="20"/>
        </w:rPr>
        <w:t>előtt</w:t>
      </w:r>
      <w:r w:rsidRPr="00D91047">
        <w:rPr>
          <w:rFonts w:ascii="Arial" w:hAnsi="Arial" w:cs="Arial"/>
          <w:sz w:val="20"/>
          <w:szCs w:val="20"/>
        </w:rPr>
        <w:t>i 3%-os visszaesést, így a beruházások volumene idén bőven meghaladhatja a járvány előtti szintet.</w:t>
      </w:r>
    </w:p>
    <w:p w14:paraId="2EE9CEF0" w14:textId="77777777" w:rsidR="0062275A" w:rsidRDefault="006725CB" w:rsidP="007661C6">
      <w:pPr>
        <w:spacing w:after="120" w:line="360" w:lineRule="auto"/>
        <w:jc w:val="both"/>
        <w:rPr>
          <w:rFonts w:ascii="Arial" w:hAnsi="Arial" w:cs="Arial"/>
          <w:sz w:val="20"/>
          <w:szCs w:val="20"/>
        </w:rPr>
      </w:pPr>
      <w:r w:rsidRPr="006725CB">
        <w:rPr>
          <w:rFonts w:ascii="Arial" w:hAnsi="Arial" w:cs="Arial"/>
          <w:sz w:val="20"/>
          <w:szCs w:val="20"/>
        </w:rPr>
        <w:t xml:space="preserve">A nemzetgazdasági beruházások több mint negyedét megvalósító </w:t>
      </w:r>
      <w:r w:rsidRPr="006725CB">
        <w:rPr>
          <w:rFonts w:ascii="Arial" w:hAnsi="Arial" w:cs="Arial"/>
          <w:b/>
          <w:sz w:val="20"/>
          <w:szCs w:val="20"/>
        </w:rPr>
        <w:t>feldolgozóipar fejlesztései 24,9%-kal bővültek</w:t>
      </w:r>
      <w:r w:rsidRPr="006725CB">
        <w:rPr>
          <w:rFonts w:ascii="Arial" w:hAnsi="Arial" w:cs="Arial"/>
          <w:sz w:val="20"/>
          <w:szCs w:val="20"/>
        </w:rPr>
        <w:t xml:space="preserve"> az egy évvel ezelőtti alacsony bázishoz képest. Az alágak túlnyomó többségében emelkedett a teljesítmény, köztük a három legnagyobb súlyú </w:t>
      </w:r>
      <w:r w:rsidRPr="006725CB">
        <w:rPr>
          <w:rFonts w:ascii="Arial" w:hAnsi="Arial" w:cs="Arial"/>
          <w:b/>
          <w:sz w:val="20"/>
          <w:szCs w:val="20"/>
        </w:rPr>
        <w:t>villamosberendezés-gyártásban, járműgyártásban és az élelmiszeriparban</w:t>
      </w:r>
      <w:r w:rsidRPr="006725CB">
        <w:rPr>
          <w:rFonts w:ascii="Arial" w:hAnsi="Arial" w:cs="Arial"/>
          <w:sz w:val="20"/>
          <w:szCs w:val="20"/>
        </w:rPr>
        <w:t xml:space="preserve"> is. A villamos berendezés gyártása területén az elektromos autók akkumulátorgyártásához kapcsolódóan óriási volumenű fejlesztések zajlanak, tekintve az </w:t>
      </w:r>
      <w:proofErr w:type="spellStart"/>
      <w:r w:rsidRPr="006725CB">
        <w:rPr>
          <w:rFonts w:ascii="Arial" w:hAnsi="Arial" w:cs="Arial"/>
          <w:sz w:val="20"/>
          <w:szCs w:val="20"/>
        </w:rPr>
        <w:t>alág</w:t>
      </w:r>
      <w:proofErr w:type="spellEnd"/>
      <w:r w:rsidRPr="006725CB">
        <w:rPr>
          <w:rFonts w:ascii="Arial" w:hAnsi="Arial" w:cs="Arial"/>
          <w:sz w:val="20"/>
          <w:szCs w:val="20"/>
        </w:rPr>
        <w:t xml:space="preserve"> termékei iránti erős nemzetközi </w:t>
      </w:r>
      <w:r w:rsidRPr="006725CB">
        <w:rPr>
          <w:rFonts w:ascii="Arial" w:hAnsi="Arial" w:cs="Arial"/>
          <w:sz w:val="20"/>
          <w:szCs w:val="20"/>
        </w:rPr>
        <w:lastRenderedPageBreak/>
        <w:t xml:space="preserve">keresletet, ami a következő években még érdemben fokozódhat az egyre szigorodó követelmények miatt. Ezen a területen idén az SK </w:t>
      </w:r>
      <w:proofErr w:type="spellStart"/>
      <w:r w:rsidRPr="006725CB">
        <w:rPr>
          <w:rFonts w:ascii="Arial" w:hAnsi="Arial" w:cs="Arial"/>
          <w:sz w:val="20"/>
          <w:szCs w:val="20"/>
        </w:rPr>
        <w:t>Innivation</w:t>
      </w:r>
      <w:proofErr w:type="spellEnd"/>
      <w:r w:rsidRPr="006725CB">
        <w:rPr>
          <w:rFonts w:ascii="Arial" w:hAnsi="Arial" w:cs="Arial"/>
          <w:sz w:val="20"/>
          <w:szCs w:val="20"/>
        </w:rPr>
        <w:t xml:space="preserve"> Iváncsán 680 milliárd forintos, az LG </w:t>
      </w:r>
      <w:proofErr w:type="spellStart"/>
      <w:r w:rsidRPr="006725CB">
        <w:rPr>
          <w:rFonts w:ascii="Arial" w:hAnsi="Arial" w:cs="Arial"/>
          <w:sz w:val="20"/>
          <w:szCs w:val="20"/>
        </w:rPr>
        <w:t>Chem</w:t>
      </w:r>
      <w:proofErr w:type="spellEnd"/>
      <w:r w:rsidRPr="006725CB">
        <w:rPr>
          <w:rFonts w:ascii="Arial" w:hAnsi="Arial" w:cs="Arial"/>
          <w:sz w:val="20"/>
          <w:szCs w:val="20"/>
        </w:rPr>
        <w:t xml:space="preserve"> és a </w:t>
      </w:r>
      <w:proofErr w:type="spellStart"/>
      <w:r w:rsidRPr="006725CB">
        <w:rPr>
          <w:rFonts w:ascii="Arial" w:hAnsi="Arial" w:cs="Arial"/>
          <w:sz w:val="20"/>
          <w:szCs w:val="20"/>
        </w:rPr>
        <w:t>Toray</w:t>
      </w:r>
      <w:proofErr w:type="spellEnd"/>
      <w:r w:rsidRPr="006725CB">
        <w:rPr>
          <w:rFonts w:ascii="Arial" w:hAnsi="Arial" w:cs="Arial"/>
          <w:sz w:val="20"/>
          <w:szCs w:val="20"/>
        </w:rPr>
        <w:t xml:space="preserve"> közösen 267 milliárd forintos (Nyergesújfalu)</w:t>
      </w:r>
      <w:r>
        <w:rPr>
          <w:rFonts w:ascii="Arial" w:hAnsi="Arial" w:cs="Arial"/>
          <w:sz w:val="20"/>
          <w:szCs w:val="20"/>
        </w:rPr>
        <w:t xml:space="preserve">, az </w:t>
      </w:r>
      <w:proofErr w:type="spellStart"/>
      <w:r w:rsidRPr="006725CB">
        <w:rPr>
          <w:rFonts w:ascii="Arial" w:hAnsi="Arial" w:cs="Arial"/>
          <w:sz w:val="20"/>
          <w:szCs w:val="20"/>
        </w:rPr>
        <w:t>EcoPro</w:t>
      </w:r>
      <w:proofErr w:type="spellEnd"/>
      <w:r w:rsidRPr="006725CB">
        <w:rPr>
          <w:rFonts w:ascii="Arial" w:hAnsi="Arial" w:cs="Arial"/>
          <w:sz w:val="20"/>
          <w:szCs w:val="20"/>
        </w:rPr>
        <w:t xml:space="preserve"> BM</w:t>
      </w:r>
      <w:r>
        <w:rPr>
          <w:rFonts w:ascii="Arial" w:hAnsi="Arial" w:cs="Arial"/>
          <w:sz w:val="20"/>
          <w:szCs w:val="20"/>
        </w:rPr>
        <w:t xml:space="preserve"> 264 milliárd forintos (Debrecen)</w:t>
      </w:r>
      <w:r w:rsidRPr="006725CB">
        <w:rPr>
          <w:rFonts w:ascii="Arial" w:hAnsi="Arial" w:cs="Arial"/>
          <w:sz w:val="20"/>
          <w:szCs w:val="20"/>
        </w:rPr>
        <w:t xml:space="preserve"> beruházást jelentett be a Samsung SDI 390 milliárd (Göd), az SK </w:t>
      </w:r>
      <w:proofErr w:type="spellStart"/>
      <w:r w:rsidRPr="006725CB">
        <w:rPr>
          <w:rFonts w:ascii="Arial" w:hAnsi="Arial" w:cs="Arial"/>
          <w:sz w:val="20"/>
          <w:szCs w:val="20"/>
        </w:rPr>
        <w:t>Innovation</w:t>
      </w:r>
      <w:proofErr w:type="spellEnd"/>
      <w:r w:rsidRPr="006725CB">
        <w:rPr>
          <w:rFonts w:ascii="Arial" w:hAnsi="Arial" w:cs="Arial"/>
          <w:sz w:val="20"/>
          <w:szCs w:val="20"/>
        </w:rPr>
        <w:t xml:space="preserve"> 239 milliárd (Komárom), a </w:t>
      </w:r>
      <w:proofErr w:type="spellStart"/>
      <w:r w:rsidRPr="006725CB">
        <w:rPr>
          <w:rFonts w:ascii="Arial" w:hAnsi="Arial" w:cs="Arial"/>
          <w:sz w:val="20"/>
          <w:szCs w:val="20"/>
        </w:rPr>
        <w:t>Toray</w:t>
      </w:r>
      <w:proofErr w:type="spellEnd"/>
      <w:r w:rsidRPr="006725CB">
        <w:rPr>
          <w:rFonts w:ascii="Arial" w:hAnsi="Arial" w:cs="Arial"/>
          <w:sz w:val="20"/>
          <w:szCs w:val="20"/>
        </w:rPr>
        <w:t xml:space="preserve"> 127 milliárd forint (Nyergesújfalu) értékű beruházásainak tavaly</w:t>
      </w:r>
      <w:r>
        <w:rPr>
          <w:rFonts w:ascii="Arial" w:hAnsi="Arial" w:cs="Arial"/>
          <w:sz w:val="20"/>
          <w:szCs w:val="20"/>
        </w:rPr>
        <w:t>előtt</w:t>
      </w:r>
      <w:r w:rsidRPr="006725CB">
        <w:rPr>
          <w:rFonts w:ascii="Arial" w:hAnsi="Arial" w:cs="Arial"/>
          <w:sz w:val="20"/>
          <w:szCs w:val="20"/>
        </w:rPr>
        <w:t xml:space="preserve">i bejelentései után. Kedvező, hogy </w:t>
      </w:r>
      <w:r>
        <w:rPr>
          <w:rFonts w:ascii="Arial" w:hAnsi="Arial" w:cs="Arial"/>
          <w:sz w:val="20"/>
          <w:szCs w:val="20"/>
        </w:rPr>
        <w:t>idén</w:t>
      </w:r>
      <w:r w:rsidRPr="006725CB">
        <w:rPr>
          <w:rFonts w:ascii="Arial" w:hAnsi="Arial" w:cs="Arial"/>
          <w:sz w:val="20"/>
          <w:szCs w:val="20"/>
        </w:rPr>
        <w:t xml:space="preserve"> indul a BMW 1 milliárd euró értékű gyárának beruházása. A Mercedes 50-50 milliárd forintból új présüzemet és karosszéria üzemet épített, az utóbbiban már az idei év végétől kezdődött egy új elektromos modell gyártása. </w:t>
      </w:r>
      <w:r>
        <w:rPr>
          <w:rFonts w:ascii="Arial" w:hAnsi="Arial" w:cs="Arial"/>
          <w:sz w:val="20"/>
          <w:szCs w:val="20"/>
        </w:rPr>
        <w:t>A tavaly</w:t>
      </w:r>
      <w:r w:rsidRPr="006725CB">
        <w:rPr>
          <w:rFonts w:ascii="Arial" w:hAnsi="Arial" w:cs="Arial"/>
          <w:sz w:val="20"/>
          <w:szCs w:val="20"/>
        </w:rPr>
        <w:t xml:space="preserve"> bejelentett közel </w:t>
      </w:r>
      <w:r>
        <w:rPr>
          <w:rFonts w:ascii="Arial" w:hAnsi="Arial" w:cs="Arial"/>
          <w:sz w:val="20"/>
          <w:szCs w:val="20"/>
        </w:rPr>
        <w:t>2090</w:t>
      </w:r>
      <w:r w:rsidRPr="006725CB">
        <w:rPr>
          <w:rFonts w:ascii="Arial" w:hAnsi="Arial" w:cs="Arial"/>
          <w:sz w:val="20"/>
          <w:szCs w:val="20"/>
        </w:rPr>
        <w:t xml:space="preserve"> milliárd forintnyi, valamint </w:t>
      </w:r>
      <w:r>
        <w:rPr>
          <w:rFonts w:ascii="Arial" w:hAnsi="Arial" w:cs="Arial"/>
          <w:sz w:val="20"/>
          <w:szCs w:val="20"/>
        </w:rPr>
        <w:t>az előző két évben</w:t>
      </w:r>
      <w:r w:rsidRPr="006725CB">
        <w:rPr>
          <w:rFonts w:ascii="Arial" w:hAnsi="Arial" w:cs="Arial"/>
          <w:sz w:val="20"/>
          <w:szCs w:val="20"/>
        </w:rPr>
        <w:t xml:space="preserve"> bejelentett, rekord volumenű, 5,7 milliárd eurónyi (1700 milliárd forint) új beruházásokkal együtt folytatódhat a feldolgozóipari beruházások bővülése, amelyek közül már meghatározóvá vált a távol-keleti, azon belül is elsősorban a dél-koreai tőke, emellett számottevő beruházásokat jelentettek be japán, kínai és indiai vállalatok is. A feldolgozóipari kapacitások növeléséhez a kormányzati támogatások is hozzájárulhatnak. </w:t>
      </w:r>
      <w:r w:rsidR="00463F83" w:rsidRPr="00463F83">
        <w:rPr>
          <w:rFonts w:ascii="Arial" w:hAnsi="Arial" w:cs="Arial"/>
          <w:sz w:val="20"/>
          <w:szCs w:val="20"/>
        </w:rPr>
        <w:t xml:space="preserve"> </w:t>
      </w:r>
      <w:r w:rsidR="005C518C" w:rsidRPr="007661C6">
        <w:rPr>
          <w:rFonts w:ascii="Arial" w:hAnsi="Arial" w:cs="Arial"/>
          <w:sz w:val="20"/>
          <w:szCs w:val="20"/>
        </w:rPr>
        <w:t xml:space="preserve"> </w:t>
      </w:r>
    </w:p>
    <w:tbl>
      <w:tblPr>
        <w:tblW w:w="0" w:type="auto"/>
        <w:tblLook w:val="01E0" w:firstRow="1" w:lastRow="1" w:firstColumn="1" w:lastColumn="1" w:noHBand="0" w:noVBand="0"/>
      </w:tblPr>
      <w:tblGrid>
        <w:gridCol w:w="4686"/>
        <w:gridCol w:w="222"/>
        <w:gridCol w:w="222"/>
        <w:gridCol w:w="4626"/>
      </w:tblGrid>
      <w:tr w:rsidR="00AC7652" w:rsidRPr="003536D7" w14:paraId="481C52B3" w14:textId="77777777" w:rsidTr="00684EB1">
        <w:tc>
          <w:tcPr>
            <w:tcW w:w="4686" w:type="dxa"/>
            <w:shd w:val="clear" w:color="auto" w:fill="auto"/>
          </w:tcPr>
          <w:p w14:paraId="5AB48F7F" w14:textId="77777777" w:rsidR="00AC7652" w:rsidRPr="007661C6" w:rsidRDefault="00AC7652" w:rsidP="00684EB1">
            <w:pPr>
              <w:spacing w:after="120"/>
              <w:jc w:val="center"/>
              <w:rPr>
                <w:rFonts w:ascii="Arial" w:hAnsi="Arial" w:cs="Arial"/>
                <w:color w:val="FF8500"/>
              </w:rPr>
            </w:pPr>
            <w:r>
              <w:rPr>
                <w:rFonts w:ascii="Arial" w:hAnsi="Arial" w:cs="Arial"/>
                <w:b/>
                <w:color w:val="FF8500"/>
              </w:rPr>
              <w:t>27</w:t>
            </w:r>
            <w:r w:rsidRPr="007661C6">
              <w:rPr>
                <w:rFonts w:ascii="Arial" w:hAnsi="Arial" w:cs="Arial"/>
                <w:b/>
                <w:color w:val="FF8500"/>
              </w:rPr>
              <w:t xml:space="preserve">. ábra: </w:t>
            </w:r>
            <w:r w:rsidRPr="00316464">
              <w:rPr>
                <w:rFonts w:ascii="Arial" w:hAnsi="Arial" w:cs="Arial"/>
                <w:bCs/>
                <w:color w:val="FF8500"/>
              </w:rPr>
              <w:t>A beruházási ráta alakulása a GDP százalékában</w:t>
            </w:r>
          </w:p>
        </w:tc>
        <w:tc>
          <w:tcPr>
            <w:tcW w:w="222" w:type="dxa"/>
          </w:tcPr>
          <w:p w14:paraId="5BF1F1D2" w14:textId="77777777" w:rsidR="00AC7652" w:rsidRPr="007661C6" w:rsidRDefault="00AC7652" w:rsidP="00684EB1">
            <w:pPr>
              <w:keepNext/>
              <w:jc w:val="center"/>
              <w:rPr>
                <w:rFonts w:ascii="Arial" w:hAnsi="Arial" w:cs="Arial"/>
                <w:b/>
                <w:color w:val="FF8500"/>
              </w:rPr>
            </w:pPr>
          </w:p>
        </w:tc>
        <w:tc>
          <w:tcPr>
            <w:tcW w:w="222" w:type="dxa"/>
          </w:tcPr>
          <w:p w14:paraId="6BD6FAB3" w14:textId="77777777" w:rsidR="00AC7652" w:rsidRPr="007661C6" w:rsidRDefault="00AC7652" w:rsidP="00684EB1">
            <w:pPr>
              <w:keepNext/>
              <w:jc w:val="center"/>
              <w:rPr>
                <w:rFonts w:ascii="Arial" w:hAnsi="Arial" w:cs="Arial"/>
                <w:b/>
                <w:color w:val="FF8500"/>
              </w:rPr>
            </w:pPr>
          </w:p>
        </w:tc>
        <w:tc>
          <w:tcPr>
            <w:tcW w:w="4626" w:type="dxa"/>
            <w:shd w:val="clear" w:color="auto" w:fill="auto"/>
          </w:tcPr>
          <w:p w14:paraId="315C9712" w14:textId="77777777" w:rsidR="00AC7652" w:rsidRPr="00EB25E7" w:rsidRDefault="00AC7652" w:rsidP="00684EB1">
            <w:pPr>
              <w:keepNext/>
              <w:jc w:val="center"/>
              <w:rPr>
                <w:rFonts w:ascii="Arial" w:hAnsi="Arial" w:cs="Arial"/>
                <w:b/>
                <w:color w:val="FF8500"/>
              </w:rPr>
            </w:pPr>
            <w:r>
              <w:rPr>
                <w:rFonts w:ascii="Arial" w:hAnsi="Arial" w:cs="Arial"/>
                <w:b/>
                <w:color w:val="FF8500"/>
              </w:rPr>
              <w:t>28</w:t>
            </w:r>
            <w:r w:rsidRPr="007661C6">
              <w:rPr>
                <w:rFonts w:ascii="Arial" w:hAnsi="Arial" w:cs="Arial"/>
                <w:b/>
                <w:color w:val="FF8500"/>
              </w:rPr>
              <w:t xml:space="preserve">. ábra: </w:t>
            </w:r>
            <w:r w:rsidRPr="00316464">
              <w:rPr>
                <w:rFonts w:ascii="Arial" w:hAnsi="Arial" w:cs="Arial"/>
                <w:bCs/>
                <w:color w:val="FF8500"/>
              </w:rPr>
              <w:t>A beruházások volumenindexe (2015=100%)</w:t>
            </w:r>
          </w:p>
        </w:tc>
      </w:tr>
      <w:tr w:rsidR="00AC7652" w:rsidRPr="003536D7" w14:paraId="53F9FFC6" w14:textId="77777777" w:rsidTr="00684EB1">
        <w:tc>
          <w:tcPr>
            <w:tcW w:w="4686" w:type="dxa"/>
            <w:shd w:val="clear" w:color="auto" w:fill="auto"/>
          </w:tcPr>
          <w:p w14:paraId="019D699C" w14:textId="77777777" w:rsidR="00AC7652" w:rsidRPr="003536D7" w:rsidRDefault="006725CB" w:rsidP="00684EB1">
            <w:pPr>
              <w:spacing w:after="120"/>
              <w:jc w:val="both"/>
              <w:rPr>
                <w:rFonts w:ascii="Arial" w:hAnsi="Arial" w:cs="Arial"/>
              </w:rPr>
            </w:pPr>
            <w:r>
              <w:rPr>
                <w:rFonts w:ascii="Arial" w:hAnsi="Arial" w:cs="Arial"/>
                <w:noProof/>
                <w:lang w:eastAsia="hu-HU"/>
              </w:rPr>
              <w:drawing>
                <wp:inline distT="0" distB="0" distL="0" distR="0" wp14:anchorId="782DF62E" wp14:editId="164A3EB8">
                  <wp:extent cx="2676525" cy="1962150"/>
                  <wp:effectExtent l="0" t="0" r="9525"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6525" cy="1962150"/>
                          </a:xfrm>
                          <a:prstGeom prst="rect">
                            <a:avLst/>
                          </a:prstGeom>
                          <a:noFill/>
                          <a:ln>
                            <a:noFill/>
                          </a:ln>
                        </pic:spPr>
                      </pic:pic>
                    </a:graphicData>
                  </a:graphic>
                </wp:inline>
              </w:drawing>
            </w:r>
          </w:p>
        </w:tc>
        <w:tc>
          <w:tcPr>
            <w:tcW w:w="222" w:type="dxa"/>
          </w:tcPr>
          <w:p w14:paraId="0EE92B37" w14:textId="77777777" w:rsidR="00AC7652" w:rsidRDefault="00AC7652" w:rsidP="00684EB1">
            <w:pPr>
              <w:spacing w:after="120"/>
              <w:jc w:val="both"/>
              <w:rPr>
                <w:rFonts w:ascii="Arial" w:hAnsi="Arial" w:cs="Arial"/>
                <w:noProof/>
                <w:lang w:eastAsia="hu-HU"/>
              </w:rPr>
            </w:pPr>
          </w:p>
        </w:tc>
        <w:tc>
          <w:tcPr>
            <w:tcW w:w="222" w:type="dxa"/>
          </w:tcPr>
          <w:p w14:paraId="222B9089" w14:textId="77777777" w:rsidR="00AC7652" w:rsidRDefault="00AC7652" w:rsidP="00684EB1">
            <w:pPr>
              <w:spacing w:after="120"/>
              <w:jc w:val="both"/>
              <w:rPr>
                <w:rFonts w:ascii="Arial" w:hAnsi="Arial" w:cs="Arial"/>
                <w:noProof/>
                <w:lang w:eastAsia="hu-HU"/>
              </w:rPr>
            </w:pPr>
          </w:p>
        </w:tc>
        <w:tc>
          <w:tcPr>
            <w:tcW w:w="4626" w:type="dxa"/>
            <w:shd w:val="clear" w:color="auto" w:fill="auto"/>
          </w:tcPr>
          <w:p w14:paraId="7C54958B" w14:textId="77777777" w:rsidR="00AC7652" w:rsidRPr="003536D7" w:rsidRDefault="006725CB" w:rsidP="00684EB1">
            <w:pPr>
              <w:spacing w:after="120"/>
              <w:jc w:val="both"/>
              <w:rPr>
                <w:rFonts w:ascii="Arial" w:hAnsi="Arial" w:cs="Arial"/>
              </w:rPr>
            </w:pPr>
            <w:r>
              <w:rPr>
                <w:rFonts w:ascii="Arial" w:hAnsi="Arial" w:cs="Arial"/>
                <w:noProof/>
                <w:lang w:eastAsia="hu-HU"/>
              </w:rPr>
              <w:drawing>
                <wp:inline distT="0" distB="0" distL="0" distR="0" wp14:anchorId="3954E3FF" wp14:editId="08BB8E99">
                  <wp:extent cx="2800350" cy="1962150"/>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0350" cy="1962150"/>
                          </a:xfrm>
                          <a:prstGeom prst="rect">
                            <a:avLst/>
                          </a:prstGeom>
                          <a:noFill/>
                          <a:ln>
                            <a:noFill/>
                          </a:ln>
                        </pic:spPr>
                      </pic:pic>
                    </a:graphicData>
                  </a:graphic>
                </wp:inline>
              </w:drawing>
            </w:r>
          </w:p>
        </w:tc>
      </w:tr>
      <w:tr w:rsidR="00AC7652" w:rsidRPr="003536D7" w14:paraId="2BE87252" w14:textId="77777777" w:rsidTr="00684EB1">
        <w:tc>
          <w:tcPr>
            <w:tcW w:w="4686" w:type="dxa"/>
            <w:shd w:val="clear" w:color="auto" w:fill="auto"/>
          </w:tcPr>
          <w:p w14:paraId="38D64458" w14:textId="77777777" w:rsidR="00AC7652" w:rsidRPr="003536D7" w:rsidRDefault="00AC7652" w:rsidP="00684EB1">
            <w:pPr>
              <w:pStyle w:val="Kpalrstbank"/>
            </w:pPr>
            <w:r w:rsidRPr="003536D7">
              <w:t>Forrás: KSH</w:t>
            </w:r>
            <w:r>
              <w:t>,</w:t>
            </w:r>
            <w:r w:rsidRPr="003536D7">
              <w:t xml:space="preserve"> Takarékbank előrejelzés </w:t>
            </w:r>
          </w:p>
        </w:tc>
        <w:tc>
          <w:tcPr>
            <w:tcW w:w="222" w:type="dxa"/>
          </w:tcPr>
          <w:p w14:paraId="0F08AFA6" w14:textId="77777777" w:rsidR="00AC7652" w:rsidRPr="003536D7" w:rsidRDefault="00AC7652" w:rsidP="00684EB1">
            <w:pPr>
              <w:spacing w:after="120"/>
              <w:jc w:val="both"/>
              <w:rPr>
                <w:rFonts w:ascii="Arial" w:hAnsi="Arial" w:cs="Arial"/>
                <w:i/>
                <w:sz w:val="16"/>
                <w:szCs w:val="16"/>
              </w:rPr>
            </w:pPr>
          </w:p>
        </w:tc>
        <w:tc>
          <w:tcPr>
            <w:tcW w:w="222" w:type="dxa"/>
          </w:tcPr>
          <w:p w14:paraId="5B473850" w14:textId="77777777" w:rsidR="00AC7652" w:rsidRPr="003536D7" w:rsidRDefault="00AC7652" w:rsidP="00684EB1">
            <w:pPr>
              <w:spacing w:after="120"/>
              <w:jc w:val="both"/>
              <w:rPr>
                <w:rFonts w:ascii="Arial" w:hAnsi="Arial" w:cs="Arial"/>
                <w:i/>
                <w:sz w:val="16"/>
                <w:szCs w:val="16"/>
              </w:rPr>
            </w:pPr>
          </w:p>
        </w:tc>
        <w:tc>
          <w:tcPr>
            <w:tcW w:w="4626" w:type="dxa"/>
            <w:shd w:val="clear" w:color="auto" w:fill="auto"/>
          </w:tcPr>
          <w:p w14:paraId="56483A11" w14:textId="77777777" w:rsidR="00AC7652" w:rsidRPr="003536D7" w:rsidRDefault="00AC7652" w:rsidP="00684EB1">
            <w:pPr>
              <w:pStyle w:val="Kpalrstbank"/>
            </w:pPr>
            <w:r w:rsidRPr="003536D7">
              <w:t>Forrás: KSH, Takarékbank előrejelzés (árnyékolt terület)</w:t>
            </w:r>
          </w:p>
        </w:tc>
      </w:tr>
      <w:tr w:rsidR="00AC7652" w:rsidRPr="003536D7" w14:paraId="541223E4" w14:textId="77777777" w:rsidTr="00684EB1">
        <w:tc>
          <w:tcPr>
            <w:tcW w:w="4686" w:type="dxa"/>
            <w:shd w:val="clear" w:color="auto" w:fill="auto"/>
          </w:tcPr>
          <w:p w14:paraId="0F768CF5" w14:textId="77777777" w:rsidR="00AC7652" w:rsidRPr="003536D7" w:rsidRDefault="00AC7652" w:rsidP="00684EB1">
            <w:pPr>
              <w:spacing w:after="120"/>
              <w:jc w:val="both"/>
              <w:rPr>
                <w:rFonts w:ascii="Arial" w:hAnsi="Arial" w:cs="Arial"/>
                <w:i/>
                <w:sz w:val="16"/>
                <w:szCs w:val="16"/>
              </w:rPr>
            </w:pPr>
          </w:p>
        </w:tc>
        <w:tc>
          <w:tcPr>
            <w:tcW w:w="222" w:type="dxa"/>
          </w:tcPr>
          <w:p w14:paraId="520A4C53" w14:textId="77777777" w:rsidR="00AC7652" w:rsidRPr="003536D7" w:rsidRDefault="00AC7652" w:rsidP="00684EB1">
            <w:pPr>
              <w:spacing w:after="120"/>
              <w:jc w:val="both"/>
              <w:rPr>
                <w:rFonts w:ascii="Arial" w:hAnsi="Arial" w:cs="Arial"/>
                <w:i/>
                <w:sz w:val="16"/>
                <w:szCs w:val="16"/>
              </w:rPr>
            </w:pPr>
          </w:p>
        </w:tc>
        <w:tc>
          <w:tcPr>
            <w:tcW w:w="222" w:type="dxa"/>
          </w:tcPr>
          <w:p w14:paraId="701EE444" w14:textId="77777777" w:rsidR="00AC7652" w:rsidRPr="003536D7" w:rsidRDefault="00AC7652" w:rsidP="00684EB1">
            <w:pPr>
              <w:spacing w:after="120"/>
              <w:jc w:val="both"/>
              <w:rPr>
                <w:rFonts w:ascii="Arial" w:hAnsi="Arial" w:cs="Arial"/>
                <w:i/>
                <w:sz w:val="16"/>
                <w:szCs w:val="16"/>
              </w:rPr>
            </w:pPr>
          </w:p>
        </w:tc>
        <w:tc>
          <w:tcPr>
            <w:tcW w:w="4626" w:type="dxa"/>
            <w:shd w:val="clear" w:color="auto" w:fill="auto"/>
          </w:tcPr>
          <w:p w14:paraId="6C27F5EB" w14:textId="77777777" w:rsidR="00AC7652" w:rsidRPr="003536D7" w:rsidRDefault="00AC7652" w:rsidP="00684EB1">
            <w:pPr>
              <w:spacing w:after="120"/>
              <w:jc w:val="both"/>
              <w:rPr>
                <w:rFonts w:ascii="Arial" w:hAnsi="Arial" w:cs="Arial"/>
                <w:i/>
                <w:sz w:val="16"/>
                <w:szCs w:val="16"/>
              </w:rPr>
            </w:pPr>
          </w:p>
        </w:tc>
      </w:tr>
    </w:tbl>
    <w:p w14:paraId="56F7D4D8" w14:textId="77777777" w:rsidR="005C518C" w:rsidRPr="007661C6" w:rsidRDefault="00CD6357" w:rsidP="007661C6">
      <w:pPr>
        <w:spacing w:after="120" w:line="360" w:lineRule="auto"/>
        <w:jc w:val="both"/>
        <w:rPr>
          <w:rFonts w:ascii="Arial" w:hAnsi="Arial" w:cs="Arial"/>
          <w:sz w:val="20"/>
          <w:szCs w:val="20"/>
        </w:rPr>
      </w:pPr>
      <w:r w:rsidRPr="00CD6357">
        <w:rPr>
          <w:rFonts w:ascii="Arial" w:hAnsi="Arial" w:cs="Arial"/>
          <w:sz w:val="20"/>
          <w:szCs w:val="20"/>
        </w:rPr>
        <w:t xml:space="preserve">A legnagyobb súlyú nemzetgazdasági ágak közül </w:t>
      </w:r>
      <w:r w:rsidRPr="00CD6357">
        <w:rPr>
          <w:rFonts w:ascii="Arial" w:hAnsi="Arial" w:cs="Arial"/>
          <w:b/>
          <w:sz w:val="20"/>
          <w:szCs w:val="20"/>
        </w:rPr>
        <w:t xml:space="preserve">az ingatlanügyletek beruházási teljesítménye 5,7%-kal bővült. </w:t>
      </w:r>
      <w:r w:rsidRPr="00CD6357">
        <w:rPr>
          <w:rFonts w:ascii="Arial" w:hAnsi="Arial" w:cs="Arial"/>
          <w:sz w:val="20"/>
          <w:szCs w:val="20"/>
        </w:rPr>
        <w:t xml:space="preserve">Míg </w:t>
      </w:r>
      <w:r w:rsidRPr="00CD6357">
        <w:rPr>
          <w:rFonts w:ascii="Arial" w:hAnsi="Arial" w:cs="Arial"/>
          <w:b/>
          <w:sz w:val="20"/>
          <w:szCs w:val="20"/>
        </w:rPr>
        <w:t>lakásépítések csökkentették, a bérbeadást is szolgáló üzleti létesítményekbe</w:t>
      </w:r>
      <w:r w:rsidRPr="00CD6357">
        <w:rPr>
          <w:rFonts w:ascii="Arial" w:hAnsi="Arial" w:cs="Arial"/>
          <w:sz w:val="20"/>
          <w:szCs w:val="20"/>
        </w:rPr>
        <w:t xml:space="preserve"> (pl. kereskedelmi egységek, irodák, raktárak) </w:t>
      </w:r>
      <w:r w:rsidRPr="00CD6357">
        <w:rPr>
          <w:rFonts w:ascii="Arial" w:hAnsi="Arial" w:cs="Arial"/>
          <w:b/>
          <w:sz w:val="20"/>
          <w:szCs w:val="20"/>
        </w:rPr>
        <w:t>növelték</w:t>
      </w:r>
      <w:r w:rsidRPr="00CD6357">
        <w:rPr>
          <w:rFonts w:ascii="Arial" w:hAnsi="Arial" w:cs="Arial"/>
          <w:sz w:val="20"/>
          <w:szCs w:val="20"/>
        </w:rPr>
        <w:t xml:space="preserve"> az ágazat beruházási teljesítményét. Az elmúlt években elindult az irodaátadási hullám, tavaly 160 ezer négyzetméternyi ir</w:t>
      </w:r>
      <w:r>
        <w:rPr>
          <w:rFonts w:ascii="Arial" w:hAnsi="Arial" w:cs="Arial"/>
          <w:sz w:val="20"/>
          <w:szCs w:val="20"/>
        </w:rPr>
        <w:t>odát adtak át, míg további több</w:t>
      </w:r>
      <w:r w:rsidRPr="00CD6357">
        <w:rPr>
          <w:rFonts w:ascii="Arial" w:hAnsi="Arial" w:cs="Arial"/>
          <w:sz w:val="20"/>
          <w:szCs w:val="20"/>
        </w:rPr>
        <w:t xml:space="preserve"> százezer négyzetméternyi iroda van fejlesztés és kivitelezés alatt, ugyanakkor az üresedési ráta az irodaházaknál történelmi mélypontról, 6% </w:t>
      </w:r>
      <w:proofErr w:type="spellStart"/>
      <w:r w:rsidRPr="00CD6357">
        <w:rPr>
          <w:rFonts w:ascii="Arial" w:hAnsi="Arial" w:cs="Arial"/>
          <w:sz w:val="20"/>
          <w:szCs w:val="20"/>
        </w:rPr>
        <w:t>közeléből</w:t>
      </w:r>
      <w:proofErr w:type="spellEnd"/>
      <w:r w:rsidRPr="00CD6357">
        <w:rPr>
          <w:rFonts w:ascii="Arial" w:hAnsi="Arial" w:cs="Arial"/>
          <w:sz w:val="20"/>
          <w:szCs w:val="20"/>
        </w:rPr>
        <w:t xml:space="preserve"> 9% fölé emelkedett, a raktározás területén pedig 2% alá süllyedt, így ez az ágazat továbbra is kiemelkedően teljesíthet.</w:t>
      </w:r>
    </w:p>
    <w:p w14:paraId="7CAD3556" w14:textId="77777777" w:rsidR="00BC3656" w:rsidRPr="00BC3656" w:rsidRDefault="001F425C" w:rsidP="00BC3656">
      <w:pPr>
        <w:spacing w:after="120" w:line="360" w:lineRule="auto"/>
        <w:jc w:val="both"/>
        <w:rPr>
          <w:rFonts w:ascii="Arial" w:hAnsi="Arial" w:cs="Arial"/>
          <w:b/>
          <w:bCs/>
          <w:sz w:val="20"/>
          <w:szCs w:val="20"/>
        </w:rPr>
      </w:pPr>
      <w:r w:rsidRPr="001F425C">
        <w:rPr>
          <w:rFonts w:ascii="Arial" w:hAnsi="Arial" w:cs="Arial"/>
          <w:b/>
          <w:bCs/>
          <w:sz w:val="20"/>
          <w:szCs w:val="20"/>
        </w:rPr>
        <w:t>A szállítás, raktáro</w:t>
      </w:r>
      <w:r w:rsidR="0096136B">
        <w:rPr>
          <w:rFonts w:ascii="Arial" w:hAnsi="Arial" w:cs="Arial"/>
          <w:b/>
          <w:bCs/>
          <w:sz w:val="20"/>
          <w:szCs w:val="20"/>
        </w:rPr>
        <w:t>zás beruházásainak volumene 20,8</w:t>
      </w:r>
      <w:r w:rsidRPr="001F425C">
        <w:rPr>
          <w:rFonts w:ascii="Arial" w:hAnsi="Arial" w:cs="Arial"/>
          <w:b/>
          <w:bCs/>
          <w:sz w:val="20"/>
          <w:szCs w:val="20"/>
        </w:rPr>
        <w:t xml:space="preserve">%-kal nőtt, </w:t>
      </w:r>
      <w:r w:rsidR="0096136B" w:rsidRPr="0096136B">
        <w:rPr>
          <w:rFonts w:ascii="Arial" w:hAnsi="Arial" w:cs="Arial"/>
          <w:bCs/>
          <w:sz w:val="20"/>
          <w:szCs w:val="20"/>
        </w:rPr>
        <w:t>az állami infrastruktúra-fejlesztések mellett a logisztikával, fuvarozással foglalkozó vállalkozások is növelték a beruházásaikat</w:t>
      </w:r>
      <w:r w:rsidRPr="001F425C">
        <w:rPr>
          <w:rFonts w:ascii="Arial" w:hAnsi="Arial" w:cs="Arial"/>
          <w:bCs/>
          <w:sz w:val="20"/>
          <w:szCs w:val="20"/>
        </w:rPr>
        <w:t xml:space="preserve">. A következő években azonban mintegy </w:t>
      </w:r>
      <w:r w:rsidRPr="001F425C">
        <w:rPr>
          <w:rFonts w:ascii="Arial" w:hAnsi="Arial" w:cs="Arial"/>
          <w:b/>
          <w:bCs/>
          <w:sz w:val="20"/>
          <w:szCs w:val="20"/>
        </w:rPr>
        <w:t>5000 milliárd forintnyi forrás</w:t>
      </w:r>
      <w:r w:rsidRPr="001F425C">
        <w:rPr>
          <w:rFonts w:ascii="Arial" w:hAnsi="Arial" w:cs="Arial"/>
          <w:bCs/>
          <w:sz w:val="20"/>
          <w:szCs w:val="20"/>
        </w:rPr>
        <w:t xml:space="preserve"> jut közúti és vasúti fejlesztésekre, így ezen a területen érdemi növekedés várható.</w:t>
      </w:r>
      <w:r w:rsidR="00BC3656" w:rsidRPr="00BC3656">
        <w:rPr>
          <w:rFonts w:ascii="Arial" w:hAnsi="Arial" w:cs="Arial"/>
          <w:b/>
          <w:bCs/>
          <w:sz w:val="20"/>
          <w:szCs w:val="20"/>
        </w:rPr>
        <w:t xml:space="preserve"> </w:t>
      </w:r>
    </w:p>
    <w:p w14:paraId="1BE42067" w14:textId="77777777" w:rsidR="005C518C" w:rsidRPr="00EB25E7" w:rsidRDefault="001F425C" w:rsidP="00BC3656">
      <w:pPr>
        <w:spacing w:after="120" w:line="360" w:lineRule="auto"/>
        <w:jc w:val="both"/>
        <w:rPr>
          <w:rFonts w:ascii="Arial" w:hAnsi="Arial" w:cs="Arial"/>
          <w:sz w:val="20"/>
          <w:szCs w:val="20"/>
        </w:rPr>
      </w:pPr>
      <w:r w:rsidRPr="001F425C">
        <w:rPr>
          <w:rFonts w:ascii="Arial" w:hAnsi="Arial" w:cs="Arial"/>
          <w:b/>
          <w:bCs/>
          <w:sz w:val="20"/>
          <w:szCs w:val="20"/>
        </w:rPr>
        <w:lastRenderedPageBreak/>
        <w:t xml:space="preserve">A kereskedelem, gépjárműjavítás beruházási teljesítménye </w:t>
      </w:r>
      <w:r w:rsidR="008A2A95">
        <w:rPr>
          <w:rFonts w:ascii="Arial" w:hAnsi="Arial" w:cs="Arial"/>
          <w:b/>
          <w:bCs/>
          <w:sz w:val="20"/>
          <w:szCs w:val="20"/>
        </w:rPr>
        <w:t>21,5</w:t>
      </w:r>
      <w:r w:rsidRPr="001F425C">
        <w:rPr>
          <w:rFonts w:ascii="Arial" w:hAnsi="Arial" w:cs="Arial"/>
          <w:b/>
          <w:bCs/>
          <w:sz w:val="20"/>
          <w:szCs w:val="20"/>
        </w:rPr>
        <w:t xml:space="preserve">%-kal nőtt. </w:t>
      </w:r>
      <w:r w:rsidRPr="001F425C">
        <w:rPr>
          <w:rFonts w:ascii="Arial" w:hAnsi="Arial" w:cs="Arial"/>
          <w:bCs/>
          <w:sz w:val="20"/>
          <w:szCs w:val="20"/>
        </w:rPr>
        <w:t>Jelentősen bővültek a kiskereskedelmi, elsősorban élelmiszer jellegű és vegyes kiskereskedelmi ületek fejlesztései. A megugró online és csomagküldő kiskereskedelem további jelentős raktár és logisztikai, kiszállítási beruházásokat is generálhat.</w:t>
      </w:r>
    </w:p>
    <w:p w14:paraId="19BBC226" w14:textId="77777777" w:rsidR="005C518C" w:rsidRPr="00EB25E7" w:rsidRDefault="001F425C" w:rsidP="00EB25E7">
      <w:pPr>
        <w:spacing w:after="120" w:line="360" w:lineRule="auto"/>
        <w:jc w:val="both"/>
        <w:rPr>
          <w:rFonts w:ascii="Arial" w:hAnsi="Arial" w:cs="Arial"/>
          <w:sz w:val="20"/>
          <w:szCs w:val="20"/>
        </w:rPr>
      </w:pPr>
      <w:r w:rsidRPr="001F425C">
        <w:rPr>
          <w:rFonts w:ascii="Arial" w:hAnsi="Arial" w:cs="Arial"/>
          <w:sz w:val="20"/>
          <w:szCs w:val="20"/>
        </w:rPr>
        <w:t xml:space="preserve">A </w:t>
      </w:r>
      <w:r w:rsidRPr="001F425C">
        <w:rPr>
          <w:rFonts w:ascii="Arial" w:hAnsi="Arial" w:cs="Arial"/>
          <w:b/>
          <w:sz w:val="20"/>
          <w:szCs w:val="20"/>
        </w:rPr>
        <w:t xml:space="preserve">mezőgazdaság, erdőgazdálkodás, halászat beruházásai a tárgynegyedévben </w:t>
      </w:r>
      <w:r w:rsidR="00BF4468">
        <w:rPr>
          <w:rFonts w:ascii="Arial" w:hAnsi="Arial" w:cs="Arial"/>
          <w:b/>
          <w:sz w:val="20"/>
          <w:szCs w:val="20"/>
        </w:rPr>
        <w:t>jelentősen, 37</w:t>
      </w:r>
      <w:r w:rsidRPr="001F425C">
        <w:rPr>
          <w:rFonts w:ascii="Arial" w:hAnsi="Arial" w:cs="Arial"/>
          <w:b/>
          <w:sz w:val="20"/>
          <w:szCs w:val="20"/>
        </w:rPr>
        <w:t xml:space="preserve">%-kal </w:t>
      </w:r>
      <w:r w:rsidR="00BF4468">
        <w:rPr>
          <w:rFonts w:ascii="Arial" w:hAnsi="Arial" w:cs="Arial"/>
          <w:b/>
          <w:sz w:val="20"/>
          <w:szCs w:val="20"/>
        </w:rPr>
        <w:t>nőttek</w:t>
      </w:r>
      <w:r w:rsidRPr="001F425C">
        <w:rPr>
          <w:rFonts w:ascii="Arial" w:hAnsi="Arial" w:cs="Arial"/>
          <w:sz w:val="20"/>
          <w:szCs w:val="20"/>
        </w:rPr>
        <w:t xml:space="preserve">. A mezőgazdaságra is jellemző és várhatóan egyre kritikusabb munkaerőhiány miatt ugyanakkor </w:t>
      </w:r>
      <w:r w:rsidRPr="001F425C">
        <w:rPr>
          <w:rFonts w:ascii="Arial" w:hAnsi="Arial" w:cs="Arial"/>
          <w:b/>
          <w:sz w:val="20"/>
          <w:szCs w:val="20"/>
        </w:rPr>
        <w:t>a precíziós gazdálkodásra</w:t>
      </w:r>
      <w:r w:rsidRPr="001F425C">
        <w:rPr>
          <w:rFonts w:ascii="Arial" w:hAnsi="Arial" w:cs="Arial"/>
          <w:sz w:val="20"/>
          <w:szCs w:val="20"/>
        </w:rPr>
        <w:t xml:space="preserve"> való áttérés számottevő beruházási igényt generálhat. A mezőgazdasági fejlesztéseket a soha nem látott pályázati támogatások is élénkíteni fogják.</w:t>
      </w:r>
      <w:r w:rsidR="005C518C" w:rsidRPr="00EB25E7">
        <w:rPr>
          <w:rFonts w:ascii="Arial" w:hAnsi="Arial" w:cs="Arial"/>
          <w:sz w:val="20"/>
          <w:szCs w:val="20"/>
        </w:rPr>
        <w:t xml:space="preserve"> </w:t>
      </w:r>
    </w:p>
    <w:p w14:paraId="5313DE28" w14:textId="77777777" w:rsidR="00EC4099" w:rsidRDefault="00707960" w:rsidP="00EB25E7">
      <w:pPr>
        <w:spacing w:after="120" w:line="360" w:lineRule="auto"/>
        <w:jc w:val="both"/>
        <w:rPr>
          <w:rFonts w:ascii="Arial" w:hAnsi="Arial" w:cs="Arial"/>
          <w:sz w:val="20"/>
          <w:szCs w:val="20"/>
        </w:rPr>
      </w:pPr>
      <w:r w:rsidRPr="00707960">
        <w:rPr>
          <w:rFonts w:ascii="Arial" w:hAnsi="Arial" w:cs="Arial"/>
          <w:sz w:val="20"/>
          <w:szCs w:val="20"/>
        </w:rPr>
        <w:t>Az államhoz kötődő beruházások közül a közigazgatás, védelem, kötelező t</w:t>
      </w:r>
      <w:r w:rsidR="00E332AA">
        <w:rPr>
          <w:rFonts w:ascii="Arial" w:hAnsi="Arial" w:cs="Arial"/>
          <w:sz w:val="20"/>
          <w:szCs w:val="20"/>
        </w:rPr>
        <w:t>ársadalombiztosítás területén 31,5</w:t>
      </w:r>
      <w:r w:rsidRPr="00707960">
        <w:rPr>
          <w:rFonts w:ascii="Arial" w:hAnsi="Arial" w:cs="Arial"/>
          <w:sz w:val="20"/>
          <w:szCs w:val="20"/>
        </w:rPr>
        <w:t>%-kal csökkentek a beruházások</w:t>
      </w:r>
      <w:r>
        <w:rPr>
          <w:rFonts w:ascii="Arial" w:hAnsi="Arial" w:cs="Arial"/>
          <w:sz w:val="20"/>
          <w:szCs w:val="20"/>
        </w:rPr>
        <w:t xml:space="preserve">. </w:t>
      </w:r>
      <w:r w:rsidRPr="00707960">
        <w:rPr>
          <w:rFonts w:ascii="Arial" w:hAnsi="Arial" w:cs="Arial"/>
          <w:b/>
          <w:sz w:val="20"/>
          <w:szCs w:val="20"/>
        </w:rPr>
        <w:t>A művészet, szórakoztatás, szabadidő</w:t>
      </w:r>
      <w:r w:rsidRPr="00707960">
        <w:rPr>
          <w:rFonts w:ascii="Arial" w:hAnsi="Arial" w:cs="Arial"/>
          <w:sz w:val="20"/>
          <w:szCs w:val="20"/>
        </w:rPr>
        <w:t xml:space="preserve"> nemzetgazdasági ágazatban </w:t>
      </w:r>
      <w:proofErr w:type="gramStart"/>
      <w:r w:rsidRPr="00707960">
        <w:rPr>
          <w:rFonts w:ascii="Arial" w:hAnsi="Arial" w:cs="Arial"/>
          <w:sz w:val="20"/>
          <w:szCs w:val="20"/>
        </w:rPr>
        <w:t>a sporttal,</w:t>
      </w:r>
      <w:proofErr w:type="gramEnd"/>
      <w:r w:rsidRPr="00707960">
        <w:rPr>
          <w:rFonts w:ascii="Arial" w:hAnsi="Arial" w:cs="Arial"/>
          <w:sz w:val="20"/>
          <w:szCs w:val="20"/>
        </w:rPr>
        <w:t xml:space="preserve"> és kultúrával kapcsolatos beruházások, főleg </w:t>
      </w:r>
      <w:r w:rsidRPr="00707960">
        <w:rPr>
          <w:rFonts w:ascii="Arial" w:hAnsi="Arial" w:cs="Arial"/>
          <w:b/>
          <w:sz w:val="20"/>
          <w:szCs w:val="20"/>
        </w:rPr>
        <w:t>tornatermek, tanuszodák építése</w:t>
      </w:r>
      <w:r w:rsidRPr="00707960">
        <w:rPr>
          <w:rFonts w:ascii="Arial" w:hAnsi="Arial" w:cs="Arial"/>
          <w:sz w:val="20"/>
          <w:szCs w:val="20"/>
        </w:rPr>
        <w:t xml:space="preserve">, gyógyfürdőkkel kapcsolatos fejlesztések növekedése miatt </w:t>
      </w:r>
      <w:r w:rsidR="00E332AA">
        <w:rPr>
          <w:rFonts w:ascii="Arial" w:hAnsi="Arial" w:cs="Arial"/>
          <w:b/>
          <w:sz w:val="20"/>
          <w:szCs w:val="20"/>
        </w:rPr>
        <w:t>31,9</w:t>
      </w:r>
      <w:r w:rsidRPr="00707960">
        <w:rPr>
          <w:rFonts w:ascii="Arial" w:hAnsi="Arial" w:cs="Arial"/>
          <w:b/>
          <w:sz w:val="20"/>
          <w:szCs w:val="20"/>
        </w:rPr>
        <w:t>%-kal emelkedtek</w:t>
      </w:r>
      <w:r w:rsidRPr="00707960">
        <w:rPr>
          <w:rFonts w:ascii="Arial" w:hAnsi="Arial" w:cs="Arial"/>
          <w:sz w:val="20"/>
          <w:szCs w:val="20"/>
        </w:rPr>
        <w:t xml:space="preserve"> a beruházások. A járványhelyzet miatt egy évvel ezelőtti magas bázis hatására </w:t>
      </w:r>
      <w:r w:rsidRPr="00707960">
        <w:rPr>
          <w:rFonts w:ascii="Arial" w:hAnsi="Arial" w:cs="Arial"/>
          <w:b/>
          <w:sz w:val="20"/>
          <w:szCs w:val="20"/>
        </w:rPr>
        <w:t>a humán egész</w:t>
      </w:r>
      <w:r w:rsidR="00E332AA">
        <w:rPr>
          <w:rFonts w:ascii="Arial" w:hAnsi="Arial" w:cs="Arial"/>
          <w:b/>
          <w:sz w:val="20"/>
          <w:szCs w:val="20"/>
        </w:rPr>
        <w:t>ségügyi, szociális ellátásban 33,6</w:t>
      </w:r>
      <w:r w:rsidRPr="00707960">
        <w:rPr>
          <w:rFonts w:ascii="Arial" w:hAnsi="Arial" w:cs="Arial"/>
          <w:b/>
          <w:sz w:val="20"/>
          <w:szCs w:val="20"/>
        </w:rPr>
        <w:t>%-kal csökkentek</w:t>
      </w:r>
      <w:r w:rsidRPr="00707960">
        <w:rPr>
          <w:rFonts w:ascii="Arial" w:hAnsi="Arial" w:cs="Arial"/>
          <w:sz w:val="20"/>
          <w:szCs w:val="20"/>
        </w:rPr>
        <w:t xml:space="preserve"> a beruházások, míg a távoktatás bevezetésével összefüggésben és felsőoktatási fejlesztések következtében az </w:t>
      </w:r>
      <w:r w:rsidR="00E332AA">
        <w:rPr>
          <w:rFonts w:ascii="Arial" w:hAnsi="Arial" w:cs="Arial"/>
          <w:b/>
          <w:sz w:val="20"/>
          <w:szCs w:val="20"/>
        </w:rPr>
        <w:t>oktatásban 15,1</w:t>
      </w:r>
      <w:r w:rsidRPr="00707960">
        <w:rPr>
          <w:rFonts w:ascii="Arial" w:hAnsi="Arial" w:cs="Arial"/>
          <w:b/>
          <w:sz w:val="20"/>
          <w:szCs w:val="20"/>
        </w:rPr>
        <w:t>%-kal emelkedett a beruházások volumene</w:t>
      </w:r>
      <w:r w:rsidRPr="00707960">
        <w:rPr>
          <w:rFonts w:ascii="Arial" w:hAnsi="Arial" w:cs="Arial"/>
          <w:sz w:val="20"/>
          <w:szCs w:val="20"/>
        </w:rPr>
        <w:t>. Az oktatási beruházásokat érdemben növelni fogja az uniós forrásból a felsőoktatásra szánt 1500 milliárd forintos fejlesztési terv. A víz- és hulladékgazdálkodás terüle</w:t>
      </w:r>
      <w:r w:rsidR="00E332AA">
        <w:rPr>
          <w:rFonts w:ascii="Arial" w:hAnsi="Arial" w:cs="Arial"/>
          <w:sz w:val="20"/>
          <w:szCs w:val="20"/>
        </w:rPr>
        <w:t>tén 9,1</w:t>
      </w:r>
      <w:r w:rsidRPr="00707960">
        <w:rPr>
          <w:rFonts w:ascii="Arial" w:hAnsi="Arial" w:cs="Arial"/>
          <w:sz w:val="20"/>
          <w:szCs w:val="20"/>
        </w:rPr>
        <w:t>%-kal csökkentek a beruházások. Az egészségügyben a következő években az Egészséges Budapest Program 700 milliárd forintos fejlesztési kerete érdemben járulhat hozzá a beruházásokhoz. A következő években a Liget Projekt mellett a Modern Városok Program és a turisztikai beruházások tovább növelhetnék az ágazat beruházásait.</w:t>
      </w:r>
      <w:r w:rsidR="005C518C" w:rsidRPr="00EB25E7">
        <w:rPr>
          <w:rFonts w:ascii="Arial" w:hAnsi="Arial" w:cs="Arial"/>
          <w:sz w:val="20"/>
          <w:szCs w:val="20"/>
        </w:rPr>
        <w:t xml:space="preserve"> </w:t>
      </w:r>
    </w:p>
    <w:p w14:paraId="3C3E80C5" w14:textId="77777777" w:rsidR="005C518C" w:rsidRPr="00EB25E7" w:rsidRDefault="004A16DE" w:rsidP="00EB25E7">
      <w:pPr>
        <w:spacing w:after="120" w:line="360" w:lineRule="auto"/>
        <w:jc w:val="both"/>
        <w:rPr>
          <w:rFonts w:ascii="Arial" w:hAnsi="Arial" w:cs="Arial"/>
          <w:sz w:val="20"/>
          <w:szCs w:val="20"/>
        </w:rPr>
      </w:pPr>
      <w:r w:rsidRPr="004A16DE">
        <w:rPr>
          <w:rFonts w:ascii="Arial" w:hAnsi="Arial" w:cs="Arial"/>
          <w:b/>
          <w:sz w:val="20"/>
          <w:szCs w:val="20"/>
        </w:rPr>
        <w:t>Az információ, kommunikáció beruházási t</w:t>
      </w:r>
      <w:r w:rsidR="003927C8">
        <w:rPr>
          <w:rFonts w:ascii="Arial" w:hAnsi="Arial" w:cs="Arial"/>
          <w:b/>
          <w:sz w:val="20"/>
          <w:szCs w:val="20"/>
        </w:rPr>
        <w:t>eljesítmény értékének volumene 19</w:t>
      </w:r>
      <w:r w:rsidRPr="004A16DE">
        <w:rPr>
          <w:rFonts w:ascii="Arial" w:hAnsi="Arial" w:cs="Arial"/>
          <w:b/>
          <w:sz w:val="20"/>
          <w:szCs w:val="20"/>
        </w:rPr>
        <w:t>,3%-kal nőtt</w:t>
      </w:r>
      <w:r w:rsidRPr="004A16DE">
        <w:rPr>
          <w:rFonts w:ascii="Arial" w:hAnsi="Arial" w:cs="Arial"/>
          <w:sz w:val="20"/>
          <w:szCs w:val="20"/>
        </w:rPr>
        <w:t xml:space="preserve">, a digitális hálózatépítésekkel (5G), mobiltelefonos szolgáltatásokkal és kábelhálózat építésekkel kapcsolatos fejlesztések miatt további növekedés várható. </w:t>
      </w:r>
      <w:r w:rsidR="005C518C" w:rsidRPr="00EB25E7">
        <w:rPr>
          <w:rFonts w:ascii="Arial" w:hAnsi="Arial" w:cs="Arial"/>
          <w:sz w:val="20"/>
          <w:szCs w:val="20"/>
        </w:rPr>
        <w:t xml:space="preserve"> </w:t>
      </w:r>
    </w:p>
    <w:p w14:paraId="44DED00C" w14:textId="77777777" w:rsidR="005C518C" w:rsidRPr="00EB25E7" w:rsidRDefault="004A16DE" w:rsidP="00EB25E7">
      <w:pPr>
        <w:spacing w:after="120" w:line="360" w:lineRule="auto"/>
        <w:jc w:val="both"/>
        <w:rPr>
          <w:rFonts w:ascii="Arial" w:hAnsi="Arial" w:cs="Arial"/>
          <w:sz w:val="20"/>
          <w:szCs w:val="20"/>
        </w:rPr>
      </w:pPr>
      <w:r w:rsidRPr="004A16DE">
        <w:rPr>
          <w:rFonts w:ascii="Arial" w:hAnsi="Arial" w:cs="Arial"/>
          <w:sz w:val="20"/>
          <w:szCs w:val="20"/>
        </w:rPr>
        <w:t xml:space="preserve">A </w:t>
      </w:r>
      <w:r w:rsidRPr="004A16DE">
        <w:rPr>
          <w:rFonts w:ascii="Arial" w:hAnsi="Arial" w:cs="Arial"/>
          <w:b/>
          <w:sz w:val="20"/>
          <w:szCs w:val="20"/>
        </w:rPr>
        <w:t>szálláshely-szolgáltatás, vendéglátásban</w:t>
      </w:r>
      <w:r w:rsidRPr="004A16DE">
        <w:rPr>
          <w:rFonts w:ascii="Arial" w:hAnsi="Arial" w:cs="Arial"/>
          <w:sz w:val="20"/>
          <w:szCs w:val="20"/>
        </w:rPr>
        <w:t xml:space="preserve"> a szálláshely felújítások és az egy évvel ezelőtti alacsony bázis miatt </w:t>
      </w:r>
      <w:r w:rsidR="002C2CB3">
        <w:rPr>
          <w:rFonts w:ascii="Arial" w:hAnsi="Arial" w:cs="Arial"/>
          <w:b/>
          <w:sz w:val="20"/>
          <w:szCs w:val="20"/>
        </w:rPr>
        <w:t>53</w:t>
      </w:r>
      <w:r w:rsidRPr="004A16DE">
        <w:rPr>
          <w:rFonts w:ascii="Arial" w:hAnsi="Arial" w:cs="Arial"/>
          <w:b/>
          <w:sz w:val="20"/>
          <w:szCs w:val="20"/>
        </w:rPr>
        <w:t>%-kal növekedtek</w:t>
      </w:r>
      <w:r w:rsidRPr="004A16DE">
        <w:rPr>
          <w:rFonts w:ascii="Arial" w:hAnsi="Arial" w:cs="Arial"/>
          <w:sz w:val="20"/>
          <w:szCs w:val="20"/>
        </w:rPr>
        <w:t xml:space="preserve"> a beruházások. Noha a járvány miatt visszaeső turizmus megállíthatja a jelentős volumenű tervezett és folyamatban levő beruházásokat (csak Budapesten hozzávetőleg 50 szállodafejlesztés van/volt folyamatban, illetve tervezés alatt), egyes szállodaláncok a visszaesést felújításokra használják ki, amihez óriási állami támogatásokat is igénybe vehetnek. Szintén jelentős forrásokat biztosít a panziók felújítására </w:t>
      </w:r>
      <w:r w:rsidRPr="002C2CB3">
        <w:rPr>
          <w:rFonts w:ascii="Arial" w:hAnsi="Arial" w:cs="Arial"/>
          <w:b/>
          <w:sz w:val="20"/>
          <w:szCs w:val="20"/>
        </w:rPr>
        <w:t>Kisfaludy-program</w:t>
      </w:r>
      <w:r w:rsidRPr="004A16DE">
        <w:rPr>
          <w:rFonts w:ascii="Arial" w:hAnsi="Arial" w:cs="Arial"/>
          <w:sz w:val="20"/>
          <w:szCs w:val="20"/>
        </w:rPr>
        <w:t>.</w:t>
      </w:r>
    </w:p>
    <w:p w14:paraId="32E024F7" w14:textId="77777777" w:rsidR="008E2F32" w:rsidRPr="00EB25E7" w:rsidRDefault="000E0DC0" w:rsidP="00EB25E7">
      <w:pPr>
        <w:spacing w:after="120" w:line="360" w:lineRule="auto"/>
        <w:jc w:val="both"/>
        <w:rPr>
          <w:rFonts w:ascii="Arial" w:hAnsi="Arial" w:cs="Arial"/>
          <w:sz w:val="20"/>
          <w:szCs w:val="20"/>
        </w:rPr>
      </w:pPr>
      <w:r>
        <w:rPr>
          <w:rFonts w:ascii="Arial" w:hAnsi="Arial" w:cs="Arial"/>
          <w:b/>
          <w:bCs/>
          <w:sz w:val="20"/>
          <w:szCs w:val="20"/>
        </w:rPr>
        <w:t>33,6</w:t>
      </w:r>
      <w:r w:rsidR="004A16DE" w:rsidRPr="004A16DE">
        <w:rPr>
          <w:rFonts w:ascii="Arial" w:hAnsi="Arial" w:cs="Arial"/>
          <w:b/>
          <w:bCs/>
          <w:sz w:val="20"/>
          <w:szCs w:val="20"/>
        </w:rPr>
        <w:t xml:space="preserve">%-kal csökkentek az energetikai beruházások </w:t>
      </w:r>
      <w:r w:rsidR="004A16DE" w:rsidRPr="004A16DE">
        <w:rPr>
          <w:rFonts w:ascii="Arial" w:hAnsi="Arial" w:cs="Arial"/>
          <w:bCs/>
          <w:sz w:val="20"/>
          <w:szCs w:val="20"/>
        </w:rPr>
        <w:t>az egy évvel ezelőtti magas bázishoz képest. A jelentős számú naperőmű pályázat és a paksi beruházások hatására a következő években érdemi növekedés várható.  A bány</w:t>
      </w:r>
      <w:r>
        <w:rPr>
          <w:rFonts w:ascii="Arial" w:hAnsi="Arial" w:cs="Arial"/>
          <w:bCs/>
          <w:sz w:val="20"/>
          <w:szCs w:val="20"/>
        </w:rPr>
        <w:t>ászat, kőfejtés beruházásai a 2</w:t>
      </w:r>
      <w:r w:rsidR="004A16DE" w:rsidRPr="004A16DE">
        <w:rPr>
          <w:rFonts w:ascii="Arial" w:hAnsi="Arial" w:cs="Arial"/>
          <w:bCs/>
          <w:sz w:val="20"/>
          <w:szCs w:val="20"/>
        </w:rPr>
        <w:t>5</w:t>
      </w:r>
      <w:r>
        <w:rPr>
          <w:rFonts w:ascii="Arial" w:hAnsi="Arial" w:cs="Arial"/>
          <w:bCs/>
          <w:sz w:val="20"/>
          <w:szCs w:val="20"/>
        </w:rPr>
        <w:t>,1</w:t>
      </w:r>
      <w:r w:rsidR="004A16DE" w:rsidRPr="004A16DE">
        <w:rPr>
          <w:rFonts w:ascii="Arial" w:hAnsi="Arial" w:cs="Arial"/>
          <w:bCs/>
          <w:sz w:val="20"/>
          <w:szCs w:val="20"/>
        </w:rPr>
        <w:t xml:space="preserve">%-kal emelkedtek. </w:t>
      </w:r>
      <w:r w:rsidR="004A16DE" w:rsidRPr="004A16DE">
        <w:rPr>
          <w:rFonts w:ascii="Arial" w:hAnsi="Arial" w:cs="Arial"/>
          <w:b/>
          <w:bCs/>
          <w:sz w:val="20"/>
          <w:szCs w:val="20"/>
        </w:rPr>
        <w:t>A pénzügyi, biztosítá</w:t>
      </w:r>
      <w:r>
        <w:rPr>
          <w:rFonts w:ascii="Arial" w:hAnsi="Arial" w:cs="Arial"/>
          <w:b/>
          <w:bCs/>
          <w:sz w:val="20"/>
          <w:szCs w:val="20"/>
        </w:rPr>
        <w:t>si tevékenység fejlesztései 32,9</w:t>
      </w:r>
      <w:r w:rsidR="004A16DE" w:rsidRPr="004A16DE">
        <w:rPr>
          <w:rFonts w:ascii="Arial" w:hAnsi="Arial" w:cs="Arial"/>
          <w:b/>
          <w:bCs/>
          <w:sz w:val="20"/>
          <w:szCs w:val="20"/>
        </w:rPr>
        <w:t>%-kal növekedtek</w:t>
      </w:r>
      <w:r w:rsidR="004A16DE" w:rsidRPr="004A16DE">
        <w:rPr>
          <w:rFonts w:ascii="Arial" w:hAnsi="Arial" w:cs="Arial"/>
          <w:bCs/>
          <w:sz w:val="20"/>
          <w:szCs w:val="20"/>
        </w:rPr>
        <w:t xml:space="preserve"> nagyrészt informatikai</w:t>
      </w:r>
      <w:r>
        <w:rPr>
          <w:rFonts w:ascii="Arial" w:hAnsi="Arial" w:cs="Arial"/>
          <w:bCs/>
          <w:sz w:val="20"/>
          <w:szCs w:val="20"/>
        </w:rPr>
        <w:t xml:space="preserve"> </w:t>
      </w:r>
      <w:r w:rsidR="004A16DE" w:rsidRPr="004A16DE">
        <w:rPr>
          <w:rFonts w:ascii="Arial" w:hAnsi="Arial" w:cs="Arial"/>
          <w:bCs/>
          <w:sz w:val="20"/>
          <w:szCs w:val="20"/>
        </w:rPr>
        <w:t xml:space="preserve">eszköz-beszerzések nyomán. </w:t>
      </w:r>
      <w:r w:rsidR="004A16DE" w:rsidRPr="004A16DE">
        <w:rPr>
          <w:rFonts w:ascii="Arial" w:hAnsi="Arial" w:cs="Arial"/>
          <w:b/>
          <w:bCs/>
          <w:sz w:val="20"/>
          <w:szCs w:val="20"/>
        </w:rPr>
        <w:t xml:space="preserve">Az építőipari ágazat beruházásai 3%-kal nőttek </w:t>
      </w:r>
      <w:r w:rsidR="004A16DE" w:rsidRPr="004A16DE">
        <w:rPr>
          <w:rFonts w:ascii="Arial" w:hAnsi="Arial" w:cs="Arial"/>
          <w:bCs/>
          <w:sz w:val="20"/>
          <w:szCs w:val="20"/>
        </w:rPr>
        <w:t>főleg a kedvező kil</w:t>
      </w:r>
      <w:r w:rsidR="004A16DE">
        <w:rPr>
          <w:rFonts w:ascii="Arial" w:hAnsi="Arial" w:cs="Arial"/>
          <w:bCs/>
          <w:sz w:val="20"/>
          <w:szCs w:val="20"/>
        </w:rPr>
        <w:t>á</w:t>
      </w:r>
      <w:r w:rsidR="004A16DE" w:rsidRPr="004A16DE">
        <w:rPr>
          <w:rFonts w:ascii="Arial" w:hAnsi="Arial" w:cs="Arial"/>
          <w:bCs/>
          <w:sz w:val="20"/>
          <w:szCs w:val="20"/>
        </w:rPr>
        <w:t>tásoknak és járműbeszerzéseknek köszönhetően, további állami támogatásoknak köszönhetően a következő években tovább növekedhetnek az ágazat beruházásai.</w:t>
      </w:r>
    </w:p>
    <w:p w14:paraId="5BF6F1F1" w14:textId="77777777" w:rsidR="005C518C" w:rsidRPr="00EB25E7" w:rsidRDefault="00CB7726" w:rsidP="00EB25E7">
      <w:pPr>
        <w:spacing w:after="120" w:line="360" w:lineRule="auto"/>
        <w:jc w:val="both"/>
        <w:rPr>
          <w:rFonts w:ascii="Arial" w:hAnsi="Arial" w:cs="Arial"/>
          <w:sz w:val="20"/>
          <w:szCs w:val="20"/>
        </w:rPr>
      </w:pPr>
      <w:r>
        <w:rPr>
          <w:rFonts w:ascii="Arial" w:hAnsi="Arial" w:cs="Arial"/>
          <w:bCs/>
          <w:sz w:val="20"/>
          <w:szCs w:val="20"/>
        </w:rPr>
        <w:lastRenderedPageBreak/>
        <w:t>2020-ban</w:t>
      </w:r>
      <w:r w:rsidR="005C518C" w:rsidRPr="00D2497E">
        <w:rPr>
          <w:rFonts w:ascii="Arial" w:hAnsi="Arial" w:cs="Arial"/>
          <w:bCs/>
          <w:sz w:val="20"/>
          <w:szCs w:val="20"/>
        </w:rPr>
        <w:t xml:space="preserve"> a járványhelyzet és az el</w:t>
      </w:r>
      <w:r w:rsidR="00D2497E" w:rsidRPr="00D2497E">
        <w:rPr>
          <w:rFonts w:ascii="Arial" w:hAnsi="Arial" w:cs="Arial"/>
          <w:bCs/>
          <w:sz w:val="20"/>
          <w:szCs w:val="20"/>
        </w:rPr>
        <w:t>őző évek kimagasló bázisa miatt a vártnál kisebb mértékben</w:t>
      </w:r>
      <w:r w:rsidR="005C518C" w:rsidRPr="00D2497E">
        <w:rPr>
          <w:rFonts w:ascii="Arial" w:hAnsi="Arial" w:cs="Arial"/>
          <w:bCs/>
          <w:sz w:val="20"/>
          <w:szCs w:val="20"/>
        </w:rPr>
        <w:t xml:space="preserve"> a beruházások</w:t>
      </w:r>
      <w:r w:rsidR="00D2497E" w:rsidRPr="00D2497E">
        <w:rPr>
          <w:rFonts w:ascii="Arial" w:hAnsi="Arial" w:cs="Arial"/>
          <w:bCs/>
          <w:sz w:val="20"/>
          <w:szCs w:val="20"/>
        </w:rPr>
        <w:t>, amit érdemben javított az év végi erőteljes élénkülés</w:t>
      </w:r>
      <w:r w:rsidR="00D2497E">
        <w:rPr>
          <w:rFonts w:ascii="Arial" w:hAnsi="Arial" w:cs="Arial"/>
          <w:sz w:val="20"/>
          <w:szCs w:val="20"/>
        </w:rPr>
        <w:t>.</w:t>
      </w:r>
      <w:r w:rsidR="005C518C" w:rsidRPr="00EB25E7">
        <w:rPr>
          <w:rFonts w:ascii="Arial" w:hAnsi="Arial" w:cs="Arial"/>
          <w:sz w:val="20"/>
          <w:szCs w:val="20"/>
        </w:rPr>
        <w:t xml:space="preserve"> </w:t>
      </w:r>
      <w:r w:rsidR="00D2497E">
        <w:rPr>
          <w:rFonts w:ascii="Arial" w:hAnsi="Arial" w:cs="Arial"/>
          <w:sz w:val="20"/>
          <w:szCs w:val="20"/>
        </w:rPr>
        <w:t>Ezt tükrözte</w:t>
      </w:r>
      <w:r w:rsidR="005C518C" w:rsidRPr="00EB25E7">
        <w:rPr>
          <w:rFonts w:ascii="Arial" w:hAnsi="Arial" w:cs="Arial"/>
          <w:sz w:val="20"/>
          <w:szCs w:val="20"/>
        </w:rPr>
        <w:t xml:space="preserve"> </w:t>
      </w:r>
      <w:r w:rsidR="005C518C" w:rsidRPr="00EB25E7">
        <w:rPr>
          <w:rFonts w:ascii="Arial" w:hAnsi="Arial" w:cs="Arial"/>
          <w:b/>
          <w:bCs/>
          <w:sz w:val="20"/>
          <w:szCs w:val="20"/>
        </w:rPr>
        <w:t xml:space="preserve">az építőipari szerződésállomány és a folyamatban levő beruházások </w:t>
      </w:r>
      <w:r w:rsidR="00D2497E">
        <w:rPr>
          <w:rFonts w:ascii="Arial" w:hAnsi="Arial" w:cs="Arial"/>
          <w:sz w:val="20"/>
          <w:szCs w:val="20"/>
        </w:rPr>
        <w:t>év közepén tapasztalható átmeneti megingása is</w:t>
      </w:r>
      <w:r w:rsidR="005C518C" w:rsidRPr="00EB25E7">
        <w:rPr>
          <w:rFonts w:ascii="Arial" w:hAnsi="Arial" w:cs="Arial"/>
          <w:sz w:val="20"/>
          <w:szCs w:val="20"/>
        </w:rPr>
        <w:t xml:space="preserve">. A vállalatokat beruházásait az átmeneti meredek gazdasági visszaesés mellett </w:t>
      </w:r>
      <w:proofErr w:type="gramStart"/>
      <w:r w:rsidR="005C518C" w:rsidRPr="00EB25E7">
        <w:rPr>
          <w:rFonts w:ascii="Arial" w:hAnsi="Arial" w:cs="Arial"/>
          <w:sz w:val="20"/>
          <w:szCs w:val="20"/>
        </w:rPr>
        <w:t>a bizonytalanság,</w:t>
      </w:r>
      <w:proofErr w:type="gramEnd"/>
      <w:r w:rsidR="005C518C" w:rsidRPr="00EB25E7">
        <w:rPr>
          <w:rFonts w:ascii="Arial" w:hAnsi="Arial" w:cs="Arial"/>
          <w:sz w:val="20"/>
          <w:szCs w:val="20"/>
        </w:rPr>
        <w:t xml:space="preserve"> és egyes szektorokban a teljesen visszaeső bevéte</w:t>
      </w:r>
      <w:r w:rsidR="00D2497E">
        <w:rPr>
          <w:rFonts w:ascii="Arial" w:hAnsi="Arial" w:cs="Arial"/>
          <w:sz w:val="20"/>
          <w:szCs w:val="20"/>
        </w:rPr>
        <w:t>lek és likviditás is csökkenhette</w:t>
      </w:r>
      <w:r w:rsidR="005C518C" w:rsidRPr="00EB25E7">
        <w:rPr>
          <w:rFonts w:ascii="Arial" w:hAnsi="Arial" w:cs="Arial"/>
          <w:sz w:val="20"/>
          <w:szCs w:val="20"/>
        </w:rPr>
        <w:t xml:space="preserve">. </w:t>
      </w:r>
      <w:r w:rsidR="008E2F32">
        <w:rPr>
          <w:rFonts w:ascii="Arial" w:hAnsi="Arial" w:cs="Arial"/>
          <w:sz w:val="20"/>
          <w:szCs w:val="20"/>
        </w:rPr>
        <w:t>A</w:t>
      </w:r>
      <w:r w:rsidR="005C518C" w:rsidRPr="00EB25E7">
        <w:rPr>
          <w:rFonts w:ascii="Arial" w:hAnsi="Arial" w:cs="Arial"/>
          <w:sz w:val="20"/>
          <w:szCs w:val="20"/>
        </w:rPr>
        <w:t xml:space="preserve"> beruházásokat az </w:t>
      </w:r>
      <w:r w:rsidR="005C518C" w:rsidRPr="00EB25E7">
        <w:rPr>
          <w:rFonts w:ascii="Arial" w:hAnsi="Arial" w:cs="Arial"/>
          <w:b/>
          <w:bCs/>
          <w:sz w:val="20"/>
          <w:szCs w:val="20"/>
        </w:rPr>
        <w:t>iroda átadási hullám</w:t>
      </w:r>
      <w:r w:rsidR="005C518C" w:rsidRPr="00EB25E7">
        <w:rPr>
          <w:rFonts w:ascii="Arial" w:hAnsi="Arial" w:cs="Arial"/>
          <w:sz w:val="20"/>
          <w:szCs w:val="20"/>
        </w:rPr>
        <w:t xml:space="preserve"> mellett </w:t>
      </w:r>
      <w:r w:rsidR="005C518C" w:rsidRPr="00EB25E7">
        <w:rPr>
          <w:rFonts w:ascii="Arial" w:hAnsi="Arial" w:cs="Arial"/>
          <w:b/>
          <w:bCs/>
          <w:sz w:val="20"/>
          <w:szCs w:val="20"/>
        </w:rPr>
        <w:t>az uniós támogatású és tisztán állami beruházások</w:t>
      </w:r>
      <w:r w:rsidR="005C518C" w:rsidRPr="00EB25E7">
        <w:rPr>
          <w:rFonts w:ascii="Arial" w:hAnsi="Arial" w:cs="Arial"/>
          <w:sz w:val="20"/>
          <w:szCs w:val="20"/>
        </w:rPr>
        <w:t xml:space="preserve"> (Liget, Egészséges Budapest Program, Paks, múzeum, oktatási és sport beruházások, várfejlesztések stb. önmagukban is évente több 100 milliárd forinttal növelhetik a beruházásokat a következő években) továbbra is támogatják. A Brüsszelbe kiküldött, a teljesítésalapú számlák eddig a jelenlegi, </w:t>
      </w:r>
      <w:r w:rsidR="005C518C" w:rsidRPr="00EB25E7">
        <w:rPr>
          <w:rFonts w:ascii="Arial" w:hAnsi="Arial" w:cs="Arial"/>
          <w:b/>
          <w:bCs/>
          <w:sz w:val="20"/>
          <w:szCs w:val="20"/>
        </w:rPr>
        <w:t xml:space="preserve">2014-2020-as ciklus kb. </w:t>
      </w:r>
      <w:r>
        <w:rPr>
          <w:rFonts w:ascii="Arial" w:hAnsi="Arial" w:cs="Arial"/>
          <w:b/>
          <w:bCs/>
          <w:sz w:val="20"/>
          <w:szCs w:val="20"/>
        </w:rPr>
        <w:t>71</w:t>
      </w:r>
      <w:r w:rsidR="005C518C" w:rsidRPr="00EB25E7">
        <w:rPr>
          <w:rFonts w:ascii="Arial" w:hAnsi="Arial" w:cs="Arial"/>
          <w:b/>
          <w:bCs/>
          <w:sz w:val="20"/>
          <w:szCs w:val="20"/>
        </w:rPr>
        <w:t>%-</w:t>
      </w:r>
      <w:proofErr w:type="spellStart"/>
      <w:r w:rsidR="005C518C" w:rsidRPr="00EB25E7">
        <w:rPr>
          <w:rFonts w:ascii="Arial" w:hAnsi="Arial" w:cs="Arial"/>
          <w:b/>
          <w:bCs/>
          <w:sz w:val="20"/>
          <w:szCs w:val="20"/>
        </w:rPr>
        <w:t>ánál</w:t>
      </w:r>
      <w:proofErr w:type="spellEnd"/>
      <w:r w:rsidR="005C518C" w:rsidRPr="00EB25E7">
        <w:rPr>
          <w:rFonts w:ascii="Arial" w:hAnsi="Arial" w:cs="Arial"/>
          <w:b/>
          <w:bCs/>
          <w:sz w:val="20"/>
          <w:szCs w:val="20"/>
        </w:rPr>
        <w:t xml:space="preserve"> tartanak</w:t>
      </w:r>
      <w:r w:rsidR="005C518C" w:rsidRPr="00EB25E7">
        <w:rPr>
          <w:rFonts w:ascii="Arial" w:hAnsi="Arial" w:cs="Arial"/>
          <w:sz w:val="20"/>
          <w:szCs w:val="20"/>
        </w:rPr>
        <w:t xml:space="preserve">, így az uniós beruházások közel </w:t>
      </w:r>
      <w:r w:rsidR="002766E5">
        <w:rPr>
          <w:rFonts w:ascii="Arial" w:hAnsi="Arial" w:cs="Arial"/>
          <w:sz w:val="20"/>
          <w:szCs w:val="20"/>
        </w:rPr>
        <w:t>egyharmada</w:t>
      </w:r>
      <w:r w:rsidR="005C518C" w:rsidRPr="00EB25E7">
        <w:rPr>
          <w:rFonts w:ascii="Arial" w:hAnsi="Arial" w:cs="Arial"/>
          <w:sz w:val="20"/>
          <w:szCs w:val="20"/>
        </w:rPr>
        <w:t xml:space="preserve"> még a következő években valósulhat meg. A beruházásokat szintén húzzák további feldolgozóipari, döntően járműgyártással kapcsolatos beruházások is. </w:t>
      </w:r>
      <w:r w:rsidR="005C518C" w:rsidRPr="002766E5">
        <w:rPr>
          <w:rFonts w:ascii="Arial" w:hAnsi="Arial" w:cs="Arial"/>
          <w:bCs/>
          <w:sz w:val="20"/>
          <w:szCs w:val="20"/>
        </w:rPr>
        <w:t>A vállalatokat a következő években</w:t>
      </w:r>
      <w:r w:rsidR="005C518C" w:rsidRPr="00EB25E7">
        <w:rPr>
          <w:rFonts w:ascii="Arial" w:hAnsi="Arial" w:cs="Arial"/>
          <w:b/>
          <w:bCs/>
          <w:sz w:val="20"/>
          <w:szCs w:val="20"/>
        </w:rPr>
        <w:t xml:space="preserve"> technológiai, automatizálási, digitalizációs beruházásokra ösztönözheti </w:t>
      </w:r>
      <w:r w:rsidR="005C518C" w:rsidRPr="002766E5">
        <w:rPr>
          <w:rFonts w:ascii="Arial" w:hAnsi="Arial" w:cs="Arial"/>
          <w:bCs/>
          <w:sz w:val="20"/>
          <w:szCs w:val="20"/>
        </w:rPr>
        <w:t>a következő években feltehetően újra kialakuló</w:t>
      </w:r>
      <w:r w:rsidR="005C518C" w:rsidRPr="00EB25E7">
        <w:rPr>
          <w:rFonts w:ascii="Arial" w:hAnsi="Arial" w:cs="Arial"/>
          <w:b/>
          <w:bCs/>
          <w:sz w:val="20"/>
          <w:szCs w:val="20"/>
        </w:rPr>
        <w:t xml:space="preserve"> munkaerőhiány, valamint a bérköltségek várható további jelentős emelkedése</w:t>
      </w:r>
      <w:r w:rsidR="005C518C" w:rsidRPr="00EB25E7">
        <w:rPr>
          <w:rFonts w:ascii="Arial" w:hAnsi="Arial" w:cs="Arial"/>
          <w:sz w:val="20"/>
          <w:szCs w:val="20"/>
        </w:rPr>
        <w:t>. A</w:t>
      </w:r>
      <w:r>
        <w:rPr>
          <w:rFonts w:ascii="Arial" w:hAnsi="Arial" w:cs="Arial"/>
          <w:sz w:val="20"/>
          <w:szCs w:val="20"/>
        </w:rPr>
        <w:t>z emelkedő</w:t>
      </w:r>
      <w:r w:rsidR="005C518C" w:rsidRPr="00EB25E7">
        <w:rPr>
          <w:rFonts w:ascii="Arial" w:hAnsi="Arial" w:cs="Arial"/>
          <w:sz w:val="20"/>
          <w:szCs w:val="20"/>
        </w:rPr>
        <w:t xml:space="preserve"> kamatok</w:t>
      </w:r>
      <w:r>
        <w:rPr>
          <w:rFonts w:ascii="Arial" w:hAnsi="Arial" w:cs="Arial"/>
          <w:sz w:val="20"/>
          <w:szCs w:val="20"/>
        </w:rPr>
        <w:t xml:space="preserve"> ellensúlyozására</w:t>
      </w:r>
      <w:r w:rsidR="005C518C" w:rsidRPr="00EB25E7">
        <w:rPr>
          <w:rFonts w:ascii="Arial" w:hAnsi="Arial" w:cs="Arial"/>
          <w:sz w:val="20"/>
          <w:szCs w:val="20"/>
        </w:rPr>
        <w:t xml:space="preserve"> számos állami támogatás, </w:t>
      </w:r>
      <w:r>
        <w:rPr>
          <w:rFonts w:ascii="Arial" w:hAnsi="Arial" w:cs="Arial"/>
          <w:sz w:val="20"/>
          <w:szCs w:val="20"/>
        </w:rPr>
        <w:t xml:space="preserve">a Széchenyi Kártya GO, az </w:t>
      </w:r>
      <w:r w:rsidR="005C518C" w:rsidRPr="00EB25E7">
        <w:rPr>
          <w:rFonts w:ascii="Arial" w:hAnsi="Arial" w:cs="Arial"/>
          <w:sz w:val="20"/>
          <w:szCs w:val="20"/>
        </w:rPr>
        <w:t xml:space="preserve">MFB, </w:t>
      </w:r>
      <w:r>
        <w:rPr>
          <w:rFonts w:ascii="Arial" w:hAnsi="Arial" w:cs="Arial"/>
          <w:sz w:val="20"/>
          <w:szCs w:val="20"/>
        </w:rPr>
        <w:t xml:space="preserve">és az </w:t>
      </w:r>
      <w:proofErr w:type="spellStart"/>
      <w:r w:rsidR="005C518C" w:rsidRPr="00EB25E7">
        <w:rPr>
          <w:rFonts w:ascii="Arial" w:hAnsi="Arial" w:cs="Arial"/>
          <w:sz w:val="20"/>
          <w:szCs w:val="20"/>
        </w:rPr>
        <w:t>Eximbank</w:t>
      </w:r>
      <w:proofErr w:type="spellEnd"/>
      <w:r w:rsidR="005C518C" w:rsidRPr="00EB25E7">
        <w:rPr>
          <w:rFonts w:ascii="Arial" w:hAnsi="Arial" w:cs="Arial"/>
          <w:sz w:val="20"/>
          <w:szCs w:val="20"/>
        </w:rPr>
        <w:t xml:space="preserve"> által bejelentett programok is támogathatják a további beruházásokat. </w:t>
      </w:r>
      <w:r w:rsidR="005C518C" w:rsidRPr="00EB25E7">
        <w:rPr>
          <w:rFonts w:ascii="Arial" w:hAnsi="Arial" w:cs="Arial"/>
          <w:b/>
          <w:bCs/>
          <w:sz w:val="20"/>
          <w:szCs w:val="20"/>
        </w:rPr>
        <w:t xml:space="preserve">A beruházási ráta tavaly </w:t>
      </w:r>
      <w:r>
        <w:rPr>
          <w:rFonts w:ascii="Arial" w:hAnsi="Arial" w:cs="Arial"/>
          <w:b/>
          <w:bCs/>
          <w:sz w:val="20"/>
          <w:szCs w:val="20"/>
        </w:rPr>
        <w:t>megközelítette</w:t>
      </w:r>
      <w:r w:rsidR="005C518C" w:rsidRPr="00EB25E7">
        <w:rPr>
          <w:rFonts w:ascii="Arial" w:hAnsi="Arial" w:cs="Arial"/>
          <w:b/>
          <w:bCs/>
          <w:sz w:val="20"/>
          <w:szCs w:val="20"/>
        </w:rPr>
        <w:t xml:space="preserve"> a </w:t>
      </w:r>
      <w:r>
        <w:rPr>
          <w:rFonts w:ascii="Arial" w:hAnsi="Arial" w:cs="Arial"/>
          <w:b/>
          <w:bCs/>
          <w:sz w:val="20"/>
          <w:szCs w:val="20"/>
        </w:rPr>
        <w:t>28</w:t>
      </w:r>
      <w:r w:rsidR="005C518C" w:rsidRPr="00EB25E7">
        <w:rPr>
          <w:rFonts w:ascii="Arial" w:hAnsi="Arial" w:cs="Arial"/>
          <w:b/>
          <w:bCs/>
          <w:sz w:val="20"/>
          <w:szCs w:val="20"/>
        </w:rPr>
        <w:t xml:space="preserve">%-ot, ami az idén </w:t>
      </w:r>
      <w:r>
        <w:rPr>
          <w:rFonts w:ascii="Arial" w:hAnsi="Arial" w:cs="Arial"/>
          <w:b/>
          <w:bCs/>
          <w:sz w:val="20"/>
          <w:szCs w:val="20"/>
        </w:rPr>
        <w:t>is fennmaradhat</w:t>
      </w:r>
      <w:r w:rsidR="005C518C" w:rsidRPr="00EB25E7">
        <w:rPr>
          <w:rFonts w:ascii="Arial" w:hAnsi="Arial" w:cs="Arial"/>
          <w:b/>
          <w:bCs/>
          <w:sz w:val="20"/>
          <w:szCs w:val="20"/>
        </w:rPr>
        <w:t>.</w:t>
      </w:r>
    </w:p>
    <w:p w14:paraId="2BAC9F11" w14:textId="77777777" w:rsidR="005C518C" w:rsidRPr="003536D7" w:rsidRDefault="005C518C" w:rsidP="00316464">
      <w:pPr>
        <w:pStyle w:val="Alcmtbank"/>
      </w:pPr>
      <w:r w:rsidRPr="003536D7">
        <w:t>Kiskereskedelem</w:t>
      </w:r>
    </w:p>
    <w:p w14:paraId="185F13F6" w14:textId="77777777" w:rsidR="009B2AE5" w:rsidRDefault="007E653E" w:rsidP="00EB25E7">
      <w:pPr>
        <w:spacing w:after="120" w:line="360" w:lineRule="auto"/>
        <w:jc w:val="both"/>
        <w:rPr>
          <w:rFonts w:ascii="Arial" w:hAnsi="Arial" w:cs="Arial"/>
          <w:bCs/>
          <w:sz w:val="20"/>
          <w:szCs w:val="20"/>
        </w:rPr>
      </w:pPr>
      <w:r w:rsidRPr="007E653E">
        <w:rPr>
          <w:rFonts w:ascii="Arial" w:hAnsi="Arial" w:cs="Arial"/>
          <w:b/>
          <w:bCs/>
          <w:sz w:val="20"/>
          <w:szCs w:val="20"/>
        </w:rPr>
        <w:t>A nyers adat szerint 3,8%-kal, naptárhatástól megtisztítva szintén 3,8%-kal bővült a kiskereskedelmi forgalom volumene az előző év azonos időszakihoz képest</w:t>
      </w:r>
      <w:r w:rsidRPr="007E653E">
        <w:rPr>
          <w:rFonts w:ascii="Arial" w:hAnsi="Arial" w:cs="Arial"/>
          <w:bCs/>
          <w:sz w:val="20"/>
          <w:szCs w:val="20"/>
        </w:rPr>
        <w:t xml:space="preserve">. Az előző hónaphoz képest 0,1%-kal mérséklődött a kiskereskedelmi forgalom. A háztartások növekvő jövedelme, valamint a munkaerőpiac teljes helyreállásának köszönhetően a háztartások fogyasztása nem csupán a megnyíló szabadidős tevékenységek, hanem a vásárlások területén is elkezdett élénkülni. </w:t>
      </w:r>
      <w:r w:rsidR="00DA5C06" w:rsidRPr="00DA5C06">
        <w:rPr>
          <w:rFonts w:ascii="Arial" w:hAnsi="Arial" w:cs="Arial"/>
          <w:bCs/>
          <w:sz w:val="20"/>
          <w:szCs w:val="20"/>
        </w:rPr>
        <w:t xml:space="preserve"> </w:t>
      </w:r>
    </w:p>
    <w:p w14:paraId="128D9478" w14:textId="77777777" w:rsidR="005C518C" w:rsidRPr="007E653E" w:rsidRDefault="007E653E" w:rsidP="00EB25E7">
      <w:pPr>
        <w:spacing w:after="120" w:line="360" w:lineRule="auto"/>
        <w:jc w:val="both"/>
        <w:rPr>
          <w:rFonts w:ascii="Arial" w:hAnsi="Arial" w:cs="Arial"/>
          <w:bCs/>
          <w:sz w:val="20"/>
          <w:szCs w:val="20"/>
        </w:rPr>
      </w:pPr>
      <w:r w:rsidRPr="007E653E">
        <w:rPr>
          <w:rFonts w:ascii="Arial" w:hAnsi="Arial" w:cs="Arial"/>
          <w:b/>
          <w:bCs/>
          <w:sz w:val="20"/>
          <w:szCs w:val="20"/>
        </w:rPr>
        <w:t>Az élelmiszer- és élelmiszer jellegű vegyes kiskereskedelmi üzletekben 2,1%-kal, a nem élelmiszer-kiskereskedelmi üzletekben 4,9%-kal, az üzemanyag-kiskereskedelemben 6,2%-kal nőtt</w:t>
      </w:r>
      <w:r w:rsidRPr="007E653E">
        <w:rPr>
          <w:rFonts w:ascii="Arial" w:hAnsi="Arial" w:cs="Arial"/>
          <w:bCs/>
          <w:sz w:val="20"/>
          <w:szCs w:val="20"/>
        </w:rPr>
        <w:t xml:space="preserve"> az értékesítés naptárhatástól megtisztított volumene. Az eladások volumene a használtcikk-üzletekben 28%-kal, a textil-, ruházati és lábbeliüzletekben 29%-kal, az iparcikk jellegű vegyes üzletekben 2,9%-kal, a gyógyszer-, gyógyászatitermék-, illatszerüzletekben 11%-kal, a könyv-, számítástechnika-, egyéb iparcikk-üzletekben 6,6%-kal nőtt. A forgalom volumene 7,4%-kal csökkent a bútor-, műszakicikk-üzletekben. Az árucikkek széles körére kiterjedő, a kiskereskedelmi forgalomból 12%-kal részesedő csomagküldő és </w:t>
      </w:r>
      <w:r w:rsidRPr="007E653E">
        <w:rPr>
          <w:rFonts w:ascii="Arial" w:hAnsi="Arial" w:cs="Arial"/>
          <w:b/>
          <w:bCs/>
          <w:sz w:val="20"/>
          <w:szCs w:val="20"/>
        </w:rPr>
        <w:t>internetes kiskereskedelem</w:t>
      </w:r>
      <w:r w:rsidRPr="007E653E">
        <w:rPr>
          <w:rFonts w:ascii="Arial" w:hAnsi="Arial" w:cs="Arial"/>
          <w:bCs/>
          <w:sz w:val="20"/>
          <w:szCs w:val="20"/>
        </w:rPr>
        <w:t xml:space="preserve"> volumene mindössze </w:t>
      </w:r>
      <w:r w:rsidRPr="007E653E">
        <w:rPr>
          <w:rFonts w:ascii="Arial" w:hAnsi="Arial" w:cs="Arial"/>
          <w:b/>
          <w:bCs/>
          <w:sz w:val="20"/>
          <w:szCs w:val="20"/>
        </w:rPr>
        <w:t>0,9%-kal bővült</w:t>
      </w:r>
      <w:r w:rsidRPr="007E653E">
        <w:rPr>
          <w:rFonts w:ascii="Arial" w:hAnsi="Arial" w:cs="Arial"/>
          <w:bCs/>
          <w:sz w:val="20"/>
          <w:szCs w:val="20"/>
        </w:rPr>
        <w:t xml:space="preserve"> az egy évvel korábbi bázis hatására.</w:t>
      </w:r>
    </w:p>
    <w:p w14:paraId="5C8579BD" w14:textId="77777777" w:rsidR="00FF057E" w:rsidRPr="007E653E" w:rsidRDefault="007E653E" w:rsidP="00EB25E7">
      <w:pPr>
        <w:spacing w:after="120" w:line="360" w:lineRule="auto"/>
        <w:jc w:val="both"/>
        <w:rPr>
          <w:rFonts w:ascii="Arial" w:hAnsi="Arial" w:cs="Arial"/>
          <w:sz w:val="20"/>
          <w:szCs w:val="20"/>
        </w:rPr>
      </w:pPr>
      <w:r w:rsidRPr="007E653E">
        <w:rPr>
          <w:rFonts w:ascii="Arial" w:hAnsi="Arial" w:cs="Arial"/>
          <w:b/>
          <w:sz w:val="20"/>
          <w:szCs w:val="20"/>
        </w:rPr>
        <w:t>17,1%-kal bővült a forgalom a 2020 áprilisi mélyponthoz képest</w:t>
      </w:r>
      <w:r w:rsidRPr="007E653E">
        <w:rPr>
          <w:rFonts w:ascii="Arial" w:hAnsi="Arial" w:cs="Arial"/>
          <w:sz w:val="20"/>
          <w:szCs w:val="20"/>
        </w:rPr>
        <w:t>, míg alig 1%-kal marad el a járvány előtti szinttől. 2015. év átlagához képest a kiskereskedelmi forgalom 30,9%-kal, 2010-hez képest 44%-kal emelkedett.  A KSH heti monitorja szerint december 4 - december 31. között a bolti kiskereskedelem forgalma (ami nem tartalmazza az internetes kiskereskedelmet) a pénztárgépek jelentései alapján 11,7%-kal bővült a két évvel korábbihoz képest, ami lényeges gyorsulást mutat a korábbi hónapokhoz képest, ezt azonban részben az árváltozások is okozzák.</w:t>
      </w:r>
    </w:p>
    <w:tbl>
      <w:tblPr>
        <w:tblW w:w="9924" w:type="dxa"/>
        <w:tblLook w:val="01E0" w:firstRow="1" w:lastRow="1" w:firstColumn="1" w:lastColumn="1" w:noHBand="0" w:noVBand="0"/>
      </w:tblPr>
      <w:tblGrid>
        <w:gridCol w:w="4656"/>
        <w:gridCol w:w="222"/>
        <w:gridCol w:w="5046"/>
      </w:tblGrid>
      <w:tr w:rsidR="00667F80" w:rsidRPr="00EB25E7" w14:paraId="7931F757" w14:textId="77777777" w:rsidTr="007E653E">
        <w:tc>
          <w:tcPr>
            <w:tcW w:w="4656" w:type="dxa"/>
            <w:shd w:val="clear" w:color="auto" w:fill="auto"/>
          </w:tcPr>
          <w:p w14:paraId="079C1FB4" w14:textId="77777777" w:rsidR="00667F80" w:rsidRPr="00EB25E7" w:rsidRDefault="00222D2D" w:rsidP="00FB4B26">
            <w:pPr>
              <w:spacing w:after="120"/>
              <w:jc w:val="center"/>
              <w:rPr>
                <w:rFonts w:ascii="Arial" w:hAnsi="Arial" w:cs="Arial"/>
                <w:color w:val="FF8500"/>
              </w:rPr>
            </w:pPr>
            <w:r>
              <w:rPr>
                <w:rFonts w:ascii="Arial" w:hAnsi="Arial" w:cs="Arial"/>
                <w:b/>
                <w:color w:val="FF8500"/>
              </w:rPr>
              <w:lastRenderedPageBreak/>
              <w:t>29</w:t>
            </w:r>
            <w:r w:rsidR="00667F80" w:rsidRPr="00EB25E7">
              <w:rPr>
                <w:rFonts w:ascii="Arial" w:hAnsi="Arial" w:cs="Arial"/>
                <w:b/>
                <w:color w:val="FF8500"/>
              </w:rPr>
              <w:t xml:space="preserve">. ábra: </w:t>
            </w:r>
            <w:r w:rsidR="00667F80" w:rsidRPr="00316464">
              <w:rPr>
                <w:rFonts w:ascii="Arial" w:hAnsi="Arial" w:cs="Arial"/>
                <w:bCs/>
                <w:color w:val="FF8500"/>
              </w:rPr>
              <w:t>Kiskereskedelmi forgalom</w:t>
            </w:r>
          </w:p>
        </w:tc>
        <w:tc>
          <w:tcPr>
            <w:tcW w:w="222" w:type="dxa"/>
          </w:tcPr>
          <w:p w14:paraId="0B790047" w14:textId="77777777" w:rsidR="00667F80" w:rsidRPr="00EB25E7" w:rsidRDefault="00667F80" w:rsidP="00FB4B26">
            <w:pPr>
              <w:spacing w:after="120"/>
              <w:jc w:val="center"/>
              <w:rPr>
                <w:rFonts w:ascii="Arial" w:hAnsi="Arial" w:cs="Arial"/>
                <w:b/>
                <w:color w:val="FF8500"/>
              </w:rPr>
            </w:pPr>
          </w:p>
        </w:tc>
        <w:tc>
          <w:tcPr>
            <w:tcW w:w="5046" w:type="dxa"/>
            <w:shd w:val="clear" w:color="auto" w:fill="auto"/>
          </w:tcPr>
          <w:p w14:paraId="3C0C6D00" w14:textId="77777777" w:rsidR="00667F80" w:rsidRDefault="00222D2D" w:rsidP="00FB4B26">
            <w:pPr>
              <w:spacing w:after="120"/>
              <w:jc w:val="center"/>
              <w:rPr>
                <w:rFonts w:ascii="Arial" w:hAnsi="Arial" w:cs="Arial"/>
                <w:bCs/>
                <w:color w:val="FF8500"/>
              </w:rPr>
            </w:pPr>
            <w:r>
              <w:rPr>
                <w:rFonts w:ascii="Arial" w:hAnsi="Arial" w:cs="Arial"/>
                <w:b/>
                <w:color w:val="FF8500"/>
              </w:rPr>
              <w:t>30</w:t>
            </w:r>
            <w:r w:rsidR="00667F80" w:rsidRPr="00EB25E7">
              <w:rPr>
                <w:rFonts w:ascii="Arial" w:hAnsi="Arial" w:cs="Arial"/>
                <w:b/>
                <w:color w:val="FF8500"/>
              </w:rPr>
              <w:t xml:space="preserve">. ábra: </w:t>
            </w:r>
            <w:r w:rsidR="004E4001" w:rsidRPr="00316464">
              <w:rPr>
                <w:rFonts w:ascii="Arial" w:hAnsi="Arial" w:cs="Arial"/>
                <w:bCs/>
                <w:color w:val="FF8500"/>
              </w:rPr>
              <w:t>Kiskereskedelmi forgalom 2015. évi bázison</w:t>
            </w:r>
          </w:p>
          <w:p w14:paraId="43BE5E3C" w14:textId="77777777" w:rsidR="00667F80" w:rsidRPr="00EB25E7" w:rsidRDefault="00667F80" w:rsidP="00FB4B26">
            <w:pPr>
              <w:spacing w:after="120"/>
              <w:jc w:val="center"/>
              <w:rPr>
                <w:rFonts w:ascii="Arial" w:hAnsi="Arial" w:cs="Arial"/>
                <w:color w:val="FF8500"/>
              </w:rPr>
            </w:pPr>
          </w:p>
        </w:tc>
      </w:tr>
      <w:tr w:rsidR="00667F80" w:rsidRPr="003536D7" w14:paraId="2CD71E8F" w14:textId="77777777" w:rsidTr="007E653E">
        <w:trPr>
          <w:trHeight w:val="3037"/>
        </w:trPr>
        <w:tc>
          <w:tcPr>
            <w:tcW w:w="4656" w:type="dxa"/>
            <w:shd w:val="clear" w:color="auto" w:fill="auto"/>
          </w:tcPr>
          <w:p w14:paraId="0CEAB2C1" w14:textId="77777777" w:rsidR="00667F80" w:rsidRPr="003536D7" w:rsidRDefault="007E653E" w:rsidP="00FB4B26">
            <w:pPr>
              <w:spacing w:after="120"/>
              <w:jc w:val="both"/>
              <w:rPr>
                <w:rFonts w:ascii="Arial" w:hAnsi="Arial" w:cs="Arial"/>
              </w:rPr>
            </w:pPr>
            <w:r>
              <w:rPr>
                <w:rFonts w:ascii="Arial" w:hAnsi="Arial" w:cs="Arial"/>
                <w:noProof/>
                <w:lang w:eastAsia="hu-HU"/>
              </w:rPr>
              <w:drawing>
                <wp:inline distT="0" distB="0" distL="0" distR="0" wp14:anchorId="1E5A38B5" wp14:editId="063E4948">
                  <wp:extent cx="2809875" cy="1971675"/>
                  <wp:effectExtent l="0" t="0" r="9525" b="952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9875" cy="1971675"/>
                          </a:xfrm>
                          <a:prstGeom prst="rect">
                            <a:avLst/>
                          </a:prstGeom>
                          <a:noFill/>
                          <a:ln>
                            <a:noFill/>
                          </a:ln>
                        </pic:spPr>
                      </pic:pic>
                    </a:graphicData>
                  </a:graphic>
                </wp:inline>
              </w:drawing>
            </w:r>
          </w:p>
        </w:tc>
        <w:tc>
          <w:tcPr>
            <w:tcW w:w="222" w:type="dxa"/>
          </w:tcPr>
          <w:p w14:paraId="22D84A31" w14:textId="77777777" w:rsidR="00667F80" w:rsidRDefault="00667F80" w:rsidP="00FB4B26">
            <w:pPr>
              <w:spacing w:after="120"/>
              <w:jc w:val="both"/>
              <w:rPr>
                <w:rFonts w:ascii="Arial" w:hAnsi="Arial" w:cs="Arial"/>
                <w:noProof/>
                <w:lang w:eastAsia="hu-HU"/>
              </w:rPr>
            </w:pPr>
          </w:p>
        </w:tc>
        <w:tc>
          <w:tcPr>
            <w:tcW w:w="5046" w:type="dxa"/>
            <w:shd w:val="clear" w:color="auto" w:fill="auto"/>
          </w:tcPr>
          <w:p w14:paraId="5EA2F67E" w14:textId="77777777" w:rsidR="00667F80" w:rsidRPr="003536D7" w:rsidRDefault="007E653E" w:rsidP="00FB4B26">
            <w:pPr>
              <w:spacing w:after="120"/>
              <w:jc w:val="both"/>
              <w:rPr>
                <w:rFonts w:ascii="Arial" w:hAnsi="Arial" w:cs="Arial"/>
              </w:rPr>
            </w:pPr>
            <w:r>
              <w:rPr>
                <w:rFonts w:ascii="Arial" w:hAnsi="Arial" w:cs="Arial"/>
                <w:noProof/>
                <w:lang w:eastAsia="hu-HU"/>
              </w:rPr>
              <w:drawing>
                <wp:inline distT="0" distB="0" distL="0" distR="0" wp14:anchorId="1E8DF440" wp14:editId="46DFEB5B">
                  <wp:extent cx="3057525" cy="2152650"/>
                  <wp:effectExtent l="0" t="0" r="9525"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57525" cy="2152650"/>
                          </a:xfrm>
                          <a:prstGeom prst="rect">
                            <a:avLst/>
                          </a:prstGeom>
                          <a:noFill/>
                          <a:ln>
                            <a:noFill/>
                          </a:ln>
                        </pic:spPr>
                      </pic:pic>
                    </a:graphicData>
                  </a:graphic>
                </wp:inline>
              </w:drawing>
            </w:r>
          </w:p>
        </w:tc>
      </w:tr>
      <w:tr w:rsidR="00667F80" w:rsidRPr="003536D7" w14:paraId="36D5E961" w14:textId="77777777" w:rsidTr="007E653E">
        <w:trPr>
          <w:trHeight w:val="78"/>
        </w:trPr>
        <w:tc>
          <w:tcPr>
            <w:tcW w:w="4656" w:type="dxa"/>
            <w:shd w:val="clear" w:color="auto" w:fill="auto"/>
          </w:tcPr>
          <w:p w14:paraId="53BC252C" w14:textId="77777777" w:rsidR="00667F80" w:rsidRPr="003536D7" w:rsidRDefault="00667F80" w:rsidP="00FB4B26">
            <w:pPr>
              <w:pStyle w:val="Kpalrstbank"/>
            </w:pPr>
            <w:r w:rsidRPr="003536D7">
              <w:t>Forrás: KSH, GKI, Takarékbank előrejelzés (árnyékolt terület)</w:t>
            </w:r>
          </w:p>
        </w:tc>
        <w:tc>
          <w:tcPr>
            <w:tcW w:w="222" w:type="dxa"/>
          </w:tcPr>
          <w:p w14:paraId="73EADEED" w14:textId="77777777" w:rsidR="00667F80" w:rsidRPr="003536D7" w:rsidRDefault="00667F80" w:rsidP="00FB4B26">
            <w:pPr>
              <w:pStyle w:val="Kpalrstbank"/>
            </w:pPr>
          </w:p>
        </w:tc>
        <w:tc>
          <w:tcPr>
            <w:tcW w:w="5046" w:type="dxa"/>
            <w:shd w:val="clear" w:color="auto" w:fill="auto"/>
          </w:tcPr>
          <w:p w14:paraId="1477110D" w14:textId="77777777" w:rsidR="00667F80" w:rsidRPr="003536D7" w:rsidRDefault="00667F80" w:rsidP="00FB4B26">
            <w:pPr>
              <w:pStyle w:val="Kpalrstbank"/>
            </w:pPr>
            <w:r w:rsidRPr="003536D7">
              <w:t xml:space="preserve">Forrás: </w:t>
            </w:r>
            <w:r w:rsidR="00401E6F">
              <w:t>KSH</w:t>
            </w:r>
            <w:r w:rsidR="00401E6F" w:rsidRPr="003536D7">
              <w:t>, Takarékbank előrejelzés (árnyékolt terület)</w:t>
            </w:r>
          </w:p>
        </w:tc>
      </w:tr>
      <w:tr w:rsidR="00667F80" w:rsidRPr="00EB25E7" w14:paraId="5EB8458E" w14:textId="77777777" w:rsidTr="007E653E">
        <w:tc>
          <w:tcPr>
            <w:tcW w:w="4656" w:type="dxa"/>
            <w:shd w:val="clear" w:color="auto" w:fill="auto"/>
          </w:tcPr>
          <w:p w14:paraId="4766F6EB" w14:textId="77777777" w:rsidR="00667F80" w:rsidRPr="00EB25E7" w:rsidRDefault="00667F80" w:rsidP="00FB4B26">
            <w:pPr>
              <w:spacing w:after="120" w:line="360" w:lineRule="auto"/>
              <w:jc w:val="both"/>
              <w:rPr>
                <w:rFonts w:ascii="Arial" w:hAnsi="Arial" w:cs="Arial"/>
                <w:i/>
                <w:sz w:val="20"/>
                <w:szCs w:val="20"/>
              </w:rPr>
            </w:pPr>
          </w:p>
        </w:tc>
        <w:tc>
          <w:tcPr>
            <w:tcW w:w="222" w:type="dxa"/>
          </w:tcPr>
          <w:p w14:paraId="541B768D" w14:textId="77777777" w:rsidR="00667F80" w:rsidRPr="00EB25E7" w:rsidRDefault="00667F80" w:rsidP="00FB4B26">
            <w:pPr>
              <w:spacing w:after="120" w:line="360" w:lineRule="auto"/>
              <w:jc w:val="both"/>
              <w:rPr>
                <w:rFonts w:ascii="Arial" w:hAnsi="Arial" w:cs="Arial"/>
                <w:i/>
                <w:sz w:val="20"/>
                <w:szCs w:val="20"/>
              </w:rPr>
            </w:pPr>
          </w:p>
        </w:tc>
        <w:tc>
          <w:tcPr>
            <w:tcW w:w="5046" w:type="dxa"/>
            <w:shd w:val="clear" w:color="auto" w:fill="auto"/>
          </w:tcPr>
          <w:p w14:paraId="3C9FEF9E" w14:textId="77777777" w:rsidR="00667F80" w:rsidRPr="00EB25E7" w:rsidRDefault="00667F80" w:rsidP="00FB4B26">
            <w:pPr>
              <w:spacing w:after="120" w:line="360" w:lineRule="auto"/>
              <w:jc w:val="both"/>
              <w:rPr>
                <w:rFonts w:ascii="Arial" w:hAnsi="Arial" w:cs="Arial"/>
                <w:i/>
                <w:sz w:val="20"/>
                <w:szCs w:val="20"/>
              </w:rPr>
            </w:pPr>
          </w:p>
        </w:tc>
      </w:tr>
    </w:tbl>
    <w:p w14:paraId="5E514B86" w14:textId="77777777" w:rsidR="00316464" w:rsidRPr="003D69B2" w:rsidRDefault="007E653E" w:rsidP="00EB25E7">
      <w:pPr>
        <w:spacing w:after="120" w:line="360" w:lineRule="auto"/>
        <w:jc w:val="both"/>
        <w:rPr>
          <w:rFonts w:ascii="Arial" w:hAnsi="Arial" w:cs="Arial"/>
          <w:sz w:val="20"/>
          <w:szCs w:val="20"/>
        </w:rPr>
      </w:pPr>
      <w:r w:rsidRPr="007E653E">
        <w:rPr>
          <w:rFonts w:ascii="Arial" w:hAnsi="Arial" w:cs="Arial"/>
          <w:bCs/>
          <w:sz w:val="20"/>
          <w:szCs w:val="20"/>
        </w:rPr>
        <w:t xml:space="preserve">A forgalom növekedését a fokozatos nyitás után támogatja </w:t>
      </w:r>
      <w:r w:rsidRPr="007E653E">
        <w:rPr>
          <w:rFonts w:ascii="Arial" w:hAnsi="Arial" w:cs="Arial"/>
          <w:b/>
          <w:bCs/>
          <w:sz w:val="20"/>
          <w:szCs w:val="20"/>
        </w:rPr>
        <w:t>a munkaerőpiac teljes helyreállása</w:t>
      </w:r>
      <w:r w:rsidRPr="007E653E">
        <w:rPr>
          <w:rFonts w:ascii="Arial" w:hAnsi="Arial" w:cs="Arial"/>
          <w:bCs/>
          <w:sz w:val="20"/>
          <w:szCs w:val="20"/>
        </w:rPr>
        <w:t xml:space="preserve"> (a nyári hónapokban a rendszerváltás óta a legmagasabb szintre ugrott a foglalkoztatottak száma, noha a járvány előttihez képest más szerkezetben), valamint a korlátozásokkal nem érintett ágazatokban továbbra is </w:t>
      </w:r>
      <w:r w:rsidRPr="007E653E">
        <w:rPr>
          <w:rFonts w:ascii="Arial" w:hAnsi="Arial" w:cs="Arial"/>
          <w:b/>
          <w:bCs/>
          <w:sz w:val="20"/>
          <w:szCs w:val="20"/>
        </w:rPr>
        <w:t>dinamikus a bérnövekedés</w:t>
      </w:r>
      <w:r w:rsidRPr="007E653E">
        <w:rPr>
          <w:rFonts w:ascii="Arial" w:hAnsi="Arial" w:cs="Arial"/>
          <w:bCs/>
          <w:sz w:val="20"/>
          <w:szCs w:val="20"/>
        </w:rPr>
        <w:t xml:space="preserve">, egyes ágazatokban pedig megjelent a munkaerőhiány, ami további érdemi bérnövekedéshez vezethet. A dinamikus bérnövekedés hatását ugyanakkor </w:t>
      </w:r>
      <w:r w:rsidRPr="007E653E">
        <w:rPr>
          <w:rFonts w:ascii="Arial" w:hAnsi="Arial" w:cs="Arial"/>
          <w:b/>
          <w:bCs/>
          <w:sz w:val="20"/>
          <w:szCs w:val="20"/>
        </w:rPr>
        <w:t>a meglóduló infláció tompítja</w:t>
      </w:r>
      <w:r w:rsidRPr="007E653E">
        <w:rPr>
          <w:rFonts w:ascii="Arial" w:hAnsi="Arial" w:cs="Arial"/>
          <w:bCs/>
          <w:sz w:val="20"/>
          <w:szCs w:val="20"/>
        </w:rPr>
        <w:t xml:space="preserve">. A közszféra béremelései szintén támogatják a fogyasztás bővülését, a tavalyi év végétől pedig további lendületet adhat </w:t>
      </w:r>
      <w:r w:rsidRPr="007E653E">
        <w:rPr>
          <w:rFonts w:ascii="Arial" w:hAnsi="Arial" w:cs="Arial"/>
          <w:b/>
          <w:bCs/>
          <w:sz w:val="20"/>
          <w:szCs w:val="20"/>
        </w:rPr>
        <w:t>a rekordösszegű nyugdíjprémium</w:t>
      </w:r>
      <w:r w:rsidRPr="007E653E">
        <w:rPr>
          <w:rFonts w:ascii="Arial" w:hAnsi="Arial" w:cs="Arial"/>
          <w:bCs/>
          <w:sz w:val="20"/>
          <w:szCs w:val="20"/>
        </w:rPr>
        <w:t xml:space="preserve">, amellyel 200 milliárd forint került a nyugdíjasokhoz. Emellett az </w:t>
      </w:r>
      <w:r w:rsidRPr="007E653E">
        <w:rPr>
          <w:rFonts w:ascii="Arial" w:hAnsi="Arial" w:cs="Arial"/>
          <w:b/>
          <w:bCs/>
          <w:sz w:val="20"/>
          <w:szCs w:val="20"/>
        </w:rPr>
        <w:t>elhalasztott fogyasztás</w:t>
      </w:r>
      <w:r w:rsidRPr="007E653E">
        <w:rPr>
          <w:rFonts w:ascii="Arial" w:hAnsi="Arial" w:cs="Arial"/>
          <w:bCs/>
          <w:sz w:val="20"/>
          <w:szCs w:val="20"/>
        </w:rPr>
        <w:t xml:space="preserve"> is szerepet játszhat a kiskereskedelmi forgalom várható </w:t>
      </w:r>
      <w:proofErr w:type="spellStart"/>
      <w:r w:rsidRPr="007E653E">
        <w:rPr>
          <w:rFonts w:ascii="Arial" w:hAnsi="Arial" w:cs="Arial"/>
          <w:bCs/>
          <w:sz w:val="20"/>
          <w:szCs w:val="20"/>
        </w:rPr>
        <w:t>stabiliálódásában</w:t>
      </w:r>
      <w:proofErr w:type="spellEnd"/>
      <w:r w:rsidRPr="007E653E">
        <w:rPr>
          <w:rFonts w:ascii="Arial" w:hAnsi="Arial" w:cs="Arial"/>
          <w:bCs/>
          <w:sz w:val="20"/>
          <w:szCs w:val="20"/>
        </w:rPr>
        <w:t xml:space="preserve">. Tavaly 3,4% körül nőhetett a kiskereskedelmi forgalom, idén azonban az </w:t>
      </w:r>
      <w:r w:rsidRPr="007E653E">
        <w:rPr>
          <w:rFonts w:ascii="Arial" w:hAnsi="Arial" w:cs="Arial"/>
          <w:b/>
          <w:bCs/>
          <w:sz w:val="20"/>
          <w:szCs w:val="20"/>
        </w:rPr>
        <w:t>tavalyi év eleji alacsony bázis</w:t>
      </w:r>
      <w:r w:rsidRPr="007E653E">
        <w:rPr>
          <w:rFonts w:ascii="Arial" w:hAnsi="Arial" w:cs="Arial"/>
          <w:bCs/>
          <w:sz w:val="20"/>
          <w:szCs w:val="20"/>
        </w:rPr>
        <w:t xml:space="preserve">, a gyermeket nevelők </w:t>
      </w:r>
      <w:r w:rsidRPr="007E653E">
        <w:rPr>
          <w:rFonts w:ascii="Arial" w:hAnsi="Arial" w:cs="Arial"/>
          <w:b/>
          <w:bCs/>
          <w:sz w:val="20"/>
          <w:szCs w:val="20"/>
        </w:rPr>
        <w:t>szja visszatérítése</w:t>
      </w:r>
      <w:r w:rsidRPr="007E653E">
        <w:rPr>
          <w:rFonts w:ascii="Arial" w:hAnsi="Arial" w:cs="Arial"/>
          <w:bCs/>
          <w:sz w:val="20"/>
          <w:szCs w:val="20"/>
        </w:rPr>
        <w:t xml:space="preserve">, </w:t>
      </w:r>
      <w:r w:rsidRPr="007E653E">
        <w:rPr>
          <w:rFonts w:ascii="Arial" w:hAnsi="Arial" w:cs="Arial"/>
          <w:b/>
          <w:bCs/>
          <w:sz w:val="20"/>
          <w:szCs w:val="20"/>
        </w:rPr>
        <w:t>a 13. havi nyugdíj</w:t>
      </w:r>
      <w:r w:rsidRPr="007E653E">
        <w:rPr>
          <w:rFonts w:ascii="Arial" w:hAnsi="Arial" w:cs="Arial"/>
          <w:bCs/>
          <w:sz w:val="20"/>
          <w:szCs w:val="20"/>
        </w:rPr>
        <w:t xml:space="preserve">, valamint a rendőri, hivatásos állomány számára tervezett </w:t>
      </w:r>
      <w:r w:rsidRPr="007E653E">
        <w:rPr>
          <w:rFonts w:ascii="Arial" w:hAnsi="Arial" w:cs="Arial"/>
          <w:b/>
          <w:bCs/>
          <w:sz w:val="20"/>
          <w:szCs w:val="20"/>
        </w:rPr>
        <w:t>féléves bónusz</w:t>
      </w:r>
      <w:r w:rsidRPr="007E653E">
        <w:rPr>
          <w:rFonts w:ascii="Arial" w:hAnsi="Arial" w:cs="Arial"/>
          <w:bCs/>
          <w:sz w:val="20"/>
          <w:szCs w:val="20"/>
        </w:rPr>
        <w:t xml:space="preserve"> hatására (ezekkel összességében mintegy 1200 milliárd forint többletjövedelem kerülhet a háztartásokhoz), valamint a közel </w:t>
      </w:r>
      <w:r w:rsidRPr="007E653E">
        <w:rPr>
          <w:rFonts w:ascii="Arial" w:hAnsi="Arial" w:cs="Arial"/>
          <w:b/>
          <w:bCs/>
          <w:sz w:val="20"/>
          <w:szCs w:val="20"/>
        </w:rPr>
        <w:t>20%-os minimálbér és bérminimum emelés</w:t>
      </w:r>
      <w:r w:rsidRPr="007E653E">
        <w:rPr>
          <w:rFonts w:ascii="Arial" w:hAnsi="Arial" w:cs="Arial"/>
          <w:bCs/>
          <w:sz w:val="20"/>
          <w:szCs w:val="20"/>
        </w:rPr>
        <w:t xml:space="preserve">, illetve </w:t>
      </w:r>
      <w:r w:rsidRPr="007E653E">
        <w:rPr>
          <w:rFonts w:ascii="Arial" w:hAnsi="Arial" w:cs="Arial"/>
          <w:b/>
          <w:bCs/>
          <w:sz w:val="20"/>
          <w:szCs w:val="20"/>
        </w:rPr>
        <w:t>egyes ágazatokban</w:t>
      </w:r>
      <w:r w:rsidRPr="007E653E">
        <w:rPr>
          <w:rFonts w:ascii="Arial" w:hAnsi="Arial" w:cs="Arial"/>
          <w:bCs/>
          <w:sz w:val="20"/>
          <w:szCs w:val="20"/>
        </w:rPr>
        <w:t xml:space="preserve"> (egészségügyi, szociális, bölcsődei, kulturális dolgozók) szintén mintegy </w:t>
      </w:r>
      <w:r w:rsidRPr="007E653E">
        <w:rPr>
          <w:rFonts w:ascii="Arial" w:hAnsi="Arial" w:cs="Arial"/>
          <w:b/>
          <w:bCs/>
          <w:sz w:val="20"/>
          <w:szCs w:val="20"/>
        </w:rPr>
        <w:t>20%-os béremelés</w:t>
      </w:r>
      <w:r w:rsidRPr="007E653E">
        <w:rPr>
          <w:rFonts w:ascii="Arial" w:hAnsi="Arial" w:cs="Arial"/>
          <w:bCs/>
          <w:sz w:val="20"/>
          <w:szCs w:val="20"/>
        </w:rPr>
        <w:t xml:space="preserve"> hatására kétszámjegyű, </w:t>
      </w:r>
      <w:r w:rsidRPr="007E653E">
        <w:rPr>
          <w:rFonts w:ascii="Arial" w:hAnsi="Arial" w:cs="Arial"/>
          <w:b/>
          <w:bCs/>
          <w:sz w:val="20"/>
          <w:szCs w:val="20"/>
        </w:rPr>
        <w:t>11% feletti növekedésre</w:t>
      </w:r>
      <w:r w:rsidRPr="007E653E">
        <w:rPr>
          <w:rFonts w:ascii="Arial" w:hAnsi="Arial" w:cs="Arial"/>
          <w:bCs/>
          <w:sz w:val="20"/>
          <w:szCs w:val="20"/>
        </w:rPr>
        <w:t xml:space="preserve"> számítunk. A járványhelyzet előtti szint elérése a következő hónapokban várható a kiskereskedelemben. A külföldi vásárlókra építő üzletek kilábalása későbbre várható, azonban kedvező, hogy a külföldi vendégek száma is fokozatosan élénkül. Mivel a járvány előtt a hazai </w:t>
      </w:r>
      <w:r w:rsidRPr="007E653E">
        <w:rPr>
          <w:rFonts w:ascii="Arial" w:hAnsi="Arial" w:cs="Arial"/>
          <w:b/>
          <w:bCs/>
          <w:sz w:val="20"/>
          <w:szCs w:val="20"/>
        </w:rPr>
        <w:t>kiskereskedelmi forgalom közel 7%-át a külföldi vásárlók és a bevásárló turizmus</w:t>
      </w:r>
      <w:r w:rsidRPr="007E653E">
        <w:rPr>
          <w:rFonts w:ascii="Arial" w:hAnsi="Arial" w:cs="Arial"/>
          <w:bCs/>
          <w:sz w:val="20"/>
          <w:szCs w:val="20"/>
        </w:rPr>
        <w:t xml:space="preserve"> adták, a külföldiek visszatérése később jelentős lendületet adhat, azonban feltehetően fokozatosan valósulhat meg, mivel több országban megjelent a delta és legújabban az omikron variáns, ami visszafoghatja a nemzetközi turizmust, valamint az Európán kívüli országokból még nem várható a turizmus megjelenése. A határmenti forgalmat </w:t>
      </w:r>
      <w:r w:rsidRPr="007E653E">
        <w:rPr>
          <w:rFonts w:ascii="Arial" w:hAnsi="Arial" w:cs="Arial"/>
          <w:bCs/>
          <w:sz w:val="20"/>
          <w:szCs w:val="20"/>
        </w:rPr>
        <w:lastRenderedPageBreak/>
        <w:t>azonban egyes beszámolók szerint fellendítette a gyenge forint, az üzemanyagárak hazai befagyasztása, valamit a nem létfontosságú üzletek átmeneti bezárása Szlovákiában.</w:t>
      </w:r>
    </w:p>
    <w:p w14:paraId="6FCB45F1" w14:textId="77777777" w:rsidR="005C518C" w:rsidRPr="003536D7" w:rsidRDefault="005C518C" w:rsidP="00316464">
      <w:pPr>
        <w:pStyle w:val="Alcmtbank"/>
      </w:pPr>
      <w:r w:rsidRPr="003536D7">
        <w:t>Autópiac</w:t>
      </w:r>
    </w:p>
    <w:p w14:paraId="64472ED3" w14:textId="77777777" w:rsidR="00C734FF" w:rsidRDefault="006D220C" w:rsidP="00EB25E7">
      <w:pPr>
        <w:spacing w:after="120" w:line="360" w:lineRule="auto"/>
        <w:jc w:val="both"/>
        <w:rPr>
          <w:rFonts w:ascii="Arial" w:hAnsi="Arial" w:cs="Arial"/>
          <w:sz w:val="20"/>
          <w:szCs w:val="20"/>
        </w:rPr>
      </w:pPr>
      <w:r>
        <w:rPr>
          <w:rFonts w:ascii="Arial" w:hAnsi="Arial" w:cs="Arial"/>
          <w:sz w:val="20"/>
          <w:szCs w:val="20"/>
        </w:rPr>
        <w:t>Decemberben</w:t>
      </w:r>
      <w:r>
        <w:rPr>
          <w:rFonts w:ascii="Arial" w:hAnsi="Arial" w:cs="Arial"/>
          <w:b/>
          <w:sz w:val="20"/>
          <w:szCs w:val="20"/>
        </w:rPr>
        <w:t xml:space="preserve"> 8</w:t>
      </w:r>
      <w:r w:rsidR="00FB4B26">
        <w:rPr>
          <w:rFonts w:ascii="Arial" w:hAnsi="Arial" w:cs="Arial"/>
          <w:b/>
          <w:sz w:val="20"/>
          <w:szCs w:val="20"/>
        </w:rPr>
        <w:t>.</w:t>
      </w:r>
      <w:r>
        <w:rPr>
          <w:rFonts w:ascii="Arial" w:hAnsi="Arial" w:cs="Arial"/>
          <w:b/>
          <w:sz w:val="20"/>
          <w:szCs w:val="20"/>
        </w:rPr>
        <w:t>742</w:t>
      </w:r>
      <w:r w:rsidR="005C518C" w:rsidRPr="00EB25E7">
        <w:rPr>
          <w:rFonts w:ascii="Arial" w:hAnsi="Arial" w:cs="Arial"/>
          <w:b/>
          <w:sz w:val="20"/>
          <w:szCs w:val="20"/>
        </w:rPr>
        <w:t xml:space="preserve"> személ</w:t>
      </w:r>
      <w:r w:rsidR="00611B9D">
        <w:rPr>
          <w:rFonts w:ascii="Arial" w:hAnsi="Arial" w:cs="Arial"/>
          <w:b/>
          <w:sz w:val="20"/>
          <w:szCs w:val="20"/>
        </w:rPr>
        <w:t>ygé</w:t>
      </w:r>
      <w:r w:rsidR="00BF52BE">
        <w:rPr>
          <w:rFonts w:ascii="Arial" w:hAnsi="Arial" w:cs="Arial"/>
          <w:b/>
          <w:sz w:val="20"/>
          <w:szCs w:val="20"/>
        </w:rPr>
        <w:t xml:space="preserve">pjármű került az utakra, </w:t>
      </w:r>
      <w:r w:rsidR="00412A55">
        <w:rPr>
          <w:rFonts w:ascii="Arial" w:hAnsi="Arial" w:cs="Arial"/>
          <w:b/>
          <w:sz w:val="20"/>
          <w:szCs w:val="20"/>
        </w:rPr>
        <w:t>31,2</w:t>
      </w:r>
      <w:r w:rsidR="005C518C" w:rsidRPr="00EB25E7">
        <w:rPr>
          <w:rFonts w:ascii="Arial" w:hAnsi="Arial" w:cs="Arial"/>
          <w:b/>
          <w:sz w:val="20"/>
          <w:szCs w:val="20"/>
        </w:rPr>
        <w:t xml:space="preserve">%-kal </w:t>
      </w:r>
      <w:r w:rsidR="0017741A">
        <w:rPr>
          <w:rFonts w:ascii="Arial" w:hAnsi="Arial" w:cs="Arial"/>
          <w:b/>
          <w:sz w:val="20"/>
          <w:szCs w:val="20"/>
        </w:rPr>
        <w:t>kevesebb</w:t>
      </w:r>
      <w:r w:rsidR="00876451">
        <w:rPr>
          <w:rFonts w:ascii="Arial" w:hAnsi="Arial" w:cs="Arial"/>
          <w:b/>
          <w:sz w:val="20"/>
          <w:szCs w:val="20"/>
        </w:rPr>
        <w:t xml:space="preserve"> az előző év azonos időszakához képest</w:t>
      </w:r>
      <w:r w:rsidR="005C518C" w:rsidRPr="00EB25E7">
        <w:rPr>
          <w:rFonts w:ascii="Arial" w:hAnsi="Arial" w:cs="Arial"/>
          <w:sz w:val="20"/>
          <w:szCs w:val="20"/>
        </w:rPr>
        <w:t xml:space="preserve">. </w:t>
      </w:r>
      <w:r w:rsidR="00412A55">
        <w:rPr>
          <w:rFonts w:ascii="Arial" w:hAnsi="Arial" w:cs="Arial"/>
          <w:sz w:val="20"/>
          <w:szCs w:val="20"/>
        </w:rPr>
        <w:t>Tavaly így összesen 121</w:t>
      </w:r>
      <w:r w:rsidR="00611B9D">
        <w:rPr>
          <w:rFonts w:ascii="Arial" w:hAnsi="Arial" w:cs="Arial"/>
          <w:sz w:val="20"/>
          <w:szCs w:val="20"/>
        </w:rPr>
        <w:t>.</w:t>
      </w:r>
      <w:r w:rsidR="00412A55">
        <w:rPr>
          <w:rFonts w:ascii="Arial" w:hAnsi="Arial" w:cs="Arial"/>
          <w:sz w:val="20"/>
          <w:szCs w:val="20"/>
        </w:rPr>
        <w:t>920</w:t>
      </w:r>
      <w:r w:rsidR="005C518C" w:rsidRPr="00EB25E7">
        <w:rPr>
          <w:rFonts w:ascii="Arial" w:hAnsi="Arial" w:cs="Arial"/>
          <w:sz w:val="20"/>
          <w:szCs w:val="20"/>
        </w:rPr>
        <w:t xml:space="preserve"> új személygépk</w:t>
      </w:r>
      <w:r w:rsidR="00A54B05">
        <w:rPr>
          <w:rFonts w:ascii="Arial" w:hAnsi="Arial" w:cs="Arial"/>
          <w:sz w:val="20"/>
          <w:szCs w:val="20"/>
        </w:rPr>
        <w:t xml:space="preserve">ocsit helyeztek forgalomba, </w:t>
      </w:r>
      <w:r w:rsidR="00412A55">
        <w:rPr>
          <w:rFonts w:ascii="Arial" w:hAnsi="Arial" w:cs="Arial"/>
          <w:sz w:val="20"/>
          <w:szCs w:val="20"/>
        </w:rPr>
        <w:t>4,8</w:t>
      </w:r>
      <w:r w:rsidR="005C518C" w:rsidRPr="00EB25E7">
        <w:rPr>
          <w:rFonts w:ascii="Arial" w:hAnsi="Arial" w:cs="Arial"/>
          <w:sz w:val="20"/>
          <w:szCs w:val="20"/>
        </w:rPr>
        <w:t xml:space="preserve">%-kal </w:t>
      </w:r>
      <w:r w:rsidR="00412A55">
        <w:rPr>
          <w:rFonts w:ascii="Arial" w:hAnsi="Arial" w:cs="Arial"/>
          <w:sz w:val="20"/>
          <w:szCs w:val="20"/>
        </w:rPr>
        <w:t>kevesebbet</w:t>
      </w:r>
      <w:r w:rsidR="005C518C" w:rsidRPr="00EB25E7">
        <w:rPr>
          <w:rFonts w:ascii="Arial" w:hAnsi="Arial" w:cs="Arial"/>
          <w:sz w:val="20"/>
          <w:szCs w:val="20"/>
        </w:rPr>
        <w:t>, mint az előző év</w:t>
      </w:r>
      <w:r w:rsidR="00412A55">
        <w:rPr>
          <w:rFonts w:ascii="Arial" w:hAnsi="Arial" w:cs="Arial"/>
          <w:sz w:val="20"/>
          <w:szCs w:val="20"/>
        </w:rPr>
        <w:t>ben</w:t>
      </w:r>
      <w:r w:rsidR="005C518C" w:rsidRPr="00EB25E7">
        <w:rPr>
          <w:rFonts w:ascii="Arial" w:hAnsi="Arial" w:cs="Arial"/>
          <w:sz w:val="20"/>
          <w:szCs w:val="20"/>
        </w:rPr>
        <w:t>.</w:t>
      </w:r>
      <w:r w:rsidR="00C754E1">
        <w:rPr>
          <w:rFonts w:ascii="Arial" w:hAnsi="Arial" w:cs="Arial"/>
          <w:sz w:val="20"/>
          <w:szCs w:val="20"/>
        </w:rPr>
        <w:t xml:space="preserve"> A forgalomba hozatalt elsősorban a chiphiány miatt akadozó termelés akadályozza, azonban sok vevőt elriaszthat az új autók árainak drasztikus emelkedése.</w:t>
      </w:r>
      <w:r w:rsidR="00FB4B26">
        <w:rPr>
          <w:rFonts w:ascii="Arial" w:hAnsi="Arial" w:cs="Arial"/>
          <w:sz w:val="20"/>
          <w:szCs w:val="20"/>
        </w:rPr>
        <w:t xml:space="preserve"> </w:t>
      </w:r>
      <w:r w:rsidR="00024FDF" w:rsidRPr="00024FDF">
        <w:rPr>
          <w:rFonts w:ascii="Arial" w:hAnsi="Arial" w:cs="Arial"/>
          <w:sz w:val="20"/>
          <w:szCs w:val="20"/>
        </w:rPr>
        <w:t>A kihívásokkal teli 2021-es év a kishaszon</w:t>
      </w:r>
      <w:r w:rsidR="00024FDF">
        <w:rPr>
          <w:rFonts w:ascii="Arial" w:hAnsi="Arial" w:cs="Arial"/>
          <w:sz w:val="20"/>
          <w:szCs w:val="20"/>
        </w:rPr>
        <w:t xml:space="preserve"> </w:t>
      </w:r>
      <w:r w:rsidR="00024FDF" w:rsidRPr="00024FDF">
        <w:rPr>
          <w:rFonts w:ascii="Arial" w:hAnsi="Arial" w:cs="Arial"/>
          <w:sz w:val="20"/>
          <w:szCs w:val="20"/>
        </w:rPr>
        <w:t>gépjárművek piacára is rányomta a bélyegét, ennek ellenére tavaly összesen 22 984 járművet értékesítettek, amely 4,3 százalékos növek</w:t>
      </w:r>
      <w:r w:rsidR="00024FDF">
        <w:rPr>
          <w:rFonts w:ascii="Arial" w:hAnsi="Arial" w:cs="Arial"/>
          <w:sz w:val="20"/>
          <w:szCs w:val="20"/>
        </w:rPr>
        <w:t>edést jelentett 2020-hoz képest</w:t>
      </w:r>
      <w:r w:rsidR="005C518C" w:rsidRPr="00EB25E7">
        <w:rPr>
          <w:rFonts w:ascii="Arial" w:hAnsi="Arial" w:cs="Arial"/>
          <w:sz w:val="20"/>
          <w:szCs w:val="20"/>
        </w:rPr>
        <w:t xml:space="preserve">. A forgalomba helyezett nagy haszonjárművek száma </w:t>
      </w:r>
      <w:r w:rsidR="00C734FF">
        <w:rPr>
          <w:rFonts w:ascii="Arial" w:hAnsi="Arial" w:cs="Arial"/>
          <w:sz w:val="20"/>
          <w:szCs w:val="20"/>
        </w:rPr>
        <w:t>420</w:t>
      </w:r>
      <w:r w:rsidR="005C518C" w:rsidRPr="00EB25E7">
        <w:rPr>
          <w:rFonts w:ascii="Arial" w:hAnsi="Arial" w:cs="Arial"/>
          <w:sz w:val="20"/>
          <w:szCs w:val="20"/>
        </w:rPr>
        <w:t xml:space="preserve"> volt </w:t>
      </w:r>
      <w:r w:rsidR="00C734FF">
        <w:rPr>
          <w:rFonts w:ascii="Arial" w:hAnsi="Arial" w:cs="Arial"/>
          <w:sz w:val="20"/>
          <w:szCs w:val="20"/>
        </w:rPr>
        <w:t>novemberben</w:t>
      </w:r>
      <w:r w:rsidR="00FB4B26">
        <w:rPr>
          <w:rFonts w:ascii="Arial" w:hAnsi="Arial" w:cs="Arial"/>
          <w:sz w:val="20"/>
          <w:szCs w:val="20"/>
        </w:rPr>
        <w:t xml:space="preserve">, amely </w:t>
      </w:r>
      <w:r w:rsidR="00C754E1">
        <w:rPr>
          <w:rFonts w:ascii="Arial" w:hAnsi="Arial" w:cs="Arial"/>
          <w:sz w:val="20"/>
          <w:szCs w:val="20"/>
        </w:rPr>
        <w:t>6</w:t>
      </w:r>
      <w:r w:rsidR="00C734FF">
        <w:rPr>
          <w:rFonts w:ascii="Arial" w:hAnsi="Arial" w:cs="Arial"/>
          <w:sz w:val="20"/>
          <w:szCs w:val="20"/>
        </w:rPr>
        <w:t>,1</w:t>
      </w:r>
      <w:r w:rsidR="005C518C" w:rsidRPr="00EB25E7">
        <w:rPr>
          <w:rFonts w:ascii="Arial" w:hAnsi="Arial" w:cs="Arial"/>
          <w:sz w:val="20"/>
          <w:szCs w:val="20"/>
        </w:rPr>
        <w:t xml:space="preserve">%-os </w:t>
      </w:r>
      <w:r w:rsidR="007016B8">
        <w:rPr>
          <w:rFonts w:ascii="Arial" w:hAnsi="Arial" w:cs="Arial"/>
          <w:sz w:val="20"/>
          <w:szCs w:val="20"/>
        </w:rPr>
        <w:t>növekedés</w:t>
      </w:r>
      <w:r w:rsidR="005C518C" w:rsidRPr="00EB25E7">
        <w:rPr>
          <w:rFonts w:ascii="Arial" w:hAnsi="Arial" w:cs="Arial"/>
          <w:sz w:val="20"/>
          <w:szCs w:val="20"/>
        </w:rPr>
        <w:t xml:space="preserve"> a tavalyi azonos időszakhoz képest. A január-</w:t>
      </w:r>
      <w:r w:rsidR="00C734FF">
        <w:rPr>
          <w:rFonts w:ascii="Arial" w:hAnsi="Arial" w:cs="Arial"/>
          <w:sz w:val="20"/>
          <w:szCs w:val="20"/>
        </w:rPr>
        <w:t>november</w:t>
      </w:r>
      <w:r w:rsidR="00C754E1">
        <w:rPr>
          <w:rFonts w:ascii="Arial" w:hAnsi="Arial" w:cs="Arial"/>
          <w:sz w:val="20"/>
          <w:szCs w:val="20"/>
        </w:rPr>
        <w:t>ig</w:t>
      </w:r>
      <w:r w:rsidR="005C518C" w:rsidRPr="00EB25E7">
        <w:rPr>
          <w:rFonts w:ascii="Arial" w:hAnsi="Arial" w:cs="Arial"/>
          <w:sz w:val="20"/>
          <w:szCs w:val="20"/>
        </w:rPr>
        <w:t xml:space="preserve"> forgalomba helyezett </w:t>
      </w:r>
      <w:r w:rsidR="00C734FF">
        <w:rPr>
          <w:rFonts w:ascii="Arial" w:hAnsi="Arial" w:cs="Arial"/>
          <w:sz w:val="20"/>
          <w:szCs w:val="20"/>
        </w:rPr>
        <w:t>3760</w:t>
      </w:r>
      <w:r w:rsidR="00C474A2">
        <w:rPr>
          <w:rFonts w:ascii="Arial" w:hAnsi="Arial" w:cs="Arial"/>
          <w:sz w:val="20"/>
          <w:szCs w:val="20"/>
        </w:rPr>
        <w:t xml:space="preserve"> nagy haszonjárm</w:t>
      </w:r>
      <w:r w:rsidR="00C734FF">
        <w:rPr>
          <w:rFonts w:ascii="Arial" w:hAnsi="Arial" w:cs="Arial"/>
          <w:sz w:val="20"/>
          <w:szCs w:val="20"/>
        </w:rPr>
        <w:t>ű 38</w:t>
      </w:r>
      <w:r w:rsidR="005C518C" w:rsidRPr="00EB25E7">
        <w:rPr>
          <w:rFonts w:ascii="Arial" w:hAnsi="Arial" w:cs="Arial"/>
          <w:sz w:val="20"/>
          <w:szCs w:val="20"/>
        </w:rPr>
        <w:t xml:space="preserve">%-kal volt </w:t>
      </w:r>
      <w:r w:rsidR="007016B8">
        <w:rPr>
          <w:rFonts w:ascii="Arial" w:hAnsi="Arial" w:cs="Arial"/>
          <w:sz w:val="20"/>
          <w:szCs w:val="20"/>
        </w:rPr>
        <w:t>több</w:t>
      </w:r>
      <w:r w:rsidR="005C518C" w:rsidRPr="00EB25E7">
        <w:rPr>
          <w:rFonts w:ascii="Arial" w:hAnsi="Arial" w:cs="Arial"/>
          <w:sz w:val="20"/>
          <w:szCs w:val="20"/>
        </w:rPr>
        <w:t>, mint az előző év hasonló időszakában.</w:t>
      </w:r>
      <w:r w:rsidR="00FE2CB5">
        <w:rPr>
          <w:rFonts w:ascii="Arial" w:hAnsi="Arial" w:cs="Arial"/>
          <w:sz w:val="20"/>
          <w:szCs w:val="20"/>
        </w:rPr>
        <w:t xml:space="preserve"> A nagyhaszon gépjármű eladások érdemi bővülését a járványhelyzet miatt megugró szállítási feladatok mellett a globális kereskedelem fellendülése indokolja.</w:t>
      </w:r>
      <w:r w:rsidR="005C518C" w:rsidRPr="00EB25E7">
        <w:rPr>
          <w:rFonts w:ascii="Arial" w:hAnsi="Arial" w:cs="Arial"/>
          <w:sz w:val="20"/>
          <w:szCs w:val="20"/>
        </w:rPr>
        <w:t xml:space="preserve"> </w:t>
      </w:r>
      <w:r w:rsidR="00C734FF">
        <w:rPr>
          <w:rFonts w:ascii="Arial" w:hAnsi="Arial" w:cs="Arial"/>
          <w:sz w:val="20"/>
          <w:szCs w:val="20"/>
        </w:rPr>
        <w:t>Novemberben</w:t>
      </w:r>
      <w:r w:rsidR="00C754E1">
        <w:rPr>
          <w:rFonts w:ascii="Arial" w:hAnsi="Arial" w:cs="Arial"/>
          <w:sz w:val="20"/>
          <w:szCs w:val="20"/>
        </w:rPr>
        <w:t xml:space="preserve"> </w:t>
      </w:r>
      <w:r w:rsidR="00C734FF">
        <w:rPr>
          <w:rFonts w:ascii="Arial" w:hAnsi="Arial" w:cs="Arial"/>
          <w:sz w:val="20"/>
          <w:szCs w:val="20"/>
        </w:rPr>
        <w:t>33</w:t>
      </w:r>
      <w:r w:rsidR="005C518C" w:rsidRPr="00EB25E7">
        <w:rPr>
          <w:rFonts w:ascii="Arial" w:hAnsi="Arial" w:cs="Arial"/>
          <w:sz w:val="20"/>
          <w:szCs w:val="20"/>
        </w:rPr>
        <w:t xml:space="preserve"> új</w:t>
      </w:r>
      <w:r w:rsidR="00C474A2">
        <w:rPr>
          <w:rFonts w:ascii="Arial" w:hAnsi="Arial" w:cs="Arial"/>
          <w:sz w:val="20"/>
          <w:szCs w:val="20"/>
        </w:rPr>
        <w:t xml:space="preserve"> buszt helyeztek forgalomb</w:t>
      </w:r>
      <w:r w:rsidR="00C754E1">
        <w:rPr>
          <w:rFonts w:ascii="Arial" w:hAnsi="Arial" w:cs="Arial"/>
          <w:sz w:val="20"/>
          <w:szCs w:val="20"/>
        </w:rPr>
        <w:t xml:space="preserve">a, </w:t>
      </w:r>
      <w:r w:rsidR="00C734FF">
        <w:rPr>
          <w:rFonts w:ascii="Arial" w:hAnsi="Arial" w:cs="Arial"/>
          <w:sz w:val="20"/>
          <w:szCs w:val="20"/>
        </w:rPr>
        <w:t>21</w:t>
      </w:r>
      <w:r w:rsidR="005C518C" w:rsidRPr="00EB25E7">
        <w:rPr>
          <w:rFonts w:ascii="Arial" w:hAnsi="Arial" w:cs="Arial"/>
          <w:sz w:val="20"/>
          <w:szCs w:val="20"/>
        </w:rPr>
        <w:t xml:space="preserve">%-kal </w:t>
      </w:r>
      <w:r w:rsidR="00C734FF">
        <w:rPr>
          <w:rFonts w:ascii="Arial" w:hAnsi="Arial" w:cs="Arial"/>
          <w:sz w:val="20"/>
          <w:szCs w:val="20"/>
        </w:rPr>
        <w:t>kevesebbet</w:t>
      </w:r>
      <w:r w:rsidR="005C518C" w:rsidRPr="00EB25E7">
        <w:rPr>
          <w:rFonts w:ascii="Arial" w:hAnsi="Arial" w:cs="Arial"/>
          <w:sz w:val="20"/>
          <w:szCs w:val="20"/>
        </w:rPr>
        <w:t xml:space="preserve">, mint tavaly ilyenkor, az </w:t>
      </w:r>
      <w:r w:rsidR="00AD071B">
        <w:rPr>
          <w:rFonts w:ascii="Arial" w:hAnsi="Arial" w:cs="Arial"/>
          <w:sz w:val="20"/>
          <w:szCs w:val="20"/>
        </w:rPr>
        <w:t xml:space="preserve">első </w:t>
      </w:r>
      <w:r w:rsidR="00C734FF">
        <w:rPr>
          <w:rFonts w:ascii="Arial" w:hAnsi="Arial" w:cs="Arial"/>
          <w:sz w:val="20"/>
          <w:szCs w:val="20"/>
        </w:rPr>
        <w:t>tizenegy</w:t>
      </w:r>
      <w:r w:rsidR="00C474A2">
        <w:rPr>
          <w:rFonts w:ascii="Arial" w:hAnsi="Arial" w:cs="Arial"/>
          <w:sz w:val="20"/>
          <w:szCs w:val="20"/>
        </w:rPr>
        <w:t xml:space="preserve"> hónap</w:t>
      </w:r>
      <w:r w:rsidR="005C518C" w:rsidRPr="00EB25E7">
        <w:rPr>
          <w:rFonts w:ascii="Arial" w:hAnsi="Arial" w:cs="Arial"/>
          <w:sz w:val="20"/>
          <w:szCs w:val="20"/>
        </w:rPr>
        <w:t xml:space="preserve"> </w:t>
      </w:r>
      <w:r w:rsidR="00FB4B26">
        <w:rPr>
          <w:rFonts w:ascii="Arial" w:hAnsi="Arial" w:cs="Arial"/>
          <w:sz w:val="20"/>
          <w:szCs w:val="20"/>
        </w:rPr>
        <w:t>során</w:t>
      </w:r>
      <w:r w:rsidR="005C518C" w:rsidRPr="00EB25E7">
        <w:rPr>
          <w:rFonts w:ascii="Arial" w:hAnsi="Arial" w:cs="Arial"/>
          <w:sz w:val="20"/>
          <w:szCs w:val="20"/>
        </w:rPr>
        <w:t xml:space="preserve"> pedig </w:t>
      </w:r>
      <w:r w:rsidR="00C734FF">
        <w:rPr>
          <w:rFonts w:ascii="Arial" w:hAnsi="Arial" w:cs="Arial"/>
          <w:sz w:val="20"/>
          <w:szCs w:val="20"/>
        </w:rPr>
        <w:t>894 buszt, ez 54</w:t>
      </w:r>
      <w:r w:rsidR="005C518C" w:rsidRPr="00EB25E7">
        <w:rPr>
          <w:rFonts w:ascii="Arial" w:hAnsi="Arial" w:cs="Arial"/>
          <w:sz w:val="20"/>
          <w:szCs w:val="20"/>
        </w:rPr>
        <w:t xml:space="preserve">%-os </w:t>
      </w:r>
      <w:r w:rsidR="00C734FF">
        <w:rPr>
          <w:rFonts w:ascii="Arial" w:hAnsi="Arial" w:cs="Arial"/>
          <w:sz w:val="20"/>
          <w:szCs w:val="20"/>
        </w:rPr>
        <w:t>növekedés</w:t>
      </w:r>
      <w:r w:rsidR="005C518C" w:rsidRPr="00EB25E7">
        <w:rPr>
          <w:rFonts w:ascii="Arial" w:hAnsi="Arial" w:cs="Arial"/>
          <w:sz w:val="20"/>
          <w:szCs w:val="20"/>
        </w:rPr>
        <w:t xml:space="preserve"> éves összevetésben. </w:t>
      </w:r>
    </w:p>
    <w:p w14:paraId="19DC53A9" w14:textId="77777777" w:rsidR="005C518C" w:rsidRPr="00EB25E7" w:rsidRDefault="005C518C" w:rsidP="00EB25E7">
      <w:pPr>
        <w:spacing w:after="120" w:line="360" w:lineRule="auto"/>
        <w:jc w:val="both"/>
        <w:rPr>
          <w:rFonts w:ascii="Arial" w:hAnsi="Arial" w:cs="Arial"/>
          <w:sz w:val="20"/>
          <w:szCs w:val="20"/>
        </w:rPr>
      </w:pPr>
      <w:r w:rsidRPr="00EB25E7">
        <w:rPr>
          <w:rFonts w:ascii="Arial" w:hAnsi="Arial" w:cs="Arial"/>
          <w:sz w:val="20"/>
          <w:szCs w:val="20"/>
        </w:rPr>
        <w:t>A hazai autópiac gyorsuló ütemű kilábalást mutatott az előző években, ugyanakkor az eladások a válság előtti szinttől még közel egyötödével maradtak el. A járvány kitörése megtörte a kedvező trendet, azonban az április-májusi mélypon</w:t>
      </w:r>
      <w:r w:rsidR="00AA31DA">
        <w:rPr>
          <w:rFonts w:ascii="Arial" w:hAnsi="Arial" w:cs="Arial"/>
          <w:sz w:val="20"/>
          <w:szCs w:val="20"/>
        </w:rPr>
        <w:t>t után fokozatos javulást mutatt</w:t>
      </w:r>
      <w:r w:rsidRPr="00EB25E7">
        <w:rPr>
          <w:rFonts w:ascii="Arial" w:hAnsi="Arial" w:cs="Arial"/>
          <w:sz w:val="20"/>
          <w:szCs w:val="20"/>
        </w:rPr>
        <w:t>ak az új autók forgalomba hozatali adatai. A korábbi évek vásárlási szerkezete a hitelezési és l</w:t>
      </w:r>
      <w:r w:rsidR="00AA31DA">
        <w:rPr>
          <w:rFonts w:ascii="Arial" w:hAnsi="Arial" w:cs="Arial"/>
          <w:sz w:val="20"/>
          <w:szCs w:val="20"/>
        </w:rPr>
        <w:t>ízingpiaci aktivitás zuhanása</w:t>
      </w:r>
      <w:r w:rsidRPr="00EB25E7">
        <w:rPr>
          <w:rFonts w:ascii="Arial" w:hAnsi="Arial" w:cs="Arial"/>
          <w:sz w:val="20"/>
          <w:szCs w:val="20"/>
        </w:rPr>
        <w:t xml:space="preserve"> miatt a készpénzes vásárlások arányának növekedése irányába tolódott, a szerkezeti arány gyakorlatilag megfordult. A finanszírozási feltételeken ugyanakkor az MNB kamatcsökkentései, valamint a növekedési hitelprogramjának lízingfinanszírozásra való kiterjesztése szignifikánsan javított. Az elmúlt év</w:t>
      </w:r>
      <w:r w:rsidR="00C754E1">
        <w:rPr>
          <w:rFonts w:ascii="Arial" w:hAnsi="Arial" w:cs="Arial"/>
          <w:sz w:val="20"/>
          <w:szCs w:val="20"/>
        </w:rPr>
        <w:t>ek</w:t>
      </w:r>
      <w:r w:rsidRPr="00EB25E7">
        <w:rPr>
          <w:rFonts w:ascii="Arial" w:hAnsi="Arial" w:cs="Arial"/>
          <w:sz w:val="20"/>
          <w:szCs w:val="20"/>
        </w:rPr>
        <w:t xml:space="preserve">ben már a lakosság is bátrabban vásárolt lízingkonstrukció segítségével új autót, az új személy- és kisteherautók több mint 30 százaléka lízingkonstrukciók segítségével kelt el. Az eladásokat a vállalati flottavásárlások uralják - </w:t>
      </w:r>
      <w:r w:rsidRPr="00EB25E7">
        <w:rPr>
          <w:rFonts w:ascii="Arial" w:hAnsi="Arial" w:cs="Arial"/>
          <w:b/>
          <w:sz w:val="20"/>
          <w:szCs w:val="20"/>
        </w:rPr>
        <w:t xml:space="preserve">az újautó-eladások közel 50%-a köszönhető a vállalati vásárlásoknak, </w:t>
      </w:r>
      <w:r w:rsidRPr="00EB25E7">
        <w:rPr>
          <w:rFonts w:ascii="Arial" w:hAnsi="Arial" w:cs="Arial"/>
          <w:sz w:val="20"/>
          <w:szCs w:val="20"/>
        </w:rPr>
        <w:t>ennek azonban adózási okai is lehetnek</w:t>
      </w:r>
      <w:r w:rsidRPr="00EB25E7">
        <w:rPr>
          <w:rFonts w:ascii="Arial" w:hAnsi="Arial" w:cs="Arial"/>
          <w:b/>
          <w:sz w:val="20"/>
          <w:szCs w:val="20"/>
        </w:rPr>
        <w:t>.</w:t>
      </w:r>
      <w:r w:rsidRPr="00EB25E7">
        <w:rPr>
          <w:rFonts w:ascii="Arial" w:hAnsi="Arial" w:cs="Arial"/>
          <w:sz w:val="20"/>
          <w:szCs w:val="20"/>
        </w:rPr>
        <w:t xml:space="preserve"> Az autópiac a következő években fokozatosan magára találhat, amit támogat a munkaerőpiac stabilizálódása, a bérek továbbra is dinamikus növekedése, a finanszírozási feltételek javulása, valamint a hazai autóállomány elmaradása a nyugati országokhoz képest a lakosság arányában. Az egyre magasabb követelmények és műszaki tartalom miatt érdemben emelkedő újautó árak azonban fékezhetik az eladásokat.  </w:t>
      </w:r>
    </w:p>
    <w:p w14:paraId="3482294D" w14:textId="77777777" w:rsidR="005C518C" w:rsidRPr="003536D7" w:rsidRDefault="005C518C" w:rsidP="00316464">
      <w:pPr>
        <w:pStyle w:val="Alcmtbank"/>
      </w:pPr>
      <w:r w:rsidRPr="003536D7">
        <w:t>Ingatlanpiac</w:t>
      </w:r>
    </w:p>
    <w:p w14:paraId="00773D94" w14:textId="77777777" w:rsidR="005C518C" w:rsidRPr="0013678F" w:rsidRDefault="00AA31DA" w:rsidP="00EB25E7">
      <w:pPr>
        <w:spacing w:after="120" w:line="360" w:lineRule="auto"/>
        <w:jc w:val="both"/>
        <w:rPr>
          <w:rFonts w:ascii="Arial" w:hAnsi="Arial" w:cs="Arial"/>
          <w:sz w:val="20"/>
          <w:szCs w:val="20"/>
        </w:rPr>
      </w:pPr>
      <w:r>
        <w:rPr>
          <w:rFonts w:ascii="Arial" w:hAnsi="Arial" w:cs="Arial"/>
          <w:b/>
          <w:sz w:val="20"/>
          <w:szCs w:val="20"/>
        </w:rPr>
        <w:t>1,7</w:t>
      </w:r>
      <w:r w:rsidR="00876451" w:rsidRPr="00876451">
        <w:rPr>
          <w:rFonts w:ascii="Arial" w:hAnsi="Arial" w:cs="Arial"/>
          <w:b/>
          <w:sz w:val="20"/>
          <w:szCs w:val="20"/>
        </w:rPr>
        <w:t xml:space="preserve">%-kal </w:t>
      </w:r>
      <w:r>
        <w:rPr>
          <w:rFonts w:ascii="Arial" w:hAnsi="Arial" w:cs="Arial"/>
          <w:b/>
          <w:sz w:val="20"/>
          <w:szCs w:val="20"/>
        </w:rPr>
        <w:t>12642</w:t>
      </w:r>
      <w:r w:rsidR="00876451" w:rsidRPr="00876451">
        <w:rPr>
          <w:rFonts w:ascii="Arial" w:hAnsi="Arial" w:cs="Arial"/>
          <w:b/>
          <w:sz w:val="20"/>
          <w:szCs w:val="20"/>
        </w:rPr>
        <w:t xml:space="preserve">-re </w:t>
      </w:r>
      <w:r>
        <w:rPr>
          <w:rFonts w:ascii="Arial" w:hAnsi="Arial" w:cs="Arial"/>
          <w:b/>
          <w:sz w:val="20"/>
          <w:szCs w:val="20"/>
        </w:rPr>
        <w:t>csökkent</w:t>
      </w:r>
      <w:r w:rsidR="00876451" w:rsidRPr="00876451">
        <w:rPr>
          <w:rFonts w:ascii="Arial" w:hAnsi="Arial" w:cs="Arial"/>
          <w:b/>
          <w:sz w:val="20"/>
          <w:szCs w:val="20"/>
        </w:rPr>
        <w:t xml:space="preserve"> a lakás átadások száma az első </w:t>
      </w:r>
      <w:r>
        <w:rPr>
          <w:rFonts w:ascii="Arial" w:hAnsi="Arial" w:cs="Arial"/>
          <w:b/>
          <w:sz w:val="20"/>
          <w:szCs w:val="20"/>
        </w:rPr>
        <w:t>háromnegyed évben, míg 29,8</w:t>
      </w:r>
      <w:r w:rsidR="00876451" w:rsidRPr="00876451">
        <w:rPr>
          <w:rFonts w:ascii="Arial" w:hAnsi="Arial" w:cs="Arial"/>
          <w:b/>
          <w:sz w:val="20"/>
          <w:szCs w:val="20"/>
        </w:rPr>
        <w:t xml:space="preserve">%-kal </w:t>
      </w:r>
      <w:r>
        <w:rPr>
          <w:rFonts w:ascii="Arial" w:hAnsi="Arial" w:cs="Arial"/>
          <w:b/>
          <w:sz w:val="20"/>
          <w:szCs w:val="20"/>
        </w:rPr>
        <w:t>22430-ra</w:t>
      </w:r>
      <w:r w:rsidR="00876451" w:rsidRPr="00876451">
        <w:rPr>
          <w:rFonts w:ascii="Arial" w:hAnsi="Arial" w:cs="Arial"/>
          <w:b/>
          <w:sz w:val="20"/>
          <w:szCs w:val="20"/>
        </w:rPr>
        <w:t xml:space="preserve"> nőtt az építési engedélyek száma. </w:t>
      </w:r>
      <w:r>
        <w:rPr>
          <w:rFonts w:ascii="Arial" w:hAnsi="Arial" w:cs="Arial"/>
          <w:sz w:val="20"/>
          <w:szCs w:val="20"/>
        </w:rPr>
        <w:t>2020-ban</w:t>
      </w:r>
      <w:r w:rsidR="00876451" w:rsidRPr="00876451">
        <w:rPr>
          <w:rFonts w:ascii="Arial" w:hAnsi="Arial" w:cs="Arial"/>
          <w:sz w:val="20"/>
          <w:szCs w:val="20"/>
        </w:rPr>
        <w:t xml:space="preserve"> összesen 33,5%-kal több, 28208 lakás épült, ami 11 éves csúcs, míg az építési engedélyek száma 35,8%-kal 22556-re csökkent. 2016 eleje óta a l</w:t>
      </w:r>
      <w:r>
        <w:rPr>
          <w:rFonts w:ascii="Arial" w:hAnsi="Arial" w:cs="Arial"/>
          <w:sz w:val="20"/>
          <w:szCs w:val="20"/>
        </w:rPr>
        <w:t>akásépítési engedélyek száma 186 384, míg az átadások száma 104 052</w:t>
      </w:r>
      <w:r w:rsidR="00876451" w:rsidRPr="00876451">
        <w:rPr>
          <w:rFonts w:ascii="Arial" w:hAnsi="Arial" w:cs="Arial"/>
          <w:sz w:val="20"/>
          <w:szCs w:val="20"/>
        </w:rPr>
        <w:t xml:space="preserve"> volt, azaz </w:t>
      </w:r>
      <w:r>
        <w:rPr>
          <w:rFonts w:ascii="Arial" w:hAnsi="Arial" w:cs="Arial"/>
          <w:b/>
          <w:sz w:val="20"/>
          <w:szCs w:val="20"/>
        </w:rPr>
        <w:t>82</w:t>
      </w:r>
      <w:r w:rsidR="00876451" w:rsidRPr="00876451">
        <w:rPr>
          <w:rFonts w:ascii="Arial" w:hAnsi="Arial" w:cs="Arial"/>
          <w:b/>
          <w:sz w:val="20"/>
          <w:szCs w:val="20"/>
        </w:rPr>
        <w:t xml:space="preserve"> </w:t>
      </w:r>
      <w:r>
        <w:rPr>
          <w:rFonts w:ascii="Arial" w:hAnsi="Arial" w:cs="Arial"/>
          <w:b/>
          <w:sz w:val="20"/>
          <w:szCs w:val="20"/>
        </w:rPr>
        <w:t>332</w:t>
      </w:r>
      <w:r w:rsidR="00876451" w:rsidRPr="00876451">
        <w:rPr>
          <w:rFonts w:ascii="Arial" w:hAnsi="Arial" w:cs="Arial"/>
          <w:b/>
          <w:sz w:val="20"/>
          <w:szCs w:val="20"/>
        </w:rPr>
        <w:t>-</w:t>
      </w:r>
      <w:r>
        <w:rPr>
          <w:rFonts w:ascii="Arial" w:hAnsi="Arial" w:cs="Arial"/>
          <w:b/>
          <w:sz w:val="20"/>
          <w:szCs w:val="20"/>
        </w:rPr>
        <w:t>vel</w:t>
      </w:r>
      <w:r w:rsidR="00876451" w:rsidRPr="00876451">
        <w:rPr>
          <w:rFonts w:ascii="Arial" w:hAnsi="Arial" w:cs="Arial"/>
          <w:b/>
          <w:sz w:val="20"/>
          <w:szCs w:val="20"/>
        </w:rPr>
        <w:t xml:space="preserve"> több engedélyt adtak ki, mint amennyi lakás megépült, ami tükrözi a kivitelezések igen jelentős csúszását.</w:t>
      </w:r>
      <w:r w:rsidR="00876451" w:rsidRPr="00876451">
        <w:rPr>
          <w:rFonts w:ascii="Arial" w:hAnsi="Arial" w:cs="Arial"/>
          <w:sz w:val="20"/>
          <w:szCs w:val="20"/>
        </w:rPr>
        <w:t xml:space="preserve"> Tavaly még viszonylag </w:t>
      </w:r>
      <w:r w:rsidR="00876451" w:rsidRPr="00876451">
        <w:rPr>
          <w:rFonts w:ascii="Arial" w:hAnsi="Arial" w:cs="Arial"/>
          <w:sz w:val="20"/>
          <w:szCs w:val="20"/>
        </w:rPr>
        <w:lastRenderedPageBreak/>
        <w:t xml:space="preserve">magas volt a lakásátadások száma a korábban építési engedélyt kapott, folyamatban levő építkezések miatt. A kedvezményes lakásáfa korábban tervezett kivezetésének hatása tükröződött az építési engedélyek tavalyi visszaesésében, azonban a kedvezményes lakásáfa ismételt bevezetése, valamint a számtalan a családtámogatás (a CSOK-kal rendelkezők áfa visszaigénylése, illetékmentesség) új lendületet adhat az építkezéseknek. </w:t>
      </w:r>
      <w:r>
        <w:rPr>
          <w:rFonts w:ascii="Arial" w:hAnsi="Arial" w:cs="Arial"/>
          <w:sz w:val="20"/>
          <w:szCs w:val="20"/>
        </w:rPr>
        <w:t>Tavaly</w:t>
      </w:r>
      <w:r w:rsidR="00876451" w:rsidRPr="00876451">
        <w:rPr>
          <w:rFonts w:ascii="Arial" w:hAnsi="Arial" w:cs="Arial"/>
          <w:sz w:val="20"/>
          <w:szCs w:val="20"/>
        </w:rPr>
        <w:t xml:space="preserve"> </w:t>
      </w:r>
      <w:r>
        <w:rPr>
          <w:rFonts w:ascii="Arial" w:hAnsi="Arial" w:cs="Arial"/>
          <w:sz w:val="20"/>
          <w:szCs w:val="20"/>
        </w:rPr>
        <w:t>az előző évben</w:t>
      </w:r>
      <w:r w:rsidR="00876451" w:rsidRPr="00876451">
        <w:rPr>
          <w:rFonts w:ascii="Arial" w:hAnsi="Arial" w:cs="Arial"/>
          <w:sz w:val="20"/>
          <w:szCs w:val="20"/>
        </w:rPr>
        <w:t xml:space="preserve"> visszaeső engedélyek miatt lassulhat a lakásépítések növekedési üteme, ezt azonban ellensúlyozhatja a korábban építési engedélyt kapott, de eddig meg nem valósított lakásépítések, építési tervek esetleges megvalósítása.</w:t>
      </w:r>
      <w:r w:rsidR="00071401">
        <w:rPr>
          <w:rFonts w:ascii="Arial" w:hAnsi="Arial" w:cs="Arial"/>
          <w:sz w:val="20"/>
          <w:szCs w:val="20"/>
        </w:rPr>
        <w:t xml:space="preserve"> </w:t>
      </w:r>
      <w:r w:rsidRPr="00AA31DA">
        <w:rPr>
          <w:rFonts w:ascii="Arial" w:hAnsi="Arial" w:cs="Arial"/>
          <w:sz w:val="20"/>
          <w:szCs w:val="20"/>
        </w:rPr>
        <w:t xml:space="preserve">Az alapanyagok </w:t>
      </w:r>
      <w:proofErr w:type="spellStart"/>
      <w:r w:rsidRPr="00AA31DA">
        <w:rPr>
          <w:rFonts w:ascii="Arial" w:hAnsi="Arial" w:cs="Arial"/>
          <w:sz w:val="20"/>
          <w:szCs w:val="20"/>
        </w:rPr>
        <w:t>esetenkénti</w:t>
      </w:r>
      <w:proofErr w:type="spellEnd"/>
      <w:r w:rsidRPr="00AA31DA">
        <w:rPr>
          <w:rFonts w:ascii="Arial" w:hAnsi="Arial" w:cs="Arial"/>
          <w:sz w:val="20"/>
          <w:szCs w:val="20"/>
        </w:rPr>
        <w:t xml:space="preserve"> hiánya, valamint az építőanyagárak meredek emelkedése szintén hátráltathatja az építkezéseket.</w:t>
      </w:r>
    </w:p>
    <w:tbl>
      <w:tblPr>
        <w:tblW w:w="0" w:type="auto"/>
        <w:tblLook w:val="01E0" w:firstRow="1" w:lastRow="1" w:firstColumn="1" w:lastColumn="1" w:noHBand="0" w:noVBand="0"/>
      </w:tblPr>
      <w:tblGrid>
        <w:gridCol w:w="4681"/>
        <w:gridCol w:w="222"/>
        <w:gridCol w:w="222"/>
        <w:gridCol w:w="4656"/>
      </w:tblGrid>
      <w:tr w:rsidR="00EB25E7" w:rsidRPr="003536D7" w14:paraId="0B5A06A8" w14:textId="77777777" w:rsidTr="00EB25E7">
        <w:tc>
          <w:tcPr>
            <w:tcW w:w="4681" w:type="dxa"/>
          </w:tcPr>
          <w:p w14:paraId="7981F8A1" w14:textId="77777777" w:rsidR="00EB25E7" w:rsidRPr="00EB25E7" w:rsidRDefault="00222D2D" w:rsidP="005C518C">
            <w:pPr>
              <w:keepNext/>
              <w:spacing w:after="120"/>
              <w:jc w:val="center"/>
              <w:rPr>
                <w:rFonts w:ascii="Arial" w:hAnsi="Arial" w:cs="Arial"/>
                <w:b/>
                <w:color w:val="FF8500"/>
              </w:rPr>
            </w:pPr>
            <w:r>
              <w:rPr>
                <w:rFonts w:ascii="Arial" w:hAnsi="Arial" w:cs="Arial"/>
                <w:b/>
                <w:color w:val="FF8500"/>
              </w:rPr>
              <w:t>31</w:t>
            </w:r>
            <w:r w:rsidR="00EB25E7" w:rsidRPr="00EB25E7">
              <w:rPr>
                <w:rFonts w:ascii="Arial" w:hAnsi="Arial" w:cs="Arial"/>
                <w:b/>
                <w:color w:val="FF8500"/>
              </w:rPr>
              <w:t xml:space="preserve">. ábra: </w:t>
            </w:r>
            <w:r w:rsidR="00EB25E7" w:rsidRPr="00316464">
              <w:rPr>
                <w:rFonts w:ascii="Arial" w:hAnsi="Arial" w:cs="Arial"/>
                <w:bCs/>
                <w:color w:val="FF8500"/>
              </w:rPr>
              <w:t xml:space="preserve">A kiadott építési engedélyek </w:t>
            </w:r>
            <w:r w:rsidR="00316464">
              <w:rPr>
                <w:rFonts w:ascii="Arial" w:hAnsi="Arial" w:cs="Arial"/>
                <w:bCs/>
                <w:color w:val="FF8500"/>
              </w:rPr>
              <w:br/>
            </w:r>
            <w:r w:rsidR="00EB25E7" w:rsidRPr="00316464">
              <w:rPr>
                <w:rFonts w:ascii="Arial" w:hAnsi="Arial" w:cs="Arial"/>
                <w:bCs/>
                <w:color w:val="FF8500"/>
              </w:rPr>
              <w:t>száma (darab)</w:t>
            </w:r>
          </w:p>
        </w:tc>
        <w:tc>
          <w:tcPr>
            <w:tcW w:w="222" w:type="dxa"/>
          </w:tcPr>
          <w:p w14:paraId="0A2C3C97" w14:textId="77777777" w:rsidR="00EB25E7" w:rsidRPr="00EB25E7" w:rsidRDefault="00EB25E7" w:rsidP="005C518C">
            <w:pPr>
              <w:keepNext/>
              <w:spacing w:after="120"/>
              <w:jc w:val="center"/>
              <w:rPr>
                <w:rFonts w:ascii="Arial" w:hAnsi="Arial" w:cs="Arial"/>
                <w:b/>
                <w:color w:val="FF8500"/>
              </w:rPr>
            </w:pPr>
          </w:p>
        </w:tc>
        <w:tc>
          <w:tcPr>
            <w:tcW w:w="222" w:type="dxa"/>
          </w:tcPr>
          <w:p w14:paraId="5E1D34DC" w14:textId="77777777" w:rsidR="00EB25E7" w:rsidRPr="00EB25E7" w:rsidRDefault="00EB25E7" w:rsidP="005C518C">
            <w:pPr>
              <w:keepNext/>
              <w:spacing w:after="120"/>
              <w:jc w:val="center"/>
              <w:rPr>
                <w:rFonts w:ascii="Arial" w:hAnsi="Arial" w:cs="Arial"/>
                <w:b/>
                <w:color w:val="FF8500"/>
              </w:rPr>
            </w:pPr>
          </w:p>
        </w:tc>
        <w:tc>
          <w:tcPr>
            <w:tcW w:w="4516" w:type="dxa"/>
          </w:tcPr>
          <w:p w14:paraId="2181CB1E" w14:textId="77777777" w:rsidR="00EB25E7" w:rsidRPr="00EB25E7" w:rsidRDefault="00222D2D" w:rsidP="005C518C">
            <w:pPr>
              <w:keepNext/>
              <w:spacing w:after="120"/>
              <w:jc w:val="center"/>
              <w:rPr>
                <w:rFonts w:ascii="Arial" w:hAnsi="Arial" w:cs="Arial"/>
                <w:color w:val="FF8500"/>
                <w:sz w:val="18"/>
                <w:szCs w:val="18"/>
              </w:rPr>
            </w:pPr>
            <w:r>
              <w:rPr>
                <w:rFonts w:ascii="Arial" w:hAnsi="Arial" w:cs="Arial"/>
                <w:b/>
                <w:color w:val="FF8500"/>
              </w:rPr>
              <w:t>32</w:t>
            </w:r>
            <w:r w:rsidR="00EB25E7" w:rsidRPr="00EB25E7">
              <w:rPr>
                <w:rFonts w:ascii="Arial" w:hAnsi="Arial" w:cs="Arial"/>
                <w:b/>
                <w:color w:val="FF8500"/>
              </w:rPr>
              <w:t xml:space="preserve">. ábra: </w:t>
            </w:r>
            <w:r w:rsidR="00EB25E7" w:rsidRPr="00316464">
              <w:rPr>
                <w:rFonts w:ascii="Arial" w:hAnsi="Arial" w:cs="Arial"/>
                <w:bCs/>
                <w:color w:val="FF8500"/>
              </w:rPr>
              <w:t>Lakásépítések, építési engedélyek</w:t>
            </w:r>
          </w:p>
        </w:tc>
      </w:tr>
      <w:tr w:rsidR="00EB25E7" w:rsidRPr="003536D7" w14:paraId="2D952463" w14:textId="77777777" w:rsidTr="00EB25E7">
        <w:tc>
          <w:tcPr>
            <w:tcW w:w="4681" w:type="dxa"/>
          </w:tcPr>
          <w:p w14:paraId="17BE1CD2" w14:textId="77777777" w:rsidR="00EB25E7" w:rsidRPr="003536D7" w:rsidRDefault="0027542A" w:rsidP="005C518C">
            <w:pPr>
              <w:keepNext/>
              <w:spacing w:after="120"/>
              <w:jc w:val="both"/>
              <w:rPr>
                <w:rFonts w:ascii="Arial" w:hAnsi="Arial" w:cs="Arial"/>
              </w:rPr>
            </w:pPr>
            <w:r>
              <w:rPr>
                <w:rFonts w:ascii="Arial" w:hAnsi="Arial" w:cs="Arial"/>
                <w:noProof/>
                <w:lang w:eastAsia="hu-HU"/>
              </w:rPr>
              <w:drawing>
                <wp:inline distT="0" distB="0" distL="0" distR="0" wp14:anchorId="1754CD11" wp14:editId="2B4BB1D6">
                  <wp:extent cx="2809875" cy="1943100"/>
                  <wp:effectExtent l="0" t="0" r="952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9875" cy="1943100"/>
                          </a:xfrm>
                          <a:prstGeom prst="rect">
                            <a:avLst/>
                          </a:prstGeom>
                          <a:noFill/>
                          <a:ln>
                            <a:noFill/>
                          </a:ln>
                        </pic:spPr>
                      </pic:pic>
                    </a:graphicData>
                  </a:graphic>
                </wp:inline>
              </w:drawing>
            </w:r>
          </w:p>
        </w:tc>
        <w:tc>
          <w:tcPr>
            <w:tcW w:w="222" w:type="dxa"/>
          </w:tcPr>
          <w:p w14:paraId="73646A32" w14:textId="77777777" w:rsidR="00EB25E7" w:rsidRDefault="00EB25E7" w:rsidP="005C518C">
            <w:pPr>
              <w:keepNext/>
              <w:spacing w:after="120"/>
              <w:jc w:val="both"/>
              <w:rPr>
                <w:rFonts w:ascii="Arial" w:hAnsi="Arial" w:cs="Arial"/>
                <w:noProof/>
                <w:lang w:eastAsia="hu-HU"/>
              </w:rPr>
            </w:pPr>
          </w:p>
        </w:tc>
        <w:tc>
          <w:tcPr>
            <w:tcW w:w="222" w:type="dxa"/>
          </w:tcPr>
          <w:p w14:paraId="6E4AEC0F" w14:textId="77777777" w:rsidR="00EB25E7" w:rsidRDefault="00EB25E7" w:rsidP="005C518C">
            <w:pPr>
              <w:keepNext/>
              <w:spacing w:after="120"/>
              <w:jc w:val="both"/>
              <w:rPr>
                <w:rFonts w:ascii="Arial" w:hAnsi="Arial" w:cs="Arial"/>
                <w:noProof/>
                <w:lang w:eastAsia="hu-HU"/>
              </w:rPr>
            </w:pPr>
          </w:p>
        </w:tc>
        <w:tc>
          <w:tcPr>
            <w:tcW w:w="4516" w:type="dxa"/>
          </w:tcPr>
          <w:p w14:paraId="4B4EEADE" w14:textId="77777777" w:rsidR="00EB25E7" w:rsidRPr="003536D7" w:rsidRDefault="00B95254" w:rsidP="005C518C">
            <w:pPr>
              <w:keepNext/>
              <w:spacing w:after="120"/>
              <w:jc w:val="both"/>
              <w:rPr>
                <w:rFonts w:ascii="Arial" w:hAnsi="Arial" w:cs="Arial"/>
              </w:rPr>
            </w:pPr>
            <w:r>
              <w:rPr>
                <w:rFonts w:ascii="Arial" w:hAnsi="Arial" w:cs="Arial"/>
                <w:noProof/>
                <w:lang w:eastAsia="hu-HU"/>
              </w:rPr>
              <w:drawing>
                <wp:inline distT="0" distB="0" distL="0" distR="0" wp14:anchorId="11F21C1D" wp14:editId="102D2EF3">
                  <wp:extent cx="2809875" cy="1962150"/>
                  <wp:effectExtent l="0" t="0" r="9525"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9875" cy="1962150"/>
                          </a:xfrm>
                          <a:prstGeom prst="rect">
                            <a:avLst/>
                          </a:prstGeom>
                          <a:noFill/>
                          <a:ln>
                            <a:noFill/>
                          </a:ln>
                        </pic:spPr>
                      </pic:pic>
                    </a:graphicData>
                  </a:graphic>
                </wp:inline>
              </w:drawing>
            </w:r>
          </w:p>
        </w:tc>
      </w:tr>
      <w:tr w:rsidR="00EB25E7" w:rsidRPr="003536D7" w14:paraId="1B026BDD" w14:textId="77777777" w:rsidTr="00EB25E7">
        <w:tc>
          <w:tcPr>
            <w:tcW w:w="4681" w:type="dxa"/>
          </w:tcPr>
          <w:p w14:paraId="4DA1A65B" w14:textId="77777777" w:rsidR="00EB25E7" w:rsidRPr="003536D7" w:rsidRDefault="00EB25E7" w:rsidP="00316464">
            <w:pPr>
              <w:pStyle w:val="Kpalrstbank"/>
            </w:pPr>
            <w:r w:rsidRPr="003536D7">
              <w:t>Forrás: KSH</w:t>
            </w:r>
          </w:p>
        </w:tc>
        <w:tc>
          <w:tcPr>
            <w:tcW w:w="222" w:type="dxa"/>
          </w:tcPr>
          <w:p w14:paraId="4D77DA55" w14:textId="77777777" w:rsidR="00EB25E7" w:rsidRPr="003536D7" w:rsidRDefault="00EB25E7" w:rsidP="00316464">
            <w:pPr>
              <w:pStyle w:val="Kpalrstbank"/>
            </w:pPr>
          </w:p>
        </w:tc>
        <w:tc>
          <w:tcPr>
            <w:tcW w:w="222" w:type="dxa"/>
          </w:tcPr>
          <w:p w14:paraId="09FFD097" w14:textId="77777777" w:rsidR="00EB25E7" w:rsidRPr="003536D7" w:rsidRDefault="00EB25E7" w:rsidP="00316464">
            <w:pPr>
              <w:pStyle w:val="Kpalrstbank"/>
            </w:pPr>
          </w:p>
        </w:tc>
        <w:tc>
          <w:tcPr>
            <w:tcW w:w="4516" w:type="dxa"/>
          </w:tcPr>
          <w:p w14:paraId="35F1DEF0" w14:textId="77777777" w:rsidR="00EB25E7" w:rsidRPr="003536D7" w:rsidRDefault="00EB25E7" w:rsidP="00316464">
            <w:pPr>
              <w:pStyle w:val="Kpalrstbank"/>
            </w:pPr>
            <w:r w:rsidRPr="003536D7">
              <w:t>Forrás: KSH</w:t>
            </w:r>
          </w:p>
        </w:tc>
      </w:tr>
    </w:tbl>
    <w:p w14:paraId="46F0CC7C" w14:textId="77777777" w:rsidR="00EB25E7" w:rsidRDefault="00EB25E7" w:rsidP="005C518C">
      <w:pPr>
        <w:spacing w:after="120"/>
        <w:jc w:val="both"/>
        <w:rPr>
          <w:rFonts w:ascii="Arial" w:hAnsi="Arial" w:cs="Arial"/>
        </w:rPr>
      </w:pPr>
    </w:p>
    <w:p w14:paraId="1EE18AAA" w14:textId="77777777" w:rsidR="005F430B" w:rsidRPr="005F430B" w:rsidRDefault="007716F7" w:rsidP="005F430B">
      <w:pPr>
        <w:spacing w:after="120" w:line="360" w:lineRule="auto"/>
        <w:jc w:val="both"/>
        <w:rPr>
          <w:rFonts w:ascii="Arial" w:hAnsi="Arial" w:cs="Arial"/>
          <w:sz w:val="20"/>
          <w:szCs w:val="20"/>
        </w:rPr>
      </w:pPr>
      <w:r w:rsidRPr="007716F7">
        <w:rPr>
          <w:rFonts w:ascii="Arial" w:hAnsi="Arial" w:cs="Arial"/>
          <w:sz w:val="20"/>
          <w:szCs w:val="20"/>
        </w:rPr>
        <w:t xml:space="preserve">2021 első </w:t>
      </w:r>
      <w:r w:rsidR="00A877CB">
        <w:rPr>
          <w:rFonts w:ascii="Arial" w:hAnsi="Arial" w:cs="Arial"/>
          <w:sz w:val="20"/>
          <w:szCs w:val="20"/>
        </w:rPr>
        <w:t xml:space="preserve">háromnegyed </w:t>
      </w:r>
      <w:r w:rsidR="00A877CB" w:rsidRPr="00A877CB">
        <w:rPr>
          <w:rFonts w:ascii="Arial" w:hAnsi="Arial" w:cs="Arial"/>
          <w:sz w:val="20"/>
          <w:szCs w:val="20"/>
        </w:rPr>
        <w:t>év</w:t>
      </w:r>
      <w:r w:rsidR="00A877CB">
        <w:rPr>
          <w:rFonts w:ascii="Arial" w:hAnsi="Arial" w:cs="Arial"/>
          <w:sz w:val="20"/>
          <w:szCs w:val="20"/>
        </w:rPr>
        <w:t>é</w:t>
      </w:r>
      <w:r w:rsidR="00A877CB" w:rsidRPr="00A877CB">
        <w:rPr>
          <w:rFonts w:ascii="Arial" w:hAnsi="Arial" w:cs="Arial"/>
          <w:sz w:val="20"/>
          <w:szCs w:val="20"/>
        </w:rPr>
        <w:t xml:space="preserve">ben </w:t>
      </w:r>
      <w:r w:rsidR="00A877CB" w:rsidRPr="00A877CB">
        <w:rPr>
          <w:rFonts w:ascii="Arial" w:hAnsi="Arial" w:cs="Arial"/>
          <w:b/>
          <w:sz w:val="20"/>
          <w:szCs w:val="20"/>
        </w:rPr>
        <w:t>Budapesten 23</w:t>
      </w:r>
      <w:r w:rsidRPr="00A877CB">
        <w:rPr>
          <w:rFonts w:ascii="Arial" w:hAnsi="Arial" w:cs="Arial"/>
          <w:b/>
          <w:sz w:val="20"/>
          <w:szCs w:val="20"/>
        </w:rPr>
        <w:t>%-kal csökkent</w:t>
      </w:r>
      <w:r w:rsidRPr="007716F7">
        <w:rPr>
          <w:rFonts w:ascii="Arial" w:hAnsi="Arial" w:cs="Arial"/>
          <w:sz w:val="20"/>
          <w:szCs w:val="20"/>
        </w:rPr>
        <w:t xml:space="preserve"> a </w:t>
      </w:r>
      <w:r w:rsidRPr="00A877CB">
        <w:rPr>
          <w:rFonts w:ascii="Arial" w:hAnsi="Arial" w:cs="Arial"/>
          <w:b/>
          <w:sz w:val="20"/>
          <w:szCs w:val="20"/>
        </w:rPr>
        <w:t>lakásépítési engedélyek</w:t>
      </w:r>
      <w:r w:rsidRPr="007716F7">
        <w:rPr>
          <w:rFonts w:ascii="Arial" w:hAnsi="Arial" w:cs="Arial"/>
          <w:sz w:val="20"/>
          <w:szCs w:val="20"/>
        </w:rPr>
        <w:t xml:space="preserve"> száma, azonban kiugróan, </w:t>
      </w:r>
      <w:r w:rsidR="00A877CB" w:rsidRPr="00A877CB">
        <w:rPr>
          <w:rFonts w:ascii="Arial" w:hAnsi="Arial" w:cs="Arial"/>
          <w:b/>
          <w:sz w:val="20"/>
          <w:szCs w:val="20"/>
        </w:rPr>
        <w:t>108,4</w:t>
      </w:r>
      <w:r w:rsidRPr="00A877CB">
        <w:rPr>
          <w:rFonts w:ascii="Arial" w:hAnsi="Arial" w:cs="Arial"/>
          <w:b/>
          <w:sz w:val="20"/>
          <w:szCs w:val="20"/>
        </w:rPr>
        <w:t>%-kal nőtt az átadások</w:t>
      </w:r>
      <w:r w:rsidRPr="007716F7">
        <w:rPr>
          <w:rFonts w:ascii="Arial" w:hAnsi="Arial" w:cs="Arial"/>
          <w:sz w:val="20"/>
          <w:szCs w:val="20"/>
        </w:rPr>
        <w:t xml:space="preserve"> szám</w:t>
      </w:r>
      <w:r>
        <w:rPr>
          <w:rFonts w:ascii="Arial" w:hAnsi="Arial" w:cs="Arial"/>
          <w:sz w:val="20"/>
          <w:szCs w:val="20"/>
        </w:rPr>
        <w:t>a. A</w:t>
      </w:r>
      <w:r w:rsidR="00A877CB">
        <w:rPr>
          <w:rFonts w:ascii="Arial" w:hAnsi="Arial" w:cs="Arial"/>
          <w:sz w:val="20"/>
          <w:szCs w:val="20"/>
        </w:rPr>
        <w:t xml:space="preserve"> megyei jogú városokban 43%-kal nőtt az engedélyek, míg 37</w:t>
      </w:r>
      <w:r w:rsidRPr="007716F7">
        <w:rPr>
          <w:rFonts w:ascii="Arial" w:hAnsi="Arial" w:cs="Arial"/>
          <w:sz w:val="20"/>
          <w:szCs w:val="20"/>
        </w:rPr>
        <w:t>%-kal csökkent az átadás</w:t>
      </w:r>
      <w:r w:rsidR="00A877CB">
        <w:rPr>
          <w:rFonts w:ascii="Arial" w:hAnsi="Arial" w:cs="Arial"/>
          <w:sz w:val="20"/>
          <w:szCs w:val="20"/>
        </w:rPr>
        <w:t>ok száma, az egyéb városokban 57</w:t>
      </w:r>
      <w:r w:rsidRPr="007716F7">
        <w:rPr>
          <w:rFonts w:ascii="Arial" w:hAnsi="Arial" w:cs="Arial"/>
          <w:sz w:val="20"/>
          <w:szCs w:val="20"/>
        </w:rPr>
        <w:t>%-kal nőtt az e</w:t>
      </w:r>
      <w:r w:rsidR="00A877CB">
        <w:rPr>
          <w:rFonts w:ascii="Arial" w:hAnsi="Arial" w:cs="Arial"/>
          <w:sz w:val="20"/>
          <w:szCs w:val="20"/>
        </w:rPr>
        <w:t>ngedélyek, 16</w:t>
      </w:r>
      <w:r w:rsidRPr="007716F7">
        <w:rPr>
          <w:rFonts w:ascii="Arial" w:hAnsi="Arial" w:cs="Arial"/>
          <w:sz w:val="20"/>
          <w:szCs w:val="20"/>
        </w:rPr>
        <w:t>%-kal csökkent az átadás</w:t>
      </w:r>
      <w:r w:rsidR="00A877CB">
        <w:rPr>
          <w:rFonts w:ascii="Arial" w:hAnsi="Arial" w:cs="Arial"/>
          <w:sz w:val="20"/>
          <w:szCs w:val="20"/>
        </w:rPr>
        <w:t>ok száma, a községekben pedig 60</w:t>
      </w:r>
      <w:r w:rsidRPr="007716F7">
        <w:rPr>
          <w:rFonts w:ascii="Arial" w:hAnsi="Arial" w:cs="Arial"/>
          <w:sz w:val="20"/>
          <w:szCs w:val="20"/>
        </w:rPr>
        <w:t>%-kal n</w:t>
      </w:r>
      <w:r w:rsidR="00A877CB">
        <w:rPr>
          <w:rFonts w:ascii="Arial" w:hAnsi="Arial" w:cs="Arial"/>
          <w:sz w:val="20"/>
          <w:szCs w:val="20"/>
        </w:rPr>
        <w:t>őtt az engedélyek, ugyanakkor 29</w:t>
      </w:r>
      <w:r w:rsidRPr="007716F7">
        <w:rPr>
          <w:rFonts w:ascii="Arial" w:hAnsi="Arial" w:cs="Arial"/>
          <w:sz w:val="20"/>
          <w:szCs w:val="20"/>
        </w:rPr>
        <w:t xml:space="preserve">%-kal csökkent az átadások száma. A családiház-építők a várható szabályozás szigorítása miatt arra törekedtek, hogy 2020 végéig használatba vegyék a felépült lakásokat. Az előrehozott családiház-építések miatt 2021 </w:t>
      </w:r>
      <w:r w:rsidR="00A877CB">
        <w:rPr>
          <w:rFonts w:ascii="Arial" w:hAnsi="Arial" w:cs="Arial"/>
          <w:sz w:val="20"/>
          <w:szCs w:val="20"/>
        </w:rPr>
        <w:t xml:space="preserve">során </w:t>
      </w:r>
      <w:r w:rsidRPr="007716F7">
        <w:rPr>
          <w:rFonts w:ascii="Arial" w:hAnsi="Arial" w:cs="Arial"/>
          <w:sz w:val="20"/>
          <w:szCs w:val="20"/>
        </w:rPr>
        <w:t>lakásépítésében a többlakásos épületek d</w:t>
      </w:r>
      <w:r>
        <w:rPr>
          <w:rFonts w:ascii="Arial" w:hAnsi="Arial" w:cs="Arial"/>
          <w:sz w:val="20"/>
          <w:szCs w:val="20"/>
        </w:rPr>
        <w:t>omináltak</w:t>
      </w:r>
      <w:r w:rsidR="005F430B" w:rsidRPr="005F430B">
        <w:rPr>
          <w:rFonts w:ascii="Arial" w:hAnsi="Arial" w:cs="Arial"/>
          <w:sz w:val="20"/>
          <w:szCs w:val="20"/>
        </w:rPr>
        <w:t xml:space="preserve">. </w:t>
      </w:r>
    </w:p>
    <w:p w14:paraId="4D915886" w14:textId="77777777" w:rsidR="005C518C" w:rsidRPr="00EB25E7" w:rsidRDefault="007716F7" w:rsidP="005F430B">
      <w:pPr>
        <w:spacing w:after="120" w:line="360" w:lineRule="auto"/>
        <w:jc w:val="both"/>
        <w:rPr>
          <w:rFonts w:ascii="Arial" w:hAnsi="Arial" w:cs="Arial"/>
          <w:sz w:val="20"/>
          <w:szCs w:val="20"/>
        </w:rPr>
      </w:pPr>
      <w:r w:rsidRPr="007716F7">
        <w:rPr>
          <w:rFonts w:ascii="Arial" w:hAnsi="Arial" w:cs="Arial"/>
          <w:sz w:val="20"/>
          <w:szCs w:val="20"/>
        </w:rPr>
        <w:t xml:space="preserve">A lakásépítések igen egyenlőtlenül oszlanak el az országban. </w:t>
      </w:r>
      <w:r w:rsidR="0035575F" w:rsidRPr="0035575F">
        <w:rPr>
          <w:rFonts w:ascii="Arial" w:hAnsi="Arial" w:cs="Arial"/>
          <w:sz w:val="20"/>
          <w:szCs w:val="20"/>
        </w:rPr>
        <w:t>Budapesten 4215 engedélyt adtak ki, Pest megyében 5855-öt, Győr-Moson-Sopron megyében 1641-et Somogy megyében 1607-et, Hajdú-Biharban 1372-őt, Fejér megyében 1402-őt, további hét megyében meghaladta a 400-at, a sereghajtó pedig továbbra is Nógrád 100-zal, Békés 166-tal, Borsod-Abaúj-Zemplén 195-tel, Tolna 229-cel. Budapesten 790 lakást, Pest megyében 4004-et, Győr-Moson-Sopron megyében 1227-et, Fejér megyében 920-at, további hat megyében meghaladta a 400-at. A sereghajtó itt is Nógrád 80-nal, Tolna 115-tel, Békés és Csongrád 121-gyel.</w:t>
      </w:r>
    </w:p>
    <w:tbl>
      <w:tblPr>
        <w:tblW w:w="0" w:type="auto"/>
        <w:tblLook w:val="01E0" w:firstRow="1" w:lastRow="1" w:firstColumn="1" w:lastColumn="1" w:noHBand="0" w:noVBand="0"/>
      </w:tblPr>
      <w:tblGrid>
        <w:gridCol w:w="4686"/>
        <w:gridCol w:w="285"/>
        <w:gridCol w:w="4716"/>
      </w:tblGrid>
      <w:tr w:rsidR="00EB25E7" w:rsidRPr="003536D7" w14:paraId="463F7470" w14:textId="77777777" w:rsidTr="00EB25E7">
        <w:tc>
          <w:tcPr>
            <w:tcW w:w="4686" w:type="dxa"/>
          </w:tcPr>
          <w:p w14:paraId="5BFDF26E" w14:textId="77777777" w:rsidR="00EB25E7" w:rsidRPr="00EB25E7" w:rsidRDefault="00222D2D" w:rsidP="005C518C">
            <w:pPr>
              <w:keepNext/>
              <w:spacing w:after="120"/>
              <w:jc w:val="center"/>
              <w:rPr>
                <w:rFonts w:ascii="Arial" w:hAnsi="Arial" w:cs="Arial"/>
                <w:b/>
                <w:color w:val="FF8500"/>
              </w:rPr>
            </w:pPr>
            <w:r>
              <w:rPr>
                <w:rFonts w:ascii="Arial" w:hAnsi="Arial" w:cs="Arial"/>
                <w:b/>
                <w:color w:val="FF8500"/>
              </w:rPr>
              <w:lastRenderedPageBreak/>
              <w:t>33</w:t>
            </w:r>
            <w:r w:rsidR="00EB25E7" w:rsidRPr="00EB25E7">
              <w:rPr>
                <w:rFonts w:ascii="Arial" w:hAnsi="Arial" w:cs="Arial"/>
                <w:b/>
                <w:color w:val="FF8500"/>
              </w:rPr>
              <w:t xml:space="preserve">. ábra: </w:t>
            </w:r>
            <w:r w:rsidR="00EB25E7" w:rsidRPr="00316464">
              <w:rPr>
                <w:rFonts w:ascii="Arial" w:hAnsi="Arial" w:cs="Arial"/>
                <w:bCs/>
                <w:color w:val="FF8500"/>
              </w:rPr>
              <w:t>Lakásépítések száma 2017-ben (darab)</w:t>
            </w:r>
          </w:p>
        </w:tc>
        <w:tc>
          <w:tcPr>
            <w:tcW w:w="285" w:type="dxa"/>
          </w:tcPr>
          <w:p w14:paraId="384A596D" w14:textId="77777777" w:rsidR="00EB25E7" w:rsidRPr="00EB25E7" w:rsidRDefault="00EB25E7" w:rsidP="005C518C">
            <w:pPr>
              <w:keepNext/>
              <w:spacing w:after="120"/>
              <w:jc w:val="center"/>
              <w:rPr>
                <w:rFonts w:ascii="Arial" w:hAnsi="Arial" w:cs="Arial"/>
                <w:b/>
                <w:color w:val="FF8500"/>
              </w:rPr>
            </w:pPr>
          </w:p>
        </w:tc>
        <w:tc>
          <w:tcPr>
            <w:tcW w:w="4670" w:type="dxa"/>
          </w:tcPr>
          <w:p w14:paraId="175580EB" w14:textId="77777777" w:rsidR="00EB25E7" w:rsidRPr="00EB25E7" w:rsidRDefault="00222D2D" w:rsidP="005C518C">
            <w:pPr>
              <w:keepNext/>
              <w:spacing w:after="120"/>
              <w:jc w:val="center"/>
              <w:rPr>
                <w:rFonts w:ascii="Arial" w:hAnsi="Arial" w:cs="Arial"/>
                <w:color w:val="FF8500"/>
                <w:sz w:val="18"/>
                <w:szCs w:val="18"/>
              </w:rPr>
            </w:pPr>
            <w:r>
              <w:rPr>
                <w:rFonts w:ascii="Arial" w:hAnsi="Arial" w:cs="Arial"/>
                <w:b/>
                <w:color w:val="FF8500"/>
              </w:rPr>
              <w:t>34</w:t>
            </w:r>
            <w:r w:rsidR="00EB25E7" w:rsidRPr="00EB25E7">
              <w:rPr>
                <w:rFonts w:ascii="Arial" w:hAnsi="Arial" w:cs="Arial"/>
                <w:b/>
                <w:color w:val="FF8500"/>
              </w:rPr>
              <w:t xml:space="preserve">. ábra: </w:t>
            </w:r>
            <w:r w:rsidR="00B71C18" w:rsidRPr="00316464">
              <w:rPr>
                <w:rFonts w:ascii="Arial" w:hAnsi="Arial" w:cs="Arial"/>
                <w:bCs/>
                <w:color w:val="FF8500"/>
              </w:rPr>
              <w:t>Lakásépítések</w:t>
            </w:r>
            <w:r w:rsidR="00B71C18">
              <w:rPr>
                <w:rFonts w:ascii="Arial" w:hAnsi="Arial" w:cs="Arial"/>
                <w:bCs/>
                <w:color w:val="FF8500"/>
              </w:rPr>
              <w:t>, építési engedélyek</w:t>
            </w:r>
          </w:p>
        </w:tc>
      </w:tr>
      <w:tr w:rsidR="00EB25E7" w:rsidRPr="003536D7" w14:paraId="6E238816" w14:textId="77777777" w:rsidTr="00EB25E7">
        <w:tc>
          <w:tcPr>
            <w:tcW w:w="4686" w:type="dxa"/>
          </w:tcPr>
          <w:p w14:paraId="0B62C7F4" w14:textId="77777777" w:rsidR="00EB25E7" w:rsidRPr="003536D7" w:rsidRDefault="00EB25E7" w:rsidP="005C518C">
            <w:pPr>
              <w:keepNext/>
              <w:spacing w:after="120"/>
              <w:jc w:val="both"/>
              <w:rPr>
                <w:rFonts w:ascii="Arial" w:hAnsi="Arial" w:cs="Arial"/>
              </w:rPr>
            </w:pPr>
            <w:r>
              <w:rPr>
                <w:rFonts w:ascii="Arial" w:hAnsi="Arial" w:cs="Arial"/>
                <w:noProof/>
                <w:lang w:eastAsia="hu-HU"/>
              </w:rPr>
              <w:drawing>
                <wp:inline distT="0" distB="0" distL="0" distR="0" wp14:anchorId="306ECC69" wp14:editId="25A4B176">
                  <wp:extent cx="2828925" cy="1981200"/>
                  <wp:effectExtent l="0" t="0" r="9525"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8925" cy="1981200"/>
                          </a:xfrm>
                          <a:prstGeom prst="rect">
                            <a:avLst/>
                          </a:prstGeom>
                          <a:noFill/>
                          <a:ln>
                            <a:noFill/>
                          </a:ln>
                        </pic:spPr>
                      </pic:pic>
                    </a:graphicData>
                  </a:graphic>
                </wp:inline>
              </w:drawing>
            </w:r>
          </w:p>
        </w:tc>
        <w:tc>
          <w:tcPr>
            <w:tcW w:w="285" w:type="dxa"/>
          </w:tcPr>
          <w:p w14:paraId="679D9841" w14:textId="77777777" w:rsidR="00EB25E7" w:rsidRDefault="00EB25E7" w:rsidP="005C518C">
            <w:pPr>
              <w:keepNext/>
              <w:spacing w:after="120"/>
              <w:jc w:val="both"/>
              <w:rPr>
                <w:rFonts w:ascii="Arial" w:hAnsi="Arial" w:cs="Arial"/>
                <w:noProof/>
                <w:lang w:eastAsia="hu-HU"/>
              </w:rPr>
            </w:pPr>
          </w:p>
        </w:tc>
        <w:tc>
          <w:tcPr>
            <w:tcW w:w="4670" w:type="dxa"/>
          </w:tcPr>
          <w:p w14:paraId="23E6F3CB" w14:textId="77777777" w:rsidR="00EB25E7" w:rsidRPr="003536D7" w:rsidRDefault="0018400A" w:rsidP="005C518C">
            <w:pPr>
              <w:keepNext/>
              <w:spacing w:after="120"/>
              <w:jc w:val="both"/>
              <w:rPr>
                <w:rFonts w:ascii="Arial" w:hAnsi="Arial" w:cs="Arial"/>
              </w:rPr>
            </w:pPr>
            <w:r w:rsidRPr="0018400A">
              <w:rPr>
                <w:rFonts w:ascii="Arial" w:hAnsi="Arial" w:cs="Arial"/>
                <w:noProof/>
                <w:lang w:eastAsia="hu-HU"/>
              </w:rPr>
              <w:drawing>
                <wp:inline distT="0" distB="0" distL="0" distR="0" wp14:anchorId="3A38C320" wp14:editId="2EA27280">
                  <wp:extent cx="2857500" cy="1885950"/>
                  <wp:effectExtent l="0" t="0" r="0" b="0"/>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tc>
      </w:tr>
      <w:tr w:rsidR="00EB25E7" w:rsidRPr="003536D7" w14:paraId="1584C8CE" w14:textId="77777777" w:rsidTr="00EB25E7">
        <w:tc>
          <w:tcPr>
            <w:tcW w:w="4686" w:type="dxa"/>
          </w:tcPr>
          <w:p w14:paraId="6428AFEC" w14:textId="77777777" w:rsidR="00EB25E7" w:rsidRPr="003536D7" w:rsidRDefault="00EB25E7" w:rsidP="00316464">
            <w:pPr>
              <w:pStyle w:val="Kpalrstbank"/>
            </w:pPr>
            <w:r w:rsidRPr="003536D7">
              <w:t xml:space="preserve">Forrás: </w:t>
            </w:r>
            <w:proofErr w:type="spellStart"/>
            <w:r>
              <w:t>Scope</w:t>
            </w:r>
            <w:proofErr w:type="spellEnd"/>
            <w:r>
              <w:t>, Portfólió</w:t>
            </w:r>
          </w:p>
        </w:tc>
        <w:tc>
          <w:tcPr>
            <w:tcW w:w="285" w:type="dxa"/>
          </w:tcPr>
          <w:p w14:paraId="07F1DB5C" w14:textId="77777777" w:rsidR="00EB25E7" w:rsidRPr="003536D7" w:rsidRDefault="00EB25E7" w:rsidP="00316464">
            <w:pPr>
              <w:pStyle w:val="Kpalrstbank"/>
            </w:pPr>
          </w:p>
        </w:tc>
        <w:tc>
          <w:tcPr>
            <w:tcW w:w="4670" w:type="dxa"/>
          </w:tcPr>
          <w:p w14:paraId="64791E1A" w14:textId="77777777" w:rsidR="00EB25E7" w:rsidRPr="003536D7" w:rsidRDefault="00EB25E7" w:rsidP="00316464">
            <w:pPr>
              <w:pStyle w:val="Kpalrstbank"/>
            </w:pPr>
            <w:r w:rsidRPr="003536D7">
              <w:t xml:space="preserve">Forrás: </w:t>
            </w:r>
            <w:r>
              <w:t>MNB, Takarék</w:t>
            </w:r>
          </w:p>
        </w:tc>
      </w:tr>
    </w:tbl>
    <w:p w14:paraId="221835E5" w14:textId="77777777" w:rsidR="00EB25E7" w:rsidRDefault="00EB25E7" w:rsidP="005C518C">
      <w:pPr>
        <w:spacing w:after="180"/>
        <w:jc w:val="both"/>
        <w:rPr>
          <w:rFonts w:ascii="Arial" w:hAnsi="Arial" w:cs="Arial"/>
        </w:rPr>
      </w:pPr>
    </w:p>
    <w:p w14:paraId="15D8485E" w14:textId="77777777" w:rsidR="005C518C" w:rsidRPr="007716F7" w:rsidRDefault="007716F7" w:rsidP="00316464">
      <w:pPr>
        <w:spacing w:after="180" w:line="360" w:lineRule="auto"/>
        <w:jc w:val="both"/>
        <w:rPr>
          <w:rFonts w:ascii="Arial" w:hAnsi="Arial" w:cs="Arial"/>
          <w:sz w:val="20"/>
          <w:szCs w:val="20"/>
        </w:rPr>
      </w:pPr>
      <w:r w:rsidRPr="007716F7">
        <w:rPr>
          <w:rFonts w:ascii="Arial" w:hAnsi="Arial" w:cs="Arial"/>
          <w:sz w:val="20"/>
          <w:szCs w:val="20"/>
        </w:rPr>
        <w:t xml:space="preserve">A válság előtti teljesítményhez, a nemzetközi rátákhoz, valamint a hazai lakásmegújítás kívánatos mértékéhez képest a lakásépítések továbbra is elmaradnak. </w:t>
      </w:r>
      <w:r w:rsidRPr="0035575F">
        <w:rPr>
          <w:rFonts w:ascii="Arial" w:hAnsi="Arial" w:cs="Arial"/>
          <w:b/>
          <w:sz w:val="20"/>
          <w:szCs w:val="20"/>
        </w:rPr>
        <w:t>A válság előtt évente 35-40 ezer lakást adtak át.</w:t>
      </w:r>
      <w:r w:rsidRPr="007716F7">
        <w:rPr>
          <w:rFonts w:ascii="Arial" w:hAnsi="Arial" w:cs="Arial"/>
          <w:sz w:val="20"/>
          <w:szCs w:val="20"/>
        </w:rPr>
        <w:t xml:space="preserve"> A tavaly átadott mintegy 28,2 ezer lakás </w:t>
      </w:r>
      <w:r w:rsidRPr="0035575F">
        <w:rPr>
          <w:rFonts w:ascii="Arial" w:hAnsi="Arial" w:cs="Arial"/>
          <w:b/>
          <w:sz w:val="20"/>
          <w:szCs w:val="20"/>
        </w:rPr>
        <w:t>1000 lakosra 2,8 lakás építését</w:t>
      </w:r>
      <w:r w:rsidRPr="007716F7">
        <w:rPr>
          <w:rFonts w:ascii="Arial" w:hAnsi="Arial" w:cs="Arial"/>
          <w:sz w:val="20"/>
          <w:szCs w:val="20"/>
        </w:rPr>
        <w:t xml:space="preserve"> jelenti, míg </w:t>
      </w:r>
      <w:r w:rsidRPr="0035575F">
        <w:rPr>
          <w:rFonts w:ascii="Arial" w:hAnsi="Arial" w:cs="Arial"/>
          <w:b/>
          <w:sz w:val="20"/>
          <w:szCs w:val="20"/>
        </w:rPr>
        <w:t xml:space="preserve">az európai átlagos érték 3-3,5 lakás. </w:t>
      </w:r>
      <w:r w:rsidRPr="007716F7">
        <w:rPr>
          <w:rFonts w:ascii="Arial" w:hAnsi="Arial" w:cs="Arial"/>
          <w:sz w:val="20"/>
          <w:szCs w:val="20"/>
        </w:rPr>
        <w:t xml:space="preserve">A hazai lakásállomány százévenkénti </w:t>
      </w:r>
      <w:r w:rsidRPr="0035575F">
        <w:rPr>
          <w:rFonts w:ascii="Arial" w:hAnsi="Arial" w:cs="Arial"/>
          <w:b/>
          <w:sz w:val="20"/>
          <w:szCs w:val="20"/>
        </w:rPr>
        <w:t>megújításához</w:t>
      </w:r>
      <w:r w:rsidRPr="007716F7">
        <w:rPr>
          <w:rFonts w:ascii="Arial" w:hAnsi="Arial" w:cs="Arial"/>
          <w:sz w:val="20"/>
          <w:szCs w:val="20"/>
        </w:rPr>
        <w:t xml:space="preserve"> is évente </w:t>
      </w:r>
      <w:r w:rsidRPr="0035575F">
        <w:rPr>
          <w:rFonts w:ascii="Arial" w:hAnsi="Arial" w:cs="Arial"/>
          <w:b/>
          <w:sz w:val="20"/>
          <w:szCs w:val="20"/>
        </w:rPr>
        <w:t>35-40 ezer lakás</w:t>
      </w:r>
      <w:r w:rsidRPr="007716F7">
        <w:rPr>
          <w:rFonts w:ascii="Arial" w:hAnsi="Arial" w:cs="Arial"/>
          <w:sz w:val="20"/>
          <w:szCs w:val="20"/>
        </w:rPr>
        <w:t xml:space="preserve"> építésére lenne szükség. Mindezek alapján látható, hogy a hazai lakásépítések száma semmilyen túlfűtöttséget nem tükröz, sőt, még </w:t>
      </w:r>
      <w:r w:rsidRPr="00091D2A">
        <w:rPr>
          <w:rFonts w:ascii="Arial" w:hAnsi="Arial" w:cs="Arial"/>
          <w:b/>
          <w:sz w:val="20"/>
          <w:szCs w:val="20"/>
        </w:rPr>
        <w:t xml:space="preserve">a </w:t>
      </w:r>
      <w:r w:rsidR="0035575F" w:rsidRPr="00091D2A">
        <w:rPr>
          <w:rFonts w:ascii="Arial" w:hAnsi="Arial" w:cs="Arial"/>
          <w:b/>
          <w:sz w:val="20"/>
          <w:szCs w:val="20"/>
        </w:rPr>
        <w:t xml:space="preserve">2008-as pénzügyi </w:t>
      </w:r>
      <w:r w:rsidRPr="00091D2A">
        <w:rPr>
          <w:rFonts w:ascii="Arial" w:hAnsi="Arial" w:cs="Arial"/>
          <w:b/>
          <w:sz w:val="20"/>
          <w:szCs w:val="20"/>
        </w:rPr>
        <w:t>válság utáni visszaesést sem pótolta</w:t>
      </w:r>
      <w:r w:rsidRPr="007716F7">
        <w:rPr>
          <w:rFonts w:ascii="Arial" w:hAnsi="Arial" w:cs="Arial"/>
          <w:sz w:val="20"/>
          <w:szCs w:val="20"/>
        </w:rPr>
        <w:t xml:space="preserve">. Részben pedig éppen a szűkös új kínálat okozta az elmúlt években látott lakásár robbanást, azonban a beruházások széles körű fellendülése és a forint gyengülése a költségeket is érdemben növelte. A külpiaci hatásokat tükröző </w:t>
      </w:r>
      <w:r w:rsidRPr="00092563">
        <w:rPr>
          <w:rFonts w:ascii="Arial" w:hAnsi="Arial" w:cs="Arial"/>
          <w:b/>
          <w:sz w:val="20"/>
          <w:szCs w:val="20"/>
        </w:rPr>
        <w:t>meredek nyersanyagár robbanás érdemben növeli a kivitelezés költségeket</w:t>
      </w:r>
      <w:r w:rsidRPr="007716F7">
        <w:rPr>
          <w:rFonts w:ascii="Arial" w:hAnsi="Arial" w:cs="Arial"/>
          <w:sz w:val="20"/>
          <w:szCs w:val="20"/>
        </w:rPr>
        <w:t xml:space="preserve"> és így az újlakás árakat, az árak naponta változhatnak, ez pedig egyes nyersanyagok hiányával átmenetileg </w:t>
      </w:r>
      <w:r w:rsidRPr="00092563">
        <w:rPr>
          <w:rFonts w:ascii="Arial" w:hAnsi="Arial" w:cs="Arial"/>
          <w:b/>
          <w:sz w:val="20"/>
          <w:szCs w:val="20"/>
        </w:rPr>
        <w:t>fékezheti a lakásépítéseket,</w:t>
      </w:r>
      <w:r w:rsidRPr="007716F7">
        <w:rPr>
          <w:rFonts w:ascii="Arial" w:hAnsi="Arial" w:cs="Arial"/>
          <w:sz w:val="20"/>
          <w:szCs w:val="20"/>
        </w:rPr>
        <w:t xml:space="preserve"> elbizonytalaníthatja, vagy elhalasztása kényszerítheti a beruházókat, ami kockázatot jelenthet az idei teljesítményre.</w:t>
      </w:r>
    </w:p>
    <w:tbl>
      <w:tblPr>
        <w:tblW w:w="0" w:type="auto"/>
        <w:tblLook w:val="01E0" w:firstRow="1" w:lastRow="1" w:firstColumn="1" w:lastColumn="1" w:noHBand="0" w:noVBand="0"/>
      </w:tblPr>
      <w:tblGrid>
        <w:gridCol w:w="4686"/>
        <w:gridCol w:w="222"/>
        <w:gridCol w:w="222"/>
        <w:gridCol w:w="4686"/>
      </w:tblGrid>
      <w:tr w:rsidR="00EB25E7" w:rsidRPr="003536D7" w14:paraId="5D5970F2" w14:textId="77777777" w:rsidTr="00EB25E7">
        <w:tc>
          <w:tcPr>
            <w:tcW w:w="4598" w:type="dxa"/>
          </w:tcPr>
          <w:p w14:paraId="255CFE24" w14:textId="77777777" w:rsidR="00EB25E7" w:rsidRPr="00EB25E7" w:rsidRDefault="00222D2D" w:rsidP="005C518C">
            <w:pPr>
              <w:keepNext/>
              <w:spacing w:after="120"/>
              <w:jc w:val="center"/>
              <w:rPr>
                <w:rFonts w:ascii="Arial" w:hAnsi="Arial" w:cs="Arial"/>
                <w:b/>
                <w:color w:val="FF8500"/>
              </w:rPr>
            </w:pPr>
            <w:r>
              <w:rPr>
                <w:rFonts w:ascii="Arial" w:hAnsi="Arial" w:cs="Arial"/>
                <w:b/>
                <w:color w:val="FF8500"/>
              </w:rPr>
              <w:t>35</w:t>
            </w:r>
            <w:r w:rsidR="00EB25E7" w:rsidRPr="00EB25E7">
              <w:rPr>
                <w:rFonts w:ascii="Arial" w:hAnsi="Arial" w:cs="Arial"/>
                <w:b/>
                <w:color w:val="FF8500"/>
              </w:rPr>
              <w:t xml:space="preserve">. ábra: </w:t>
            </w:r>
            <w:r w:rsidR="00EB25E7" w:rsidRPr="00316464">
              <w:rPr>
                <w:rFonts w:ascii="Arial" w:hAnsi="Arial" w:cs="Arial"/>
                <w:bCs/>
                <w:color w:val="FF8500"/>
              </w:rPr>
              <w:t>Lakás reálárindex</w:t>
            </w:r>
          </w:p>
        </w:tc>
        <w:tc>
          <w:tcPr>
            <w:tcW w:w="222" w:type="dxa"/>
          </w:tcPr>
          <w:p w14:paraId="7B8E6332" w14:textId="77777777" w:rsidR="00EB25E7" w:rsidRPr="00EB25E7" w:rsidRDefault="00EB25E7" w:rsidP="005C518C">
            <w:pPr>
              <w:keepNext/>
              <w:spacing w:after="120"/>
              <w:jc w:val="center"/>
              <w:rPr>
                <w:rFonts w:ascii="Arial" w:hAnsi="Arial" w:cs="Arial"/>
                <w:b/>
                <w:color w:val="FF8500"/>
              </w:rPr>
            </w:pPr>
          </w:p>
        </w:tc>
        <w:tc>
          <w:tcPr>
            <w:tcW w:w="222" w:type="dxa"/>
          </w:tcPr>
          <w:p w14:paraId="2080773E" w14:textId="77777777" w:rsidR="00EB25E7" w:rsidRPr="00EB25E7" w:rsidRDefault="00EB25E7" w:rsidP="005C518C">
            <w:pPr>
              <w:keepNext/>
              <w:spacing w:after="120"/>
              <w:jc w:val="center"/>
              <w:rPr>
                <w:rFonts w:ascii="Arial" w:hAnsi="Arial" w:cs="Arial"/>
                <w:b/>
                <w:color w:val="FF8500"/>
              </w:rPr>
            </w:pPr>
          </w:p>
        </w:tc>
        <w:tc>
          <w:tcPr>
            <w:tcW w:w="4599" w:type="dxa"/>
          </w:tcPr>
          <w:p w14:paraId="7B6B4595" w14:textId="77777777" w:rsidR="00EB25E7" w:rsidRPr="00EB25E7" w:rsidRDefault="00222D2D" w:rsidP="005C518C">
            <w:pPr>
              <w:keepNext/>
              <w:spacing w:after="120"/>
              <w:jc w:val="center"/>
              <w:rPr>
                <w:rFonts w:ascii="Arial" w:hAnsi="Arial" w:cs="Arial"/>
                <w:color w:val="FF8500"/>
                <w:sz w:val="18"/>
                <w:szCs w:val="18"/>
              </w:rPr>
            </w:pPr>
            <w:r>
              <w:rPr>
                <w:rFonts w:ascii="Arial" w:hAnsi="Arial" w:cs="Arial"/>
                <w:b/>
                <w:color w:val="FF8500"/>
              </w:rPr>
              <w:t>36</w:t>
            </w:r>
            <w:r w:rsidR="00EB25E7" w:rsidRPr="00EB25E7">
              <w:rPr>
                <w:rFonts w:ascii="Arial" w:hAnsi="Arial" w:cs="Arial"/>
                <w:b/>
                <w:color w:val="FF8500"/>
              </w:rPr>
              <w:t xml:space="preserve">. ábra: </w:t>
            </w:r>
            <w:r w:rsidR="00EB25E7" w:rsidRPr="00316464">
              <w:rPr>
                <w:rFonts w:ascii="Arial" w:hAnsi="Arial" w:cs="Arial"/>
                <w:bCs/>
                <w:color w:val="FF8500"/>
              </w:rPr>
              <w:t>Lakásárindex és bruttó bérek</w:t>
            </w:r>
          </w:p>
        </w:tc>
      </w:tr>
      <w:tr w:rsidR="00EB25E7" w:rsidRPr="003536D7" w14:paraId="477B61EF" w14:textId="77777777" w:rsidTr="00EB25E7">
        <w:tc>
          <w:tcPr>
            <w:tcW w:w="4598" w:type="dxa"/>
          </w:tcPr>
          <w:p w14:paraId="4B4ECBA8" w14:textId="77777777" w:rsidR="00EB25E7" w:rsidRPr="003536D7" w:rsidRDefault="00092563" w:rsidP="005C518C">
            <w:pPr>
              <w:keepNext/>
              <w:spacing w:after="120"/>
              <w:jc w:val="both"/>
              <w:rPr>
                <w:rFonts w:ascii="Arial" w:hAnsi="Arial" w:cs="Arial"/>
              </w:rPr>
            </w:pPr>
            <w:r>
              <w:rPr>
                <w:rFonts w:ascii="Arial" w:hAnsi="Arial" w:cs="Arial"/>
                <w:noProof/>
                <w:lang w:eastAsia="hu-HU"/>
              </w:rPr>
              <w:drawing>
                <wp:inline distT="0" distB="0" distL="0" distR="0" wp14:anchorId="290F641B" wp14:editId="4E801DD9">
                  <wp:extent cx="2828925" cy="1981200"/>
                  <wp:effectExtent l="0" t="0" r="9525"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8925" cy="1981200"/>
                          </a:xfrm>
                          <a:prstGeom prst="rect">
                            <a:avLst/>
                          </a:prstGeom>
                          <a:noFill/>
                          <a:ln>
                            <a:noFill/>
                          </a:ln>
                        </pic:spPr>
                      </pic:pic>
                    </a:graphicData>
                  </a:graphic>
                </wp:inline>
              </w:drawing>
            </w:r>
          </w:p>
        </w:tc>
        <w:tc>
          <w:tcPr>
            <w:tcW w:w="222" w:type="dxa"/>
          </w:tcPr>
          <w:p w14:paraId="28E7BA68" w14:textId="77777777" w:rsidR="00EB25E7" w:rsidRDefault="00EB25E7" w:rsidP="005C518C">
            <w:pPr>
              <w:keepNext/>
              <w:spacing w:after="120"/>
              <w:jc w:val="both"/>
              <w:rPr>
                <w:rFonts w:ascii="Arial" w:hAnsi="Arial" w:cs="Arial"/>
                <w:noProof/>
                <w:lang w:eastAsia="hu-HU"/>
              </w:rPr>
            </w:pPr>
          </w:p>
        </w:tc>
        <w:tc>
          <w:tcPr>
            <w:tcW w:w="222" w:type="dxa"/>
          </w:tcPr>
          <w:p w14:paraId="5CE70178" w14:textId="77777777" w:rsidR="00EB25E7" w:rsidRDefault="00EB25E7" w:rsidP="005C518C">
            <w:pPr>
              <w:keepNext/>
              <w:spacing w:after="120"/>
              <w:jc w:val="both"/>
              <w:rPr>
                <w:rFonts w:ascii="Arial" w:hAnsi="Arial" w:cs="Arial"/>
                <w:noProof/>
                <w:lang w:eastAsia="hu-HU"/>
              </w:rPr>
            </w:pPr>
          </w:p>
        </w:tc>
        <w:tc>
          <w:tcPr>
            <w:tcW w:w="4599" w:type="dxa"/>
          </w:tcPr>
          <w:p w14:paraId="253042B2" w14:textId="77777777" w:rsidR="00EB25E7" w:rsidRPr="003536D7" w:rsidRDefault="00092563" w:rsidP="005C518C">
            <w:pPr>
              <w:keepNext/>
              <w:spacing w:after="120"/>
              <w:jc w:val="both"/>
              <w:rPr>
                <w:rFonts w:ascii="Arial" w:hAnsi="Arial" w:cs="Arial"/>
              </w:rPr>
            </w:pPr>
            <w:r>
              <w:rPr>
                <w:rFonts w:ascii="Arial" w:hAnsi="Arial" w:cs="Arial"/>
                <w:noProof/>
                <w:lang w:eastAsia="hu-HU"/>
              </w:rPr>
              <w:drawing>
                <wp:inline distT="0" distB="0" distL="0" distR="0" wp14:anchorId="2405F6F5" wp14:editId="13DFE8C7">
                  <wp:extent cx="2828925" cy="1981200"/>
                  <wp:effectExtent l="0" t="0" r="9525" b="0"/>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8925" cy="1981200"/>
                          </a:xfrm>
                          <a:prstGeom prst="rect">
                            <a:avLst/>
                          </a:prstGeom>
                          <a:noFill/>
                          <a:ln>
                            <a:noFill/>
                          </a:ln>
                        </pic:spPr>
                      </pic:pic>
                    </a:graphicData>
                  </a:graphic>
                </wp:inline>
              </w:drawing>
            </w:r>
          </w:p>
        </w:tc>
      </w:tr>
      <w:tr w:rsidR="00EB25E7" w:rsidRPr="003536D7" w14:paraId="72C406AD" w14:textId="77777777" w:rsidTr="00EB25E7">
        <w:tc>
          <w:tcPr>
            <w:tcW w:w="4598" w:type="dxa"/>
          </w:tcPr>
          <w:p w14:paraId="6368DB4C" w14:textId="77777777" w:rsidR="00EB25E7" w:rsidRPr="003536D7" w:rsidRDefault="00EB25E7" w:rsidP="00316464">
            <w:pPr>
              <w:pStyle w:val="Kpalrstbank"/>
            </w:pPr>
            <w:r w:rsidRPr="003536D7">
              <w:t xml:space="preserve">Forrás: </w:t>
            </w:r>
            <w:r>
              <w:t>Takarék</w:t>
            </w:r>
            <w:r w:rsidR="00092563">
              <w:t>, MNB</w:t>
            </w:r>
          </w:p>
        </w:tc>
        <w:tc>
          <w:tcPr>
            <w:tcW w:w="222" w:type="dxa"/>
          </w:tcPr>
          <w:p w14:paraId="48B1EBC5" w14:textId="77777777" w:rsidR="00EB25E7" w:rsidRPr="003536D7" w:rsidRDefault="00EB25E7" w:rsidP="00316464">
            <w:pPr>
              <w:pStyle w:val="Kpalrstbank"/>
            </w:pPr>
          </w:p>
        </w:tc>
        <w:tc>
          <w:tcPr>
            <w:tcW w:w="222" w:type="dxa"/>
          </w:tcPr>
          <w:p w14:paraId="6CAEB363" w14:textId="77777777" w:rsidR="00EB25E7" w:rsidRPr="003536D7" w:rsidRDefault="00EB25E7" w:rsidP="00316464">
            <w:pPr>
              <w:pStyle w:val="Kpalrstbank"/>
            </w:pPr>
          </w:p>
        </w:tc>
        <w:tc>
          <w:tcPr>
            <w:tcW w:w="4599" w:type="dxa"/>
          </w:tcPr>
          <w:p w14:paraId="0524E078" w14:textId="77777777" w:rsidR="00EB25E7" w:rsidRPr="003536D7" w:rsidRDefault="00EB25E7" w:rsidP="00092563">
            <w:pPr>
              <w:pStyle w:val="Kpalrstbank"/>
            </w:pPr>
            <w:r w:rsidRPr="003536D7">
              <w:t xml:space="preserve">Forrás: </w:t>
            </w:r>
            <w:r w:rsidR="00092563">
              <w:t>KSH</w:t>
            </w:r>
            <w:r>
              <w:t>, Takarék</w:t>
            </w:r>
          </w:p>
        </w:tc>
      </w:tr>
    </w:tbl>
    <w:p w14:paraId="654105B2" w14:textId="77777777" w:rsidR="00EB25E7" w:rsidRDefault="00EB25E7" w:rsidP="005C518C">
      <w:pPr>
        <w:spacing w:after="180"/>
        <w:jc w:val="both"/>
        <w:rPr>
          <w:rFonts w:ascii="Arial" w:hAnsi="Arial" w:cs="Arial"/>
        </w:rPr>
      </w:pPr>
    </w:p>
    <w:p w14:paraId="0A845868" w14:textId="77777777" w:rsidR="00F463A4" w:rsidRDefault="002F37E8" w:rsidP="00EB25E7">
      <w:pPr>
        <w:spacing w:after="180" w:line="360" w:lineRule="auto"/>
        <w:jc w:val="both"/>
        <w:rPr>
          <w:rFonts w:ascii="Arial" w:hAnsi="Arial" w:cs="Arial"/>
          <w:sz w:val="20"/>
          <w:szCs w:val="20"/>
        </w:rPr>
      </w:pPr>
      <w:r>
        <w:rPr>
          <w:rFonts w:ascii="Arial" w:hAnsi="Arial" w:cs="Arial"/>
          <w:sz w:val="20"/>
          <w:szCs w:val="20"/>
        </w:rPr>
        <w:t>A tavaszi hónapokban mért rekordok után némileg lassult a lakóingatlan piac. M</w:t>
      </w:r>
      <w:r w:rsidR="003E1B71" w:rsidRPr="003E1B71">
        <w:rPr>
          <w:rFonts w:ascii="Arial" w:hAnsi="Arial" w:cs="Arial"/>
          <w:sz w:val="20"/>
          <w:szCs w:val="20"/>
        </w:rPr>
        <w:t xml:space="preserve">árciusban </w:t>
      </w:r>
      <w:r w:rsidR="003E1B71" w:rsidRPr="00F463A4">
        <w:rPr>
          <w:rFonts w:ascii="Arial" w:hAnsi="Arial" w:cs="Arial"/>
          <w:b/>
          <w:sz w:val="20"/>
          <w:szCs w:val="20"/>
        </w:rPr>
        <w:t>az elmúlt 10 évben először</w:t>
      </w:r>
      <w:r w:rsidR="003E1B71" w:rsidRPr="003E1B71">
        <w:rPr>
          <w:rFonts w:ascii="Arial" w:hAnsi="Arial" w:cs="Arial"/>
          <w:sz w:val="20"/>
          <w:szCs w:val="20"/>
        </w:rPr>
        <w:t xml:space="preserve"> lépte át a </w:t>
      </w:r>
      <w:r w:rsidR="003E1B71" w:rsidRPr="00F463A4">
        <w:rPr>
          <w:rFonts w:ascii="Arial" w:hAnsi="Arial" w:cs="Arial"/>
          <w:b/>
          <w:sz w:val="20"/>
          <w:szCs w:val="20"/>
        </w:rPr>
        <w:t>15</w:t>
      </w:r>
      <w:r w:rsidR="00F463A4" w:rsidRPr="00F463A4">
        <w:rPr>
          <w:rFonts w:ascii="Arial" w:hAnsi="Arial" w:cs="Arial"/>
          <w:b/>
          <w:sz w:val="20"/>
          <w:szCs w:val="20"/>
        </w:rPr>
        <w:t xml:space="preserve"> </w:t>
      </w:r>
      <w:r w:rsidR="003E1B71" w:rsidRPr="00F463A4">
        <w:rPr>
          <w:rFonts w:ascii="Arial" w:hAnsi="Arial" w:cs="Arial"/>
          <w:b/>
          <w:sz w:val="20"/>
          <w:szCs w:val="20"/>
        </w:rPr>
        <w:t>ezres</w:t>
      </w:r>
      <w:r w:rsidR="003E1B71" w:rsidRPr="003E1B71">
        <w:rPr>
          <w:rFonts w:ascii="Arial" w:hAnsi="Arial" w:cs="Arial"/>
          <w:sz w:val="20"/>
          <w:szCs w:val="20"/>
        </w:rPr>
        <w:t xml:space="preserve"> határt az adásvételek száma. </w:t>
      </w:r>
      <w:r w:rsidRPr="002F37E8">
        <w:rPr>
          <w:rFonts w:ascii="Arial" w:hAnsi="Arial" w:cs="Arial"/>
          <w:sz w:val="20"/>
          <w:szCs w:val="20"/>
        </w:rPr>
        <w:t xml:space="preserve">A </w:t>
      </w:r>
      <w:r w:rsidR="00645239" w:rsidRPr="002F37E8">
        <w:rPr>
          <w:rFonts w:ascii="Arial" w:hAnsi="Arial" w:cs="Arial"/>
          <w:sz w:val="20"/>
          <w:szCs w:val="20"/>
        </w:rPr>
        <w:t>Duna House</w:t>
      </w:r>
      <w:r w:rsidR="00645239">
        <w:rPr>
          <w:rFonts w:ascii="Arial" w:hAnsi="Arial" w:cs="Arial"/>
          <w:sz w:val="20"/>
          <w:szCs w:val="20"/>
        </w:rPr>
        <w:t xml:space="preserve"> tranzakciószám becslése szerint tavaly decemberben 11422 ingatlan adás-vétel realizálódott,</w:t>
      </w:r>
      <w:r w:rsidR="00645239" w:rsidRPr="002F37E8">
        <w:rPr>
          <w:rFonts w:ascii="Arial" w:hAnsi="Arial" w:cs="Arial"/>
          <w:sz w:val="20"/>
          <w:szCs w:val="20"/>
        </w:rPr>
        <w:t xml:space="preserve"> </w:t>
      </w:r>
      <w:r w:rsidR="00645239">
        <w:rPr>
          <w:rFonts w:ascii="Arial" w:hAnsi="Arial" w:cs="Arial"/>
          <w:sz w:val="20"/>
          <w:szCs w:val="20"/>
        </w:rPr>
        <w:t xml:space="preserve">amely </w:t>
      </w:r>
      <w:r w:rsidR="00645239" w:rsidRPr="00645239">
        <w:rPr>
          <w:rFonts w:ascii="Arial" w:hAnsi="Arial" w:cs="Arial"/>
          <w:sz w:val="20"/>
          <w:szCs w:val="20"/>
        </w:rPr>
        <w:t>a tavalyinál 10,3, a 2019-esnél pedig 12,8%-kal mutat élénkebb adásvételi aktivitást. Az év utolsó havi eredményével a hazai ingatlanforgalom elérte, sőt, túl is lépte a 150 ezres határt: a Duna House becslése szerint 150.974 tranzakció realizálódott 2021-ben. Éves szinten így 15%-os volt a növekedés az ingatlanpiacon 2020-hoz viszonyítva.</w:t>
      </w:r>
      <w:r w:rsidRPr="002F37E8">
        <w:rPr>
          <w:rFonts w:ascii="Arial" w:hAnsi="Arial" w:cs="Arial"/>
          <w:sz w:val="20"/>
          <w:szCs w:val="20"/>
        </w:rPr>
        <w:t xml:space="preserve"> </w:t>
      </w:r>
      <w:r w:rsidR="003E1B71" w:rsidRPr="003E1B71">
        <w:rPr>
          <w:rFonts w:ascii="Arial" w:hAnsi="Arial" w:cs="Arial"/>
          <w:sz w:val="20"/>
          <w:szCs w:val="20"/>
        </w:rPr>
        <w:t xml:space="preserve">A Duna House elemzői szerint az aktív piacot és a továbbra is erős keresletet, a nemzetközileg is tapasztalható koronavírus járvány okozta lakhatási igények változása miatti többlet tranzakciók és hazai környezetben az erre ráerősítő otthonteremtési támogatások okozzák. A szakemberek szerint ez a piaci trend éves szinten akár kétszámjegyű </w:t>
      </w:r>
      <w:proofErr w:type="spellStart"/>
      <w:r w:rsidR="003E1B71" w:rsidRPr="003E1B71">
        <w:rPr>
          <w:rFonts w:ascii="Arial" w:hAnsi="Arial" w:cs="Arial"/>
          <w:sz w:val="20"/>
          <w:szCs w:val="20"/>
        </w:rPr>
        <w:t>árnövekedést</w:t>
      </w:r>
      <w:proofErr w:type="spellEnd"/>
      <w:r w:rsidR="003E1B71" w:rsidRPr="003E1B71">
        <w:rPr>
          <w:rFonts w:ascii="Arial" w:hAnsi="Arial" w:cs="Arial"/>
          <w:sz w:val="20"/>
          <w:szCs w:val="20"/>
        </w:rPr>
        <w:t xml:space="preserve"> is okozhat az ingatlanoknál.</w:t>
      </w:r>
      <w:r w:rsidR="000D6E17" w:rsidRPr="003E1B71">
        <w:rPr>
          <w:rFonts w:ascii="Arial" w:hAnsi="Arial" w:cs="Arial"/>
          <w:b/>
          <w:sz w:val="20"/>
          <w:szCs w:val="20"/>
        </w:rPr>
        <w:t xml:space="preserve"> </w:t>
      </w:r>
      <w:r w:rsidR="00645239">
        <w:rPr>
          <w:rFonts w:ascii="Arial" w:hAnsi="Arial" w:cs="Arial"/>
          <w:b/>
          <w:sz w:val="20"/>
          <w:szCs w:val="20"/>
        </w:rPr>
        <w:t>2022</w:t>
      </w:r>
      <w:r w:rsidR="000D6E17" w:rsidRPr="000D6E17">
        <w:rPr>
          <w:rFonts w:ascii="Arial" w:hAnsi="Arial" w:cs="Arial"/>
          <w:b/>
          <w:sz w:val="20"/>
          <w:szCs w:val="20"/>
        </w:rPr>
        <w:t>-ben az előrejelzése</w:t>
      </w:r>
      <w:r w:rsidR="00645239">
        <w:rPr>
          <w:rFonts w:ascii="Arial" w:hAnsi="Arial" w:cs="Arial"/>
          <w:b/>
          <w:sz w:val="20"/>
          <w:szCs w:val="20"/>
        </w:rPr>
        <w:t>k</w:t>
      </w:r>
      <w:r w:rsidR="000D6E17" w:rsidRPr="000D6E17">
        <w:rPr>
          <w:rFonts w:ascii="Arial" w:hAnsi="Arial" w:cs="Arial"/>
          <w:b/>
          <w:sz w:val="20"/>
          <w:szCs w:val="20"/>
        </w:rPr>
        <w:t xml:space="preserve"> szerint a tranzakciók száma </w:t>
      </w:r>
      <w:r w:rsidR="00645239">
        <w:rPr>
          <w:rFonts w:ascii="Arial" w:hAnsi="Arial" w:cs="Arial"/>
          <w:b/>
          <w:sz w:val="20"/>
          <w:szCs w:val="20"/>
        </w:rPr>
        <w:t>ismét elérheti a 150 ezres szintet</w:t>
      </w:r>
      <w:r w:rsidR="000D6E17" w:rsidRPr="000D6E17">
        <w:rPr>
          <w:rFonts w:ascii="Arial" w:hAnsi="Arial" w:cs="Arial"/>
          <w:sz w:val="20"/>
          <w:szCs w:val="20"/>
        </w:rPr>
        <w:t xml:space="preserve">. </w:t>
      </w:r>
    </w:p>
    <w:tbl>
      <w:tblPr>
        <w:tblW w:w="0" w:type="auto"/>
        <w:tblLook w:val="01E0" w:firstRow="1" w:lastRow="1" w:firstColumn="1" w:lastColumn="1" w:noHBand="0" w:noVBand="0"/>
      </w:tblPr>
      <w:tblGrid>
        <w:gridCol w:w="4686"/>
        <w:gridCol w:w="222"/>
        <w:gridCol w:w="222"/>
        <w:gridCol w:w="4716"/>
      </w:tblGrid>
      <w:tr w:rsidR="00F463A4" w:rsidRPr="003536D7" w14:paraId="699CD64E" w14:textId="77777777" w:rsidTr="00584439">
        <w:tc>
          <w:tcPr>
            <w:tcW w:w="4598" w:type="dxa"/>
          </w:tcPr>
          <w:p w14:paraId="12403FFC" w14:textId="77777777" w:rsidR="00F463A4" w:rsidRPr="00EB25E7" w:rsidRDefault="00222D2D" w:rsidP="00584439">
            <w:pPr>
              <w:keepNext/>
              <w:spacing w:after="120"/>
              <w:jc w:val="center"/>
              <w:rPr>
                <w:rFonts w:ascii="Arial" w:hAnsi="Arial" w:cs="Arial"/>
                <w:b/>
                <w:color w:val="FF8500"/>
              </w:rPr>
            </w:pPr>
            <w:r>
              <w:rPr>
                <w:rFonts w:ascii="Arial" w:hAnsi="Arial" w:cs="Arial"/>
                <w:b/>
                <w:color w:val="FF8500"/>
              </w:rPr>
              <w:t>37</w:t>
            </w:r>
            <w:r w:rsidR="00F463A4" w:rsidRPr="00EB25E7">
              <w:rPr>
                <w:rFonts w:ascii="Arial" w:hAnsi="Arial" w:cs="Arial"/>
                <w:b/>
                <w:color w:val="FF8500"/>
              </w:rPr>
              <w:t xml:space="preserve">. ábra: </w:t>
            </w:r>
            <w:r w:rsidR="00471B9D" w:rsidRPr="00316464">
              <w:rPr>
                <w:rFonts w:ascii="Arial" w:hAnsi="Arial" w:cs="Arial"/>
                <w:bCs/>
                <w:color w:val="FF8500"/>
              </w:rPr>
              <w:t>Lakásárindexek</w:t>
            </w:r>
          </w:p>
        </w:tc>
        <w:tc>
          <w:tcPr>
            <w:tcW w:w="222" w:type="dxa"/>
          </w:tcPr>
          <w:p w14:paraId="45E374D9" w14:textId="77777777" w:rsidR="00F463A4" w:rsidRPr="00EB25E7" w:rsidRDefault="00F463A4" w:rsidP="00584439">
            <w:pPr>
              <w:keepNext/>
              <w:spacing w:after="120"/>
              <w:jc w:val="center"/>
              <w:rPr>
                <w:rFonts w:ascii="Arial" w:hAnsi="Arial" w:cs="Arial"/>
                <w:b/>
                <w:color w:val="FF8500"/>
              </w:rPr>
            </w:pPr>
          </w:p>
        </w:tc>
        <w:tc>
          <w:tcPr>
            <w:tcW w:w="222" w:type="dxa"/>
          </w:tcPr>
          <w:p w14:paraId="42067B8E" w14:textId="77777777" w:rsidR="00F463A4" w:rsidRPr="00EB25E7" w:rsidRDefault="00F463A4" w:rsidP="00584439">
            <w:pPr>
              <w:keepNext/>
              <w:spacing w:after="120"/>
              <w:jc w:val="center"/>
              <w:rPr>
                <w:rFonts w:ascii="Arial" w:hAnsi="Arial" w:cs="Arial"/>
                <w:b/>
                <w:color w:val="FF8500"/>
              </w:rPr>
            </w:pPr>
          </w:p>
        </w:tc>
        <w:tc>
          <w:tcPr>
            <w:tcW w:w="4599" w:type="dxa"/>
          </w:tcPr>
          <w:p w14:paraId="0DBEBE72" w14:textId="77777777" w:rsidR="00F463A4" w:rsidRPr="00EB25E7" w:rsidRDefault="00222D2D" w:rsidP="00F417C0">
            <w:pPr>
              <w:keepNext/>
              <w:spacing w:after="120"/>
              <w:jc w:val="center"/>
              <w:rPr>
                <w:rFonts w:ascii="Arial" w:hAnsi="Arial" w:cs="Arial"/>
                <w:color w:val="FF8500"/>
                <w:sz w:val="18"/>
                <w:szCs w:val="18"/>
              </w:rPr>
            </w:pPr>
            <w:r>
              <w:rPr>
                <w:rFonts w:ascii="Arial" w:hAnsi="Arial" w:cs="Arial"/>
                <w:b/>
                <w:color w:val="FF8500"/>
              </w:rPr>
              <w:t>38</w:t>
            </w:r>
            <w:r w:rsidR="00F463A4" w:rsidRPr="00EB25E7">
              <w:rPr>
                <w:rFonts w:ascii="Arial" w:hAnsi="Arial" w:cs="Arial"/>
                <w:b/>
                <w:color w:val="FF8500"/>
              </w:rPr>
              <w:t xml:space="preserve">. ábra: </w:t>
            </w:r>
            <w:r w:rsidR="00F417C0">
              <w:rPr>
                <w:rFonts w:ascii="Arial" w:hAnsi="Arial" w:cs="Arial"/>
                <w:bCs/>
                <w:color w:val="FF8500"/>
              </w:rPr>
              <w:t>Tranzakciószám becslés</w:t>
            </w:r>
            <w:r w:rsidR="00F463A4" w:rsidRPr="00316464">
              <w:rPr>
                <w:rFonts w:ascii="Arial" w:hAnsi="Arial" w:cs="Arial"/>
                <w:bCs/>
                <w:color w:val="FF8500"/>
              </w:rPr>
              <w:t xml:space="preserve"> </w:t>
            </w:r>
          </w:p>
        </w:tc>
      </w:tr>
      <w:tr w:rsidR="00F463A4" w:rsidRPr="003536D7" w14:paraId="4DFDADB1" w14:textId="77777777" w:rsidTr="00584439">
        <w:tc>
          <w:tcPr>
            <w:tcW w:w="4598" w:type="dxa"/>
          </w:tcPr>
          <w:p w14:paraId="40D665B2" w14:textId="77777777" w:rsidR="00F463A4" w:rsidRPr="003536D7" w:rsidRDefault="00235CD8" w:rsidP="00584439">
            <w:pPr>
              <w:keepNext/>
              <w:spacing w:after="120"/>
              <w:jc w:val="both"/>
              <w:rPr>
                <w:rFonts w:ascii="Arial" w:hAnsi="Arial" w:cs="Arial"/>
              </w:rPr>
            </w:pPr>
            <w:r>
              <w:rPr>
                <w:rFonts w:ascii="Arial" w:hAnsi="Arial" w:cs="Arial"/>
                <w:noProof/>
                <w:lang w:eastAsia="hu-HU"/>
              </w:rPr>
              <w:drawing>
                <wp:inline distT="0" distB="0" distL="0" distR="0" wp14:anchorId="0FF1D09F" wp14:editId="4ADD0B53">
                  <wp:extent cx="2828925" cy="1981200"/>
                  <wp:effectExtent l="0" t="0" r="9525"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8925" cy="1981200"/>
                          </a:xfrm>
                          <a:prstGeom prst="rect">
                            <a:avLst/>
                          </a:prstGeom>
                          <a:noFill/>
                          <a:ln>
                            <a:noFill/>
                          </a:ln>
                        </pic:spPr>
                      </pic:pic>
                    </a:graphicData>
                  </a:graphic>
                </wp:inline>
              </w:drawing>
            </w:r>
          </w:p>
        </w:tc>
        <w:tc>
          <w:tcPr>
            <w:tcW w:w="222" w:type="dxa"/>
          </w:tcPr>
          <w:p w14:paraId="7C084510" w14:textId="77777777" w:rsidR="00F463A4" w:rsidRDefault="00F463A4" w:rsidP="00584439">
            <w:pPr>
              <w:keepNext/>
              <w:spacing w:after="120"/>
              <w:jc w:val="both"/>
              <w:rPr>
                <w:rFonts w:ascii="Arial" w:hAnsi="Arial" w:cs="Arial"/>
                <w:noProof/>
                <w:lang w:eastAsia="hu-HU"/>
              </w:rPr>
            </w:pPr>
          </w:p>
        </w:tc>
        <w:tc>
          <w:tcPr>
            <w:tcW w:w="222" w:type="dxa"/>
          </w:tcPr>
          <w:p w14:paraId="644E6A20" w14:textId="77777777" w:rsidR="00F463A4" w:rsidRDefault="00F463A4" w:rsidP="00584439">
            <w:pPr>
              <w:keepNext/>
              <w:spacing w:after="120"/>
              <w:jc w:val="both"/>
              <w:rPr>
                <w:rFonts w:ascii="Arial" w:hAnsi="Arial" w:cs="Arial"/>
                <w:noProof/>
                <w:lang w:eastAsia="hu-HU"/>
              </w:rPr>
            </w:pPr>
          </w:p>
        </w:tc>
        <w:tc>
          <w:tcPr>
            <w:tcW w:w="4599" w:type="dxa"/>
          </w:tcPr>
          <w:p w14:paraId="2F4A3C72" w14:textId="77777777" w:rsidR="00F463A4" w:rsidRPr="003536D7" w:rsidRDefault="00235CD8" w:rsidP="00584439">
            <w:pPr>
              <w:keepNext/>
              <w:spacing w:after="120"/>
              <w:jc w:val="both"/>
              <w:rPr>
                <w:rFonts w:ascii="Arial" w:hAnsi="Arial" w:cs="Arial"/>
              </w:rPr>
            </w:pPr>
            <w:r>
              <w:rPr>
                <w:rFonts w:ascii="Arial" w:hAnsi="Arial" w:cs="Arial"/>
                <w:noProof/>
                <w:lang w:eastAsia="hu-HU"/>
              </w:rPr>
              <w:drawing>
                <wp:inline distT="0" distB="0" distL="0" distR="0" wp14:anchorId="1D084566" wp14:editId="615B1027">
                  <wp:extent cx="2857500" cy="1943100"/>
                  <wp:effectExtent l="0" t="0" r="0" b="0"/>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p>
        </w:tc>
      </w:tr>
      <w:tr w:rsidR="00F463A4" w:rsidRPr="003536D7" w14:paraId="7DA6BE1C" w14:textId="77777777" w:rsidTr="00584439">
        <w:tc>
          <w:tcPr>
            <w:tcW w:w="4598" w:type="dxa"/>
          </w:tcPr>
          <w:p w14:paraId="17FD35B2" w14:textId="77777777" w:rsidR="00F463A4" w:rsidRPr="003536D7" w:rsidRDefault="00F463A4" w:rsidP="00471B9D">
            <w:pPr>
              <w:pStyle w:val="Kpalrstbank"/>
            </w:pPr>
            <w:r w:rsidRPr="003536D7">
              <w:t xml:space="preserve">Forrás: </w:t>
            </w:r>
            <w:r w:rsidR="00471B9D">
              <w:t>MNB</w:t>
            </w:r>
          </w:p>
        </w:tc>
        <w:tc>
          <w:tcPr>
            <w:tcW w:w="222" w:type="dxa"/>
          </w:tcPr>
          <w:p w14:paraId="6801B1B2" w14:textId="77777777" w:rsidR="00F463A4" w:rsidRPr="003536D7" w:rsidRDefault="00F463A4" w:rsidP="00584439">
            <w:pPr>
              <w:pStyle w:val="Kpalrstbank"/>
            </w:pPr>
          </w:p>
        </w:tc>
        <w:tc>
          <w:tcPr>
            <w:tcW w:w="222" w:type="dxa"/>
          </w:tcPr>
          <w:p w14:paraId="240AF72C" w14:textId="77777777" w:rsidR="00F463A4" w:rsidRPr="003536D7" w:rsidRDefault="00F463A4" w:rsidP="00584439">
            <w:pPr>
              <w:pStyle w:val="Kpalrstbank"/>
            </w:pPr>
          </w:p>
        </w:tc>
        <w:tc>
          <w:tcPr>
            <w:tcW w:w="4599" w:type="dxa"/>
          </w:tcPr>
          <w:p w14:paraId="53B90FFA" w14:textId="77777777" w:rsidR="00F463A4" w:rsidRPr="003536D7" w:rsidRDefault="00F463A4" w:rsidP="00471B9D">
            <w:pPr>
              <w:pStyle w:val="Kpalrstbank"/>
            </w:pPr>
            <w:r w:rsidRPr="003536D7">
              <w:t xml:space="preserve">Forrás: </w:t>
            </w:r>
            <w:r w:rsidR="00471B9D">
              <w:t>Duna House</w:t>
            </w:r>
          </w:p>
        </w:tc>
      </w:tr>
    </w:tbl>
    <w:p w14:paraId="00D845A4" w14:textId="77777777" w:rsidR="00F463A4" w:rsidRDefault="00F463A4" w:rsidP="00EB25E7">
      <w:pPr>
        <w:spacing w:after="180" w:line="360" w:lineRule="auto"/>
        <w:jc w:val="both"/>
        <w:rPr>
          <w:rFonts w:ascii="Arial" w:hAnsi="Arial" w:cs="Arial"/>
          <w:sz w:val="20"/>
          <w:szCs w:val="20"/>
        </w:rPr>
      </w:pPr>
    </w:p>
    <w:p w14:paraId="03F455A9" w14:textId="77777777" w:rsidR="000B39AD" w:rsidRPr="00EB25E7" w:rsidRDefault="005C518C" w:rsidP="00EB25E7">
      <w:pPr>
        <w:spacing w:after="180" w:line="360" w:lineRule="auto"/>
        <w:jc w:val="both"/>
        <w:rPr>
          <w:rFonts w:ascii="Arial" w:hAnsi="Arial" w:cs="Arial"/>
          <w:sz w:val="20"/>
          <w:szCs w:val="20"/>
        </w:rPr>
      </w:pPr>
      <w:r w:rsidRPr="00EB25E7">
        <w:rPr>
          <w:rFonts w:ascii="Arial" w:hAnsi="Arial" w:cs="Arial"/>
          <w:sz w:val="20"/>
          <w:szCs w:val="20"/>
        </w:rPr>
        <w:t xml:space="preserve">A lakáspiac gyorsan kiheverte a járvány miatti </w:t>
      </w:r>
      <w:r w:rsidR="00645239">
        <w:rPr>
          <w:rFonts w:ascii="Arial" w:hAnsi="Arial" w:cs="Arial"/>
          <w:sz w:val="20"/>
          <w:szCs w:val="20"/>
        </w:rPr>
        <w:t>két évvel ezelőtti</w:t>
      </w:r>
      <w:r w:rsidRPr="00EB25E7">
        <w:rPr>
          <w:rFonts w:ascii="Arial" w:hAnsi="Arial" w:cs="Arial"/>
          <w:sz w:val="20"/>
          <w:szCs w:val="20"/>
        </w:rPr>
        <w:t xml:space="preserve"> visszaesést, a </w:t>
      </w:r>
      <w:r w:rsidRPr="00EB25E7">
        <w:rPr>
          <w:rFonts w:ascii="Arial" w:hAnsi="Arial" w:cs="Arial"/>
          <w:b/>
          <w:sz w:val="20"/>
          <w:szCs w:val="20"/>
        </w:rPr>
        <w:t>kereslet azonban érdemben eltolódott</w:t>
      </w:r>
      <w:r w:rsidRPr="00EB25E7">
        <w:rPr>
          <w:rFonts w:ascii="Arial" w:hAnsi="Arial" w:cs="Arial"/>
          <w:sz w:val="20"/>
          <w:szCs w:val="20"/>
        </w:rPr>
        <w:t xml:space="preserve"> </w:t>
      </w:r>
      <w:r w:rsidRPr="002F37E8">
        <w:rPr>
          <w:rFonts w:ascii="Arial" w:hAnsi="Arial" w:cs="Arial"/>
          <w:b/>
          <w:sz w:val="20"/>
          <w:szCs w:val="20"/>
        </w:rPr>
        <w:t>a családi házak, illetve egyes üdülőhelyek</w:t>
      </w:r>
      <w:r w:rsidRPr="00EB25E7">
        <w:rPr>
          <w:rFonts w:ascii="Arial" w:hAnsi="Arial" w:cs="Arial"/>
          <w:sz w:val="20"/>
          <w:szCs w:val="20"/>
        </w:rPr>
        <w:t xml:space="preserve">, </w:t>
      </w:r>
      <w:r w:rsidRPr="002F37E8">
        <w:rPr>
          <w:rFonts w:ascii="Arial" w:hAnsi="Arial" w:cs="Arial"/>
          <w:b/>
          <w:sz w:val="20"/>
          <w:szCs w:val="20"/>
        </w:rPr>
        <w:t>kiemelkedően</w:t>
      </w:r>
      <w:r w:rsidRPr="00EB25E7">
        <w:rPr>
          <w:rFonts w:ascii="Arial" w:hAnsi="Arial" w:cs="Arial"/>
          <w:sz w:val="20"/>
          <w:szCs w:val="20"/>
        </w:rPr>
        <w:t xml:space="preserve"> pedig a </w:t>
      </w:r>
      <w:r w:rsidRPr="002F37E8">
        <w:rPr>
          <w:rFonts w:ascii="Arial" w:hAnsi="Arial" w:cs="Arial"/>
          <w:b/>
          <w:sz w:val="20"/>
          <w:szCs w:val="20"/>
        </w:rPr>
        <w:t>balatoni térség irányába</w:t>
      </w:r>
      <w:r w:rsidRPr="00EB25E7">
        <w:rPr>
          <w:rFonts w:ascii="Arial" w:hAnsi="Arial" w:cs="Arial"/>
          <w:sz w:val="20"/>
          <w:szCs w:val="20"/>
        </w:rPr>
        <w:t>, míg a belvárosban a rövid táv</w:t>
      </w:r>
      <w:r w:rsidR="00645239">
        <w:rPr>
          <w:rFonts w:ascii="Arial" w:hAnsi="Arial" w:cs="Arial"/>
          <w:sz w:val="20"/>
          <w:szCs w:val="20"/>
        </w:rPr>
        <w:t>ú lakáskiadás megszűnése okozott</w:t>
      </w:r>
      <w:r w:rsidRPr="00EB25E7">
        <w:rPr>
          <w:rFonts w:ascii="Arial" w:hAnsi="Arial" w:cs="Arial"/>
          <w:sz w:val="20"/>
          <w:szCs w:val="20"/>
        </w:rPr>
        <w:t xml:space="preserve"> </w:t>
      </w:r>
      <w:r w:rsidR="00645239">
        <w:rPr>
          <w:rFonts w:ascii="Arial" w:hAnsi="Arial" w:cs="Arial"/>
          <w:sz w:val="20"/>
          <w:szCs w:val="20"/>
        </w:rPr>
        <w:t>növekvő</w:t>
      </w:r>
      <w:r w:rsidRPr="00EB25E7">
        <w:rPr>
          <w:rFonts w:ascii="Arial" w:hAnsi="Arial" w:cs="Arial"/>
          <w:sz w:val="20"/>
          <w:szCs w:val="20"/>
        </w:rPr>
        <w:t xml:space="preserve"> kínálatot. Az elmúlt években felfutó forgalom hátterében nemcsak a megnövekedett kereslet, hanem az ugyancsak megnövekedett kínálat áll, amelyet a CSOK és más családtámogatási eszközök miatt új lakásba vágyók értékesítési kedve is erősített. Az elmúlt években a keresletet érdemben növelte az alacsony kamatszint, amely növelte a befektetői érdeklődést és a lakáshitelek iránti keresletet, az internetes szálláshely megosztással elérhető jelentős hozamok, a kedvezőbb munkapiaci helyzet hatására javuló fogyasztói bizalom, valamint a korábbi évek elhalasztott kereslete is. Az érdeklődés azonban továbbra is döntően a fővárosra, az agglomerációra, illetve egyes kiemelt megyeszékhelyekre koncentrálódott, ahol a lakásárak érdemi felfutása is megfigyelhető volt. Noha a lakásárak több ismert tényező miatt is „elszálltak”, azonban az elmúlt négyévnyi meredek emelkedést követően is csak </w:t>
      </w:r>
      <w:r w:rsidRPr="00EB25E7">
        <w:rPr>
          <w:rFonts w:ascii="Arial" w:hAnsi="Arial" w:cs="Arial"/>
          <w:b/>
          <w:sz w:val="20"/>
          <w:szCs w:val="20"/>
        </w:rPr>
        <w:t xml:space="preserve">a </w:t>
      </w:r>
      <w:r w:rsidRPr="00EB25E7">
        <w:rPr>
          <w:rFonts w:ascii="Arial" w:hAnsi="Arial" w:cs="Arial"/>
          <w:b/>
          <w:sz w:val="20"/>
          <w:szCs w:val="20"/>
        </w:rPr>
        <w:lastRenderedPageBreak/>
        <w:t>2008-ban megtört trendhez</w:t>
      </w:r>
      <w:r w:rsidRPr="00EB25E7">
        <w:rPr>
          <w:rFonts w:ascii="Arial" w:hAnsi="Arial" w:cs="Arial"/>
          <w:sz w:val="20"/>
          <w:szCs w:val="20"/>
        </w:rPr>
        <w:t xml:space="preserve">, illetve a </w:t>
      </w:r>
      <w:r w:rsidRPr="00EB25E7">
        <w:rPr>
          <w:rFonts w:ascii="Arial" w:hAnsi="Arial" w:cs="Arial"/>
          <w:b/>
          <w:sz w:val="20"/>
          <w:szCs w:val="20"/>
        </w:rPr>
        <w:t>bérszínvonalhoz</w:t>
      </w:r>
      <w:r w:rsidRPr="00EB25E7">
        <w:rPr>
          <w:rFonts w:ascii="Arial" w:hAnsi="Arial" w:cs="Arial"/>
          <w:sz w:val="20"/>
          <w:szCs w:val="20"/>
        </w:rPr>
        <w:t xml:space="preserve"> igazodtak vissza, így </w:t>
      </w:r>
      <w:r w:rsidR="00645239">
        <w:rPr>
          <w:rFonts w:ascii="Arial" w:hAnsi="Arial" w:cs="Arial"/>
          <w:sz w:val="20"/>
          <w:szCs w:val="20"/>
        </w:rPr>
        <w:t>a hat-hét</w:t>
      </w:r>
      <w:r w:rsidRPr="00EB25E7">
        <w:rPr>
          <w:rFonts w:ascii="Arial" w:hAnsi="Arial" w:cs="Arial"/>
          <w:sz w:val="20"/>
          <w:szCs w:val="20"/>
        </w:rPr>
        <w:t xml:space="preserve"> évvel ezelőtti hullámvölgyhöz viszonyítva tűnik csak meredeknek az áremelkedés. </w:t>
      </w:r>
      <w:r w:rsidRPr="00EB25E7">
        <w:rPr>
          <w:rFonts w:ascii="Arial" w:hAnsi="Arial" w:cs="Arial"/>
          <w:b/>
          <w:sz w:val="20"/>
          <w:szCs w:val="20"/>
        </w:rPr>
        <w:t>Buborékról</w:t>
      </w:r>
      <w:r w:rsidRPr="00EB25E7">
        <w:rPr>
          <w:rFonts w:ascii="Arial" w:hAnsi="Arial" w:cs="Arial"/>
          <w:sz w:val="20"/>
          <w:szCs w:val="20"/>
        </w:rPr>
        <w:t xml:space="preserve"> legfeljebb csak </w:t>
      </w:r>
      <w:r w:rsidRPr="00EB25E7">
        <w:rPr>
          <w:rFonts w:ascii="Arial" w:hAnsi="Arial" w:cs="Arial"/>
          <w:b/>
          <w:sz w:val="20"/>
          <w:szCs w:val="20"/>
        </w:rPr>
        <w:t>Budapest</w:t>
      </w:r>
      <w:r w:rsidRPr="00EB25E7">
        <w:rPr>
          <w:rFonts w:ascii="Arial" w:hAnsi="Arial" w:cs="Arial"/>
          <w:sz w:val="20"/>
          <w:szCs w:val="20"/>
        </w:rPr>
        <w:t xml:space="preserve"> esetén</w:t>
      </w:r>
      <w:r w:rsidRPr="00EB25E7">
        <w:rPr>
          <w:rFonts w:ascii="Arial" w:hAnsi="Arial" w:cs="Arial"/>
          <w:b/>
          <w:sz w:val="20"/>
          <w:szCs w:val="20"/>
        </w:rPr>
        <w:t xml:space="preserve"> beszélhetünk</w:t>
      </w:r>
      <w:r w:rsidRPr="00EB25E7">
        <w:rPr>
          <w:rFonts w:ascii="Arial" w:hAnsi="Arial" w:cs="Arial"/>
          <w:sz w:val="20"/>
          <w:szCs w:val="20"/>
        </w:rPr>
        <w:t xml:space="preserve">, ahol az árak behozták régiós lemaradásukat, a fent említett járvány utáni új lakáspiaci trendeknek megfelelően pedig egyes kerületekben már az árak csökkenése is elindult, ami feltehetően nem lesz tartós.     </w:t>
      </w:r>
    </w:p>
    <w:p w14:paraId="4F86E6E6" w14:textId="77777777" w:rsidR="00EB25E7" w:rsidRPr="00EB25E7" w:rsidRDefault="005C518C" w:rsidP="0039682E">
      <w:pPr>
        <w:pStyle w:val="Alcmtbank"/>
      </w:pPr>
      <w:r w:rsidRPr="003536D7">
        <w:t>Konjunktúra-kilátások</w:t>
      </w:r>
    </w:p>
    <w:tbl>
      <w:tblPr>
        <w:tblW w:w="0" w:type="auto"/>
        <w:tblLook w:val="01E0" w:firstRow="1" w:lastRow="1" w:firstColumn="1" w:lastColumn="1" w:noHBand="0" w:noVBand="0"/>
      </w:tblPr>
      <w:tblGrid>
        <w:gridCol w:w="4639"/>
        <w:gridCol w:w="222"/>
        <w:gridCol w:w="222"/>
        <w:gridCol w:w="4784"/>
      </w:tblGrid>
      <w:tr w:rsidR="00EB25E7" w:rsidRPr="003536D7" w14:paraId="6CF7EB69" w14:textId="77777777" w:rsidTr="00EB25E7">
        <w:tc>
          <w:tcPr>
            <w:tcW w:w="4598" w:type="dxa"/>
          </w:tcPr>
          <w:p w14:paraId="0554D4DE" w14:textId="77777777" w:rsidR="00EB25E7" w:rsidRPr="00EB25E7" w:rsidRDefault="00222D2D" w:rsidP="00EB25E7">
            <w:pPr>
              <w:keepNext/>
              <w:spacing w:after="120"/>
              <w:jc w:val="center"/>
              <w:rPr>
                <w:rFonts w:ascii="Arial" w:hAnsi="Arial" w:cs="Arial"/>
                <w:b/>
                <w:color w:val="FF8500"/>
              </w:rPr>
            </w:pPr>
            <w:r>
              <w:rPr>
                <w:rFonts w:ascii="Arial" w:hAnsi="Arial" w:cs="Arial"/>
                <w:b/>
                <w:color w:val="FF8500"/>
              </w:rPr>
              <w:t>39</w:t>
            </w:r>
            <w:r w:rsidR="00EB25E7" w:rsidRPr="00EB25E7">
              <w:rPr>
                <w:rFonts w:ascii="Arial" w:hAnsi="Arial" w:cs="Arial"/>
                <w:b/>
                <w:color w:val="FF8500"/>
              </w:rPr>
              <w:t xml:space="preserve">. ábra: </w:t>
            </w:r>
            <w:r w:rsidR="00EB25E7" w:rsidRPr="00316464">
              <w:rPr>
                <w:rFonts w:ascii="Arial" w:hAnsi="Arial" w:cs="Arial"/>
                <w:bCs/>
                <w:color w:val="FF8500"/>
              </w:rPr>
              <w:t>Euró-övezeti konjunktúramutatók (egyedi módszertanú indexértékek)</w:t>
            </w:r>
          </w:p>
        </w:tc>
        <w:tc>
          <w:tcPr>
            <w:tcW w:w="222" w:type="dxa"/>
          </w:tcPr>
          <w:p w14:paraId="2276EB91" w14:textId="77777777" w:rsidR="00EB25E7" w:rsidRPr="00EB25E7" w:rsidRDefault="00EB25E7" w:rsidP="00EB25E7">
            <w:pPr>
              <w:keepNext/>
              <w:jc w:val="center"/>
              <w:rPr>
                <w:rFonts w:ascii="Arial" w:hAnsi="Arial" w:cs="Arial"/>
                <w:b/>
                <w:color w:val="FF8500"/>
              </w:rPr>
            </w:pPr>
          </w:p>
        </w:tc>
        <w:tc>
          <w:tcPr>
            <w:tcW w:w="222" w:type="dxa"/>
          </w:tcPr>
          <w:p w14:paraId="4737E5E1" w14:textId="77777777" w:rsidR="00EB25E7" w:rsidRPr="00EB25E7" w:rsidRDefault="00EB25E7" w:rsidP="00EB25E7">
            <w:pPr>
              <w:keepNext/>
              <w:jc w:val="center"/>
              <w:rPr>
                <w:rFonts w:ascii="Arial" w:hAnsi="Arial" w:cs="Arial"/>
                <w:b/>
                <w:color w:val="FF8500"/>
              </w:rPr>
            </w:pPr>
          </w:p>
        </w:tc>
        <w:tc>
          <w:tcPr>
            <w:tcW w:w="4599" w:type="dxa"/>
          </w:tcPr>
          <w:p w14:paraId="467AB82A" w14:textId="77777777" w:rsidR="00EB25E7" w:rsidRPr="00EB25E7" w:rsidRDefault="00222D2D" w:rsidP="00EB25E7">
            <w:pPr>
              <w:keepNext/>
              <w:jc w:val="center"/>
              <w:rPr>
                <w:rFonts w:ascii="Arial" w:hAnsi="Arial" w:cs="Arial"/>
                <w:b/>
                <w:color w:val="FF8500"/>
              </w:rPr>
            </w:pPr>
            <w:r>
              <w:rPr>
                <w:rFonts w:ascii="Arial" w:hAnsi="Arial" w:cs="Arial"/>
                <w:b/>
                <w:color w:val="FF8500"/>
              </w:rPr>
              <w:t>40</w:t>
            </w:r>
            <w:r w:rsidR="00EB25E7" w:rsidRPr="00EB25E7">
              <w:rPr>
                <w:rFonts w:ascii="Arial" w:hAnsi="Arial" w:cs="Arial"/>
                <w:b/>
                <w:color w:val="FF8500"/>
              </w:rPr>
              <w:t xml:space="preserve">. ábra: </w:t>
            </w:r>
            <w:r w:rsidR="00EB25E7" w:rsidRPr="00316464">
              <w:rPr>
                <w:rFonts w:ascii="Arial" w:hAnsi="Arial" w:cs="Arial"/>
                <w:bCs/>
                <w:color w:val="FF8500"/>
              </w:rPr>
              <w:t xml:space="preserve">A német </w:t>
            </w:r>
            <w:proofErr w:type="spellStart"/>
            <w:r w:rsidR="00EB25E7" w:rsidRPr="00316464">
              <w:rPr>
                <w:rFonts w:ascii="Arial" w:hAnsi="Arial" w:cs="Arial"/>
                <w:bCs/>
                <w:color w:val="FF8500"/>
              </w:rPr>
              <w:t>Ifo</w:t>
            </w:r>
            <w:proofErr w:type="spellEnd"/>
            <w:r w:rsidR="00EB25E7" w:rsidRPr="00316464">
              <w:rPr>
                <w:rFonts w:ascii="Arial" w:hAnsi="Arial" w:cs="Arial"/>
                <w:bCs/>
                <w:color w:val="FF8500"/>
              </w:rPr>
              <w:t xml:space="preserve"> és ZEW index</w:t>
            </w:r>
            <w:r w:rsidR="00EB25E7" w:rsidRPr="00316464">
              <w:rPr>
                <w:rFonts w:ascii="Arial" w:hAnsi="Arial" w:cs="Arial"/>
                <w:bCs/>
                <w:color w:val="FF8500"/>
              </w:rPr>
              <w:br/>
              <w:t>(egyedi módszertanú indexértékek)</w:t>
            </w:r>
          </w:p>
        </w:tc>
      </w:tr>
      <w:tr w:rsidR="00EB25E7" w:rsidRPr="003536D7" w14:paraId="7366FDAC" w14:textId="77777777" w:rsidTr="00EB25E7">
        <w:tc>
          <w:tcPr>
            <w:tcW w:w="4598" w:type="dxa"/>
          </w:tcPr>
          <w:p w14:paraId="7E0F1845" w14:textId="77777777" w:rsidR="00EB25E7" w:rsidRPr="003536D7" w:rsidRDefault="00BC5AA1" w:rsidP="005C518C">
            <w:pPr>
              <w:keepNext/>
              <w:spacing w:after="120"/>
              <w:jc w:val="both"/>
              <w:rPr>
                <w:rFonts w:ascii="Arial" w:hAnsi="Arial" w:cs="Arial"/>
              </w:rPr>
            </w:pPr>
            <w:r w:rsidRPr="00BC5AA1">
              <w:rPr>
                <w:rFonts w:ascii="Arial" w:hAnsi="Arial" w:cs="Arial"/>
                <w:noProof/>
                <w:lang w:eastAsia="hu-HU"/>
              </w:rPr>
              <w:drawing>
                <wp:inline distT="0" distB="0" distL="0" distR="0" wp14:anchorId="7D87878C" wp14:editId="53680ED4">
                  <wp:extent cx="2921000" cy="19050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1000" cy="1905000"/>
                          </a:xfrm>
                          <a:prstGeom prst="rect">
                            <a:avLst/>
                          </a:prstGeom>
                          <a:noFill/>
                          <a:ln>
                            <a:noFill/>
                          </a:ln>
                        </pic:spPr>
                      </pic:pic>
                    </a:graphicData>
                  </a:graphic>
                </wp:inline>
              </w:drawing>
            </w:r>
          </w:p>
        </w:tc>
        <w:tc>
          <w:tcPr>
            <w:tcW w:w="222" w:type="dxa"/>
          </w:tcPr>
          <w:p w14:paraId="24231C75" w14:textId="77777777" w:rsidR="00EB25E7" w:rsidRDefault="00EB25E7" w:rsidP="005C518C">
            <w:pPr>
              <w:keepNext/>
              <w:spacing w:after="120"/>
              <w:jc w:val="both"/>
              <w:rPr>
                <w:rFonts w:ascii="Arial" w:hAnsi="Arial" w:cs="Arial"/>
                <w:noProof/>
                <w:lang w:eastAsia="hu-HU"/>
              </w:rPr>
            </w:pPr>
          </w:p>
        </w:tc>
        <w:tc>
          <w:tcPr>
            <w:tcW w:w="222" w:type="dxa"/>
          </w:tcPr>
          <w:p w14:paraId="7207850D" w14:textId="77777777" w:rsidR="00EB25E7" w:rsidRDefault="00EB25E7" w:rsidP="005C518C">
            <w:pPr>
              <w:keepNext/>
              <w:spacing w:after="120"/>
              <w:jc w:val="both"/>
              <w:rPr>
                <w:rFonts w:ascii="Arial" w:hAnsi="Arial" w:cs="Arial"/>
                <w:noProof/>
                <w:lang w:eastAsia="hu-HU"/>
              </w:rPr>
            </w:pPr>
          </w:p>
        </w:tc>
        <w:tc>
          <w:tcPr>
            <w:tcW w:w="4599" w:type="dxa"/>
          </w:tcPr>
          <w:p w14:paraId="258827AE" w14:textId="77777777" w:rsidR="00EB25E7" w:rsidRPr="003536D7" w:rsidRDefault="00BC5AA1" w:rsidP="005C518C">
            <w:pPr>
              <w:keepNext/>
              <w:spacing w:after="120"/>
              <w:jc w:val="both"/>
              <w:rPr>
                <w:rFonts w:ascii="Arial" w:hAnsi="Arial" w:cs="Arial"/>
              </w:rPr>
            </w:pPr>
            <w:r w:rsidRPr="00BC5AA1">
              <w:rPr>
                <w:rFonts w:ascii="Arial" w:hAnsi="Arial" w:cs="Arial"/>
                <w:noProof/>
                <w:lang w:eastAsia="hu-HU"/>
              </w:rPr>
              <w:drawing>
                <wp:inline distT="0" distB="0" distL="0" distR="0" wp14:anchorId="5A0DB65A" wp14:editId="5B1984A5">
                  <wp:extent cx="3016250" cy="189230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16250" cy="1892300"/>
                          </a:xfrm>
                          <a:prstGeom prst="rect">
                            <a:avLst/>
                          </a:prstGeom>
                          <a:noFill/>
                          <a:ln>
                            <a:noFill/>
                          </a:ln>
                        </pic:spPr>
                      </pic:pic>
                    </a:graphicData>
                  </a:graphic>
                </wp:inline>
              </w:drawing>
            </w:r>
          </w:p>
        </w:tc>
      </w:tr>
      <w:tr w:rsidR="00EB25E7" w:rsidRPr="003536D7" w14:paraId="09496662" w14:textId="77777777" w:rsidTr="00EB25E7">
        <w:tc>
          <w:tcPr>
            <w:tcW w:w="4598" w:type="dxa"/>
          </w:tcPr>
          <w:p w14:paraId="511EA9EB" w14:textId="77777777" w:rsidR="00EB25E7" w:rsidRPr="003536D7" w:rsidRDefault="00EB25E7" w:rsidP="00316464">
            <w:pPr>
              <w:pStyle w:val="Kpalrstbank"/>
            </w:pPr>
            <w:r w:rsidRPr="003536D7">
              <w:t xml:space="preserve">Forrás: Reuters, </w:t>
            </w:r>
            <w:proofErr w:type="spellStart"/>
            <w:r w:rsidRPr="003536D7">
              <w:t>Bloomberg</w:t>
            </w:r>
            <w:proofErr w:type="spellEnd"/>
          </w:p>
        </w:tc>
        <w:tc>
          <w:tcPr>
            <w:tcW w:w="222" w:type="dxa"/>
          </w:tcPr>
          <w:p w14:paraId="20696EB8" w14:textId="77777777" w:rsidR="00EB25E7" w:rsidRPr="003536D7" w:rsidRDefault="00EB25E7" w:rsidP="00316464">
            <w:pPr>
              <w:pStyle w:val="Kpalrstbank"/>
            </w:pPr>
          </w:p>
        </w:tc>
        <w:tc>
          <w:tcPr>
            <w:tcW w:w="222" w:type="dxa"/>
          </w:tcPr>
          <w:p w14:paraId="07C9543A" w14:textId="77777777" w:rsidR="00EB25E7" w:rsidRPr="003536D7" w:rsidRDefault="00EB25E7" w:rsidP="00316464">
            <w:pPr>
              <w:pStyle w:val="Kpalrstbank"/>
            </w:pPr>
          </w:p>
        </w:tc>
        <w:tc>
          <w:tcPr>
            <w:tcW w:w="4599" w:type="dxa"/>
          </w:tcPr>
          <w:p w14:paraId="51B0DE35" w14:textId="77777777" w:rsidR="00EB25E7" w:rsidRPr="003536D7" w:rsidRDefault="00EB25E7" w:rsidP="00316464">
            <w:pPr>
              <w:pStyle w:val="Kpalrstbank"/>
            </w:pPr>
            <w:r w:rsidRPr="003536D7">
              <w:t xml:space="preserve">Forrás: Reuters, </w:t>
            </w:r>
            <w:proofErr w:type="spellStart"/>
            <w:r w:rsidRPr="003536D7">
              <w:t>Bloomberg</w:t>
            </w:r>
            <w:proofErr w:type="spellEnd"/>
          </w:p>
        </w:tc>
      </w:tr>
    </w:tbl>
    <w:p w14:paraId="5FE969E2" w14:textId="77777777" w:rsidR="005C518C" w:rsidRPr="00EB25E7" w:rsidRDefault="00EF0075" w:rsidP="00EB25E7">
      <w:pPr>
        <w:spacing w:after="120" w:line="360" w:lineRule="auto"/>
        <w:jc w:val="both"/>
        <w:rPr>
          <w:rFonts w:ascii="Arial" w:hAnsi="Arial" w:cs="Arial"/>
          <w:sz w:val="20"/>
          <w:szCs w:val="20"/>
        </w:rPr>
      </w:pPr>
      <w:r>
        <w:rPr>
          <w:rFonts w:ascii="Arial" w:hAnsi="Arial" w:cs="Arial"/>
          <w:sz w:val="20"/>
          <w:szCs w:val="20"/>
        </w:rPr>
        <w:t xml:space="preserve">Az oltási folyamat gyorsulásával és a járvány lecsengésével </w:t>
      </w:r>
      <w:proofErr w:type="spellStart"/>
      <w:r>
        <w:rPr>
          <w:rFonts w:ascii="Arial" w:hAnsi="Arial" w:cs="Arial"/>
          <w:sz w:val="20"/>
          <w:szCs w:val="20"/>
        </w:rPr>
        <w:t>újranyitó</w:t>
      </w:r>
      <w:proofErr w:type="spellEnd"/>
      <w:r>
        <w:rPr>
          <w:rFonts w:ascii="Arial" w:hAnsi="Arial" w:cs="Arial"/>
          <w:sz w:val="20"/>
          <w:szCs w:val="20"/>
        </w:rPr>
        <w:t xml:space="preserve"> gazdaságok hatására </w:t>
      </w:r>
      <w:r w:rsidR="00222D2D">
        <w:rPr>
          <w:rFonts w:ascii="Arial" w:hAnsi="Arial" w:cs="Arial"/>
          <w:sz w:val="20"/>
          <w:szCs w:val="20"/>
        </w:rPr>
        <w:t>a nyári hónapokban</w:t>
      </w:r>
      <w:r>
        <w:rPr>
          <w:rFonts w:ascii="Arial" w:hAnsi="Arial" w:cs="Arial"/>
          <w:sz w:val="20"/>
          <w:szCs w:val="20"/>
        </w:rPr>
        <w:t xml:space="preserve"> meredeken felpattantak a bizalmi mutatók</w:t>
      </w:r>
      <w:r w:rsidR="005C518C" w:rsidRPr="00EB25E7">
        <w:rPr>
          <w:rFonts w:ascii="Arial" w:hAnsi="Arial" w:cs="Arial"/>
          <w:sz w:val="20"/>
          <w:szCs w:val="20"/>
        </w:rPr>
        <w:t xml:space="preserve">. </w:t>
      </w:r>
      <w:r>
        <w:rPr>
          <w:rFonts w:ascii="Arial" w:hAnsi="Arial" w:cs="Arial"/>
          <w:sz w:val="20"/>
          <w:szCs w:val="20"/>
        </w:rPr>
        <w:t xml:space="preserve">A világkereskedelem helyreállásával a feldolgozóipari indexek már korábban elérték történelmi csúcsaikat, </w:t>
      </w:r>
      <w:r w:rsidR="00222D2D">
        <w:rPr>
          <w:rFonts w:ascii="Arial" w:hAnsi="Arial" w:cs="Arial"/>
          <w:sz w:val="20"/>
          <w:szCs w:val="20"/>
        </w:rPr>
        <w:t>azonban innen lefordultak</w:t>
      </w:r>
      <w:r>
        <w:rPr>
          <w:rFonts w:ascii="Arial" w:hAnsi="Arial" w:cs="Arial"/>
          <w:sz w:val="20"/>
          <w:szCs w:val="20"/>
        </w:rPr>
        <w:t xml:space="preserve"> a beszállítói láncok és a szállítási kapacitások</w:t>
      </w:r>
      <w:r w:rsidR="00222D2D">
        <w:rPr>
          <w:rFonts w:ascii="Arial" w:hAnsi="Arial" w:cs="Arial"/>
          <w:sz w:val="20"/>
          <w:szCs w:val="20"/>
        </w:rPr>
        <w:t xml:space="preserve"> akadozása miatt</w:t>
      </w:r>
      <w:r>
        <w:rPr>
          <w:rFonts w:ascii="Arial" w:hAnsi="Arial" w:cs="Arial"/>
          <w:sz w:val="20"/>
          <w:szCs w:val="20"/>
        </w:rPr>
        <w:t xml:space="preserve">. </w:t>
      </w:r>
      <w:r w:rsidR="00EA65A7">
        <w:rPr>
          <w:rFonts w:ascii="Arial" w:hAnsi="Arial" w:cs="Arial"/>
          <w:sz w:val="20"/>
          <w:szCs w:val="20"/>
        </w:rPr>
        <w:t>A nyersanyagárak robbanása és a szállítási költségek elszállása miatt az áremelési szándék is soha nem látott magasságba ugrott. A korlátozások fokozatos enyhítése a szolgáltatói ágazatok bizalmi mutatóinak adott éles lendületet</w:t>
      </w:r>
      <w:r w:rsidR="00222D2D">
        <w:rPr>
          <w:rFonts w:ascii="Arial" w:hAnsi="Arial" w:cs="Arial"/>
          <w:sz w:val="20"/>
          <w:szCs w:val="20"/>
        </w:rPr>
        <w:t>, majd a delta variáns által okozott negyedik hullám hatására kissé visszaestek</w:t>
      </w:r>
      <w:r w:rsidR="00EA65A7">
        <w:rPr>
          <w:rFonts w:ascii="Arial" w:hAnsi="Arial" w:cs="Arial"/>
          <w:sz w:val="20"/>
          <w:szCs w:val="20"/>
        </w:rPr>
        <w:t xml:space="preserve">. A konjunktúra indexek </w:t>
      </w:r>
      <w:r w:rsidR="00222D2D">
        <w:rPr>
          <w:rFonts w:ascii="Arial" w:hAnsi="Arial" w:cs="Arial"/>
          <w:sz w:val="20"/>
          <w:szCs w:val="20"/>
        </w:rPr>
        <w:t>azonban továbbra is</w:t>
      </w:r>
      <w:r w:rsidR="00EA65A7">
        <w:rPr>
          <w:rFonts w:ascii="Arial" w:hAnsi="Arial" w:cs="Arial"/>
          <w:sz w:val="20"/>
          <w:szCs w:val="20"/>
        </w:rPr>
        <w:t xml:space="preserve"> </w:t>
      </w:r>
      <w:r w:rsidR="00222D2D">
        <w:rPr>
          <w:rFonts w:ascii="Arial" w:hAnsi="Arial" w:cs="Arial"/>
          <w:sz w:val="20"/>
          <w:szCs w:val="20"/>
        </w:rPr>
        <w:t>erőteljes</w:t>
      </w:r>
      <w:r w:rsidR="00EA65A7">
        <w:rPr>
          <w:rFonts w:ascii="Arial" w:hAnsi="Arial" w:cs="Arial"/>
          <w:sz w:val="20"/>
          <w:szCs w:val="20"/>
        </w:rPr>
        <w:t xml:space="preserve"> gazdasági növekedést jeleznek előre a </w:t>
      </w:r>
      <w:r w:rsidR="00222D2D">
        <w:rPr>
          <w:rFonts w:ascii="Arial" w:hAnsi="Arial" w:cs="Arial"/>
          <w:sz w:val="20"/>
          <w:szCs w:val="20"/>
        </w:rPr>
        <w:t>harmadik negyedévre</w:t>
      </w:r>
      <w:r w:rsidR="00EA65A7">
        <w:rPr>
          <w:rFonts w:ascii="Arial" w:hAnsi="Arial" w:cs="Arial"/>
          <w:sz w:val="20"/>
          <w:szCs w:val="20"/>
        </w:rPr>
        <w:t xml:space="preserve">. </w:t>
      </w:r>
      <w:r w:rsidR="005C518C" w:rsidRPr="00EB25E7">
        <w:rPr>
          <w:rFonts w:ascii="Arial" w:hAnsi="Arial" w:cs="Arial"/>
          <w:sz w:val="20"/>
          <w:szCs w:val="20"/>
        </w:rPr>
        <w:t xml:space="preserve">   </w:t>
      </w:r>
    </w:p>
    <w:tbl>
      <w:tblPr>
        <w:tblW w:w="9641" w:type="dxa"/>
        <w:tblLook w:val="01E0" w:firstRow="1" w:lastRow="1" w:firstColumn="1" w:lastColumn="1" w:noHBand="0" w:noVBand="0"/>
      </w:tblPr>
      <w:tblGrid>
        <w:gridCol w:w="4702"/>
        <w:gridCol w:w="222"/>
        <w:gridCol w:w="222"/>
        <w:gridCol w:w="4721"/>
      </w:tblGrid>
      <w:tr w:rsidR="00EB25E7" w:rsidRPr="003536D7" w14:paraId="60C33D93" w14:textId="77777777" w:rsidTr="00EB25E7">
        <w:tc>
          <w:tcPr>
            <w:tcW w:w="4596" w:type="dxa"/>
            <w:shd w:val="clear" w:color="auto" w:fill="auto"/>
          </w:tcPr>
          <w:p w14:paraId="188FEA5B" w14:textId="77777777" w:rsidR="00EB25E7" w:rsidRPr="00EB25E7" w:rsidRDefault="00222D2D" w:rsidP="002105EE">
            <w:pPr>
              <w:keepNext/>
              <w:spacing w:after="0"/>
              <w:jc w:val="center"/>
              <w:rPr>
                <w:rFonts w:ascii="Arial" w:hAnsi="Arial" w:cs="Arial"/>
                <w:color w:val="FF8500"/>
              </w:rPr>
            </w:pPr>
            <w:r>
              <w:rPr>
                <w:rFonts w:ascii="Arial" w:hAnsi="Arial" w:cs="Arial"/>
                <w:b/>
                <w:color w:val="FF8500"/>
              </w:rPr>
              <w:lastRenderedPageBreak/>
              <w:t>41</w:t>
            </w:r>
            <w:r w:rsidR="00EB25E7" w:rsidRPr="00EB25E7">
              <w:rPr>
                <w:rFonts w:ascii="Arial" w:hAnsi="Arial" w:cs="Arial"/>
                <w:b/>
                <w:color w:val="FF8500"/>
              </w:rPr>
              <w:t xml:space="preserve">. ábra: </w:t>
            </w:r>
            <w:r w:rsidR="00EB25E7" w:rsidRPr="00316464">
              <w:rPr>
                <w:rFonts w:ascii="Arial" w:hAnsi="Arial" w:cs="Arial"/>
                <w:bCs/>
                <w:color w:val="FF8500"/>
              </w:rPr>
              <w:t xml:space="preserve">A német </w:t>
            </w:r>
            <w:proofErr w:type="spellStart"/>
            <w:r w:rsidR="00EB25E7" w:rsidRPr="00316464">
              <w:rPr>
                <w:rFonts w:ascii="Arial" w:hAnsi="Arial" w:cs="Arial"/>
                <w:bCs/>
                <w:color w:val="FF8500"/>
              </w:rPr>
              <w:t>Ifo</w:t>
            </w:r>
            <w:proofErr w:type="spellEnd"/>
            <w:r w:rsidR="00EB25E7" w:rsidRPr="00316464">
              <w:rPr>
                <w:rFonts w:ascii="Arial" w:hAnsi="Arial" w:cs="Arial"/>
                <w:bCs/>
                <w:color w:val="FF8500"/>
              </w:rPr>
              <w:t xml:space="preserve"> és BMI indexek</w:t>
            </w:r>
          </w:p>
        </w:tc>
        <w:tc>
          <w:tcPr>
            <w:tcW w:w="222" w:type="dxa"/>
          </w:tcPr>
          <w:p w14:paraId="641E6412" w14:textId="77777777" w:rsidR="00EB25E7" w:rsidRPr="00EB25E7" w:rsidRDefault="00EB25E7" w:rsidP="005C518C">
            <w:pPr>
              <w:keepNext/>
              <w:jc w:val="center"/>
              <w:rPr>
                <w:rFonts w:ascii="Arial" w:hAnsi="Arial" w:cs="Arial"/>
                <w:b/>
                <w:color w:val="FF8500"/>
              </w:rPr>
            </w:pPr>
          </w:p>
        </w:tc>
        <w:tc>
          <w:tcPr>
            <w:tcW w:w="222" w:type="dxa"/>
          </w:tcPr>
          <w:p w14:paraId="7CF1FD86" w14:textId="77777777" w:rsidR="00EB25E7" w:rsidRPr="00EB25E7" w:rsidRDefault="00EB25E7" w:rsidP="005C518C">
            <w:pPr>
              <w:keepNext/>
              <w:jc w:val="center"/>
              <w:rPr>
                <w:rFonts w:ascii="Arial" w:hAnsi="Arial" w:cs="Arial"/>
                <w:b/>
                <w:color w:val="FF8500"/>
              </w:rPr>
            </w:pPr>
          </w:p>
        </w:tc>
        <w:tc>
          <w:tcPr>
            <w:tcW w:w="4601" w:type="dxa"/>
            <w:shd w:val="clear" w:color="auto" w:fill="auto"/>
          </w:tcPr>
          <w:p w14:paraId="6A97E89A" w14:textId="77777777" w:rsidR="00EB25E7" w:rsidRPr="00EB25E7" w:rsidRDefault="00222D2D" w:rsidP="002105EE">
            <w:pPr>
              <w:keepNext/>
              <w:spacing w:after="0"/>
              <w:jc w:val="center"/>
              <w:rPr>
                <w:rFonts w:ascii="Arial" w:hAnsi="Arial" w:cs="Arial"/>
                <w:b/>
                <w:color w:val="FF8500"/>
              </w:rPr>
            </w:pPr>
            <w:r>
              <w:rPr>
                <w:rFonts w:ascii="Arial" w:hAnsi="Arial" w:cs="Arial"/>
                <w:b/>
                <w:color w:val="FF8500"/>
              </w:rPr>
              <w:t>42</w:t>
            </w:r>
            <w:r w:rsidR="00EB25E7" w:rsidRPr="00EB25E7">
              <w:rPr>
                <w:rFonts w:ascii="Arial" w:hAnsi="Arial" w:cs="Arial"/>
                <w:b/>
                <w:color w:val="FF8500"/>
              </w:rPr>
              <w:t xml:space="preserve">. ábra: </w:t>
            </w:r>
            <w:r w:rsidR="00EB25E7" w:rsidRPr="00316464">
              <w:rPr>
                <w:rFonts w:ascii="Arial" w:hAnsi="Arial" w:cs="Arial"/>
                <w:bCs/>
                <w:color w:val="FF8500"/>
              </w:rPr>
              <w:t>Régiós BMI-k</w:t>
            </w:r>
            <w:r w:rsidR="00EB25E7" w:rsidRPr="00EB25E7">
              <w:rPr>
                <w:rFonts w:ascii="Arial" w:hAnsi="Arial" w:cs="Arial"/>
                <w:b/>
                <w:color w:val="FF8500"/>
              </w:rPr>
              <w:t xml:space="preserve"> </w:t>
            </w:r>
          </w:p>
        </w:tc>
      </w:tr>
      <w:tr w:rsidR="00EB25E7" w:rsidRPr="003536D7" w14:paraId="4EBD8A5B" w14:textId="77777777" w:rsidTr="00EB25E7">
        <w:tc>
          <w:tcPr>
            <w:tcW w:w="4596" w:type="dxa"/>
            <w:shd w:val="clear" w:color="auto" w:fill="auto"/>
          </w:tcPr>
          <w:p w14:paraId="3D1E243E" w14:textId="77777777" w:rsidR="00EB25E7" w:rsidRPr="003536D7" w:rsidRDefault="00BC5AA1" w:rsidP="002105EE">
            <w:pPr>
              <w:spacing w:after="0"/>
              <w:jc w:val="both"/>
              <w:rPr>
                <w:rFonts w:ascii="Arial" w:hAnsi="Arial" w:cs="Arial"/>
              </w:rPr>
            </w:pPr>
            <w:r w:rsidRPr="00BC5AA1">
              <w:rPr>
                <w:rFonts w:ascii="Arial" w:hAnsi="Arial" w:cs="Arial"/>
                <w:noProof/>
                <w:lang w:eastAsia="hu-HU"/>
              </w:rPr>
              <w:drawing>
                <wp:inline distT="0" distB="0" distL="0" distR="0" wp14:anchorId="7D0281A2" wp14:editId="64341FEE">
                  <wp:extent cx="3016250" cy="1892300"/>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6250" cy="1892300"/>
                          </a:xfrm>
                          <a:prstGeom prst="rect">
                            <a:avLst/>
                          </a:prstGeom>
                          <a:noFill/>
                          <a:ln>
                            <a:noFill/>
                          </a:ln>
                        </pic:spPr>
                      </pic:pic>
                    </a:graphicData>
                  </a:graphic>
                </wp:inline>
              </w:drawing>
            </w:r>
          </w:p>
        </w:tc>
        <w:tc>
          <w:tcPr>
            <w:tcW w:w="222" w:type="dxa"/>
          </w:tcPr>
          <w:p w14:paraId="48613152" w14:textId="77777777" w:rsidR="00EB25E7" w:rsidRDefault="00EB25E7" w:rsidP="005C518C">
            <w:pPr>
              <w:spacing w:after="120"/>
              <w:jc w:val="center"/>
              <w:rPr>
                <w:rFonts w:ascii="Arial" w:hAnsi="Arial" w:cs="Arial"/>
                <w:noProof/>
                <w:lang w:eastAsia="hu-HU"/>
              </w:rPr>
            </w:pPr>
          </w:p>
        </w:tc>
        <w:tc>
          <w:tcPr>
            <w:tcW w:w="222" w:type="dxa"/>
          </w:tcPr>
          <w:p w14:paraId="53ADE59D" w14:textId="77777777" w:rsidR="00EB25E7" w:rsidRDefault="00EB25E7" w:rsidP="005C518C">
            <w:pPr>
              <w:spacing w:after="120"/>
              <w:jc w:val="center"/>
              <w:rPr>
                <w:rFonts w:ascii="Arial" w:hAnsi="Arial" w:cs="Arial"/>
                <w:noProof/>
                <w:lang w:eastAsia="hu-HU"/>
              </w:rPr>
            </w:pPr>
          </w:p>
        </w:tc>
        <w:tc>
          <w:tcPr>
            <w:tcW w:w="4601" w:type="dxa"/>
            <w:shd w:val="clear" w:color="auto" w:fill="auto"/>
          </w:tcPr>
          <w:p w14:paraId="514E952C" w14:textId="77777777" w:rsidR="00EB25E7" w:rsidRPr="003536D7" w:rsidRDefault="00BC5AA1" w:rsidP="002105EE">
            <w:pPr>
              <w:spacing w:after="0"/>
              <w:jc w:val="center"/>
              <w:rPr>
                <w:rFonts w:ascii="Arial" w:hAnsi="Arial" w:cs="Arial"/>
              </w:rPr>
            </w:pPr>
            <w:r w:rsidRPr="00BC5AA1">
              <w:rPr>
                <w:rFonts w:ascii="Arial" w:hAnsi="Arial" w:cs="Arial"/>
                <w:noProof/>
                <w:lang w:eastAsia="hu-HU"/>
              </w:rPr>
              <w:drawing>
                <wp:inline distT="0" distB="0" distL="0" distR="0" wp14:anchorId="3EB9E5DF" wp14:editId="7CB471E0">
                  <wp:extent cx="3028950" cy="191135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8950" cy="1911350"/>
                          </a:xfrm>
                          <a:prstGeom prst="rect">
                            <a:avLst/>
                          </a:prstGeom>
                          <a:noFill/>
                          <a:ln>
                            <a:noFill/>
                          </a:ln>
                        </pic:spPr>
                      </pic:pic>
                    </a:graphicData>
                  </a:graphic>
                </wp:inline>
              </w:drawing>
            </w:r>
          </w:p>
        </w:tc>
      </w:tr>
      <w:tr w:rsidR="00EB25E7" w:rsidRPr="003536D7" w14:paraId="63F64E11" w14:textId="77777777" w:rsidTr="00EB25E7">
        <w:tc>
          <w:tcPr>
            <w:tcW w:w="4596" w:type="dxa"/>
            <w:shd w:val="clear" w:color="auto" w:fill="auto"/>
          </w:tcPr>
          <w:p w14:paraId="5871A8F0" w14:textId="77777777" w:rsidR="00EB25E7" w:rsidRPr="003536D7" w:rsidRDefault="00EB25E7" w:rsidP="00316464">
            <w:pPr>
              <w:pStyle w:val="Kpalrstbank"/>
            </w:pPr>
            <w:r w:rsidRPr="003536D7">
              <w:t>Forrás: Reuters</w:t>
            </w:r>
          </w:p>
        </w:tc>
        <w:tc>
          <w:tcPr>
            <w:tcW w:w="222" w:type="dxa"/>
          </w:tcPr>
          <w:p w14:paraId="1B6ADDE6" w14:textId="77777777" w:rsidR="00EB25E7" w:rsidRPr="003536D7" w:rsidRDefault="00EB25E7" w:rsidP="00316464">
            <w:pPr>
              <w:pStyle w:val="Kpalrstbank"/>
            </w:pPr>
          </w:p>
        </w:tc>
        <w:tc>
          <w:tcPr>
            <w:tcW w:w="222" w:type="dxa"/>
          </w:tcPr>
          <w:p w14:paraId="6DCF8ACE" w14:textId="77777777" w:rsidR="00EB25E7" w:rsidRPr="003536D7" w:rsidRDefault="00EB25E7" w:rsidP="00316464">
            <w:pPr>
              <w:pStyle w:val="Kpalrstbank"/>
            </w:pPr>
          </w:p>
        </w:tc>
        <w:tc>
          <w:tcPr>
            <w:tcW w:w="4601" w:type="dxa"/>
            <w:shd w:val="clear" w:color="auto" w:fill="auto"/>
          </w:tcPr>
          <w:p w14:paraId="4E0D0143" w14:textId="77777777" w:rsidR="00EB25E7" w:rsidRPr="003536D7" w:rsidRDefault="00EB25E7" w:rsidP="00316464">
            <w:pPr>
              <w:pStyle w:val="Kpalrstbank"/>
            </w:pPr>
            <w:r w:rsidRPr="003536D7">
              <w:t>Forrás: Reuters</w:t>
            </w:r>
          </w:p>
        </w:tc>
      </w:tr>
    </w:tbl>
    <w:p w14:paraId="7B1DBD23" w14:textId="77777777" w:rsidR="00EB25E7" w:rsidRPr="00EB25E7" w:rsidRDefault="005C518C" w:rsidP="00EB25E7">
      <w:pPr>
        <w:spacing w:after="120" w:line="360" w:lineRule="auto"/>
        <w:jc w:val="both"/>
        <w:rPr>
          <w:rFonts w:ascii="Arial" w:hAnsi="Arial" w:cs="Arial"/>
          <w:sz w:val="20"/>
          <w:szCs w:val="20"/>
        </w:rPr>
      </w:pPr>
      <w:r w:rsidRPr="00EB25E7">
        <w:rPr>
          <w:rFonts w:ascii="Arial" w:hAnsi="Arial" w:cs="Arial"/>
          <w:sz w:val="20"/>
          <w:szCs w:val="20"/>
        </w:rPr>
        <w:t>A</w:t>
      </w:r>
      <w:r w:rsidR="001F066E">
        <w:rPr>
          <w:rFonts w:ascii="Arial" w:hAnsi="Arial" w:cs="Arial"/>
          <w:sz w:val="20"/>
          <w:szCs w:val="20"/>
        </w:rPr>
        <w:t xml:space="preserve"> gyors hazai oltásoknak és gazdasági nyitásnak köszönhetően a</w:t>
      </w:r>
      <w:r w:rsidRPr="00EB25E7">
        <w:rPr>
          <w:rFonts w:ascii="Arial" w:hAnsi="Arial" w:cs="Arial"/>
          <w:sz w:val="20"/>
          <w:szCs w:val="20"/>
        </w:rPr>
        <w:t xml:space="preserve"> hazai bizalmi indexek </w:t>
      </w:r>
      <w:r w:rsidR="001F066E">
        <w:rPr>
          <w:rFonts w:ascii="Arial" w:hAnsi="Arial" w:cs="Arial"/>
          <w:sz w:val="20"/>
          <w:szCs w:val="20"/>
        </w:rPr>
        <w:t>többsége meredek felpattanással már elérte a járvány előtti szintet</w:t>
      </w:r>
      <w:r w:rsidR="008331D6">
        <w:rPr>
          <w:rFonts w:ascii="Arial" w:hAnsi="Arial" w:cs="Arial"/>
          <w:sz w:val="20"/>
          <w:szCs w:val="20"/>
        </w:rPr>
        <w:t>.</w:t>
      </w:r>
      <w:r w:rsidR="001F066E">
        <w:rPr>
          <w:rFonts w:ascii="Arial" w:hAnsi="Arial" w:cs="Arial"/>
          <w:sz w:val="20"/>
          <w:szCs w:val="20"/>
        </w:rPr>
        <w:t xml:space="preserve"> Az üzleti bizalom javulását eleinte a kedvező kilátásokkal rendelkező ipari és építőipari mutatók vezették, azonban az elmúlt hónapokban már a szolgáltató szektor hangulata is igen meredeken javult. </w:t>
      </w:r>
      <w:r w:rsidR="00222D2D">
        <w:rPr>
          <w:rFonts w:ascii="Arial" w:hAnsi="Arial" w:cs="Arial"/>
          <w:sz w:val="20"/>
          <w:szCs w:val="20"/>
        </w:rPr>
        <w:t>A</w:t>
      </w:r>
      <w:r w:rsidR="001F066E">
        <w:rPr>
          <w:rFonts w:ascii="Arial" w:hAnsi="Arial" w:cs="Arial"/>
          <w:sz w:val="20"/>
          <w:szCs w:val="20"/>
        </w:rPr>
        <w:t xml:space="preserve"> fogyasztói bizalom </w:t>
      </w:r>
      <w:r w:rsidR="00222D2D">
        <w:rPr>
          <w:rFonts w:ascii="Arial" w:hAnsi="Arial" w:cs="Arial"/>
          <w:sz w:val="20"/>
          <w:szCs w:val="20"/>
        </w:rPr>
        <w:t>a meredek javulást követően kissé megtorpant, a lakosság saját pénzügyi helyzetének megítélése romlott nagyobb mértékben</w:t>
      </w:r>
      <w:r w:rsidR="001F066E">
        <w:rPr>
          <w:rFonts w:ascii="Arial" w:hAnsi="Arial" w:cs="Arial"/>
          <w:sz w:val="20"/>
          <w:szCs w:val="20"/>
        </w:rPr>
        <w:t xml:space="preserve">. </w:t>
      </w:r>
    </w:p>
    <w:tbl>
      <w:tblPr>
        <w:tblW w:w="10083" w:type="dxa"/>
        <w:tblLook w:val="01E0" w:firstRow="1" w:lastRow="1" w:firstColumn="1" w:lastColumn="1" w:noHBand="0" w:noVBand="0"/>
      </w:tblPr>
      <w:tblGrid>
        <w:gridCol w:w="4936"/>
        <w:gridCol w:w="222"/>
        <w:gridCol w:w="222"/>
        <w:gridCol w:w="222"/>
        <w:gridCol w:w="4966"/>
      </w:tblGrid>
      <w:tr w:rsidR="00EB25E7" w:rsidRPr="003536D7" w14:paraId="7569BE52" w14:textId="77777777" w:rsidTr="002105EE">
        <w:tc>
          <w:tcPr>
            <w:tcW w:w="4723" w:type="dxa"/>
          </w:tcPr>
          <w:p w14:paraId="3EEDD52F" w14:textId="77777777" w:rsidR="00EB25E7" w:rsidRPr="00EB25E7" w:rsidRDefault="00222D2D" w:rsidP="002105EE">
            <w:pPr>
              <w:keepNext/>
              <w:spacing w:after="0"/>
              <w:jc w:val="center"/>
              <w:rPr>
                <w:rFonts w:ascii="Arial" w:hAnsi="Arial" w:cs="Arial"/>
                <w:b/>
                <w:color w:val="FF8500"/>
              </w:rPr>
            </w:pPr>
            <w:r>
              <w:rPr>
                <w:rFonts w:ascii="Arial" w:hAnsi="Arial" w:cs="Arial"/>
                <w:b/>
                <w:color w:val="FF8500"/>
              </w:rPr>
              <w:t>43</w:t>
            </w:r>
            <w:r w:rsidR="00EB25E7" w:rsidRPr="00EB25E7">
              <w:rPr>
                <w:rFonts w:ascii="Arial" w:hAnsi="Arial" w:cs="Arial"/>
                <w:b/>
                <w:color w:val="FF8500"/>
              </w:rPr>
              <w:t xml:space="preserve">. ábra: </w:t>
            </w:r>
            <w:r w:rsidR="00EB25E7" w:rsidRPr="00316464">
              <w:rPr>
                <w:rFonts w:ascii="Arial" w:hAnsi="Arial" w:cs="Arial"/>
                <w:bCs/>
                <w:color w:val="FF8500"/>
              </w:rPr>
              <w:t>Hazai konjunktúra-mutatók</w:t>
            </w:r>
          </w:p>
        </w:tc>
        <w:tc>
          <w:tcPr>
            <w:tcW w:w="222" w:type="dxa"/>
          </w:tcPr>
          <w:p w14:paraId="45185473" w14:textId="77777777" w:rsidR="00EB25E7" w:rsidRPr="00EB25E7" w:rsidRDefault="00EB25E7" w:rsidP="005C518C">
            <w:pPr>
              <w:keepNext/>
              <w:spacing w:after="120"/>
              <w:jc w:val="center"/>
              <w:rPr>
                <w:rFonts w:ascii="Arial" w:hAnsi="Arial" w:cs="Arial"/>
                <w:b/>
                <w:color w:val="FF8500"/>
              </w:rPr>
            </w:pPr>
          </w:p>
        </w:tc>
        <w:tc>
          <w:tcPr>
            <w:tcW w:w="222" w:type="dxa"/>
          </w:tcPr>
          <w:p w14:paraId="516C9A97" w14:textId="77777777" w:rsidR="00EB25E7" w:rsidRPr="00EB25E7" w:rsidRDefault="00EB25E7" w:rsidP="005C518C">
            <w:pPr>
              <w:keepNext/>
              <w:spacing w:after="120"/>
              <w:jc w:val="center"/>
              <w:rPr>
                <w:rFonts w:ascii="Arial" w:hAnsi="Arial" w:cs="Arial"/>
                <w:b/>
                <w:color w:val="FF8500"/>
              </w:rPr>
            </w:pPr>
          </w:p>
        </w:tc>
        <w:tc>
          <w:tcPr>
            <w:tcW w:w="222" w:type="dxa"/>
          </w:tcPr>
          <w:p w14:paraId="4E737263" w14:textId="77777777" w:rsidR="00EB25E7" w:rsidRPr="00EB25E7" w:rsidRDefault="00EB25E7" w:rsidP="005C518C">
            <w:pPr>
              <w:keepNext/>
              <w:spacing w:after="120"/>
              <w:jc w:val="center"/>
              <w:rPr>
                <w:rFonts w:ascii="Arial" w:hAnsi="Arial" w:cs="Arial"/>
                <w:b/>
                <w:color w:val="FF8500"/>
              </w:rPr>
            </w:pPr>
          </w:p>
        </w:tc>
        <w:tc>
          <w:tcPr>
            <w:tcW w:w="4694" w:type="dxa"/>
          </w:tcPr>
          <w:p w14:paraId="3DF83082" w14:textId="77777777" w:rsidR="00EB25E7" w:rsidRPr="00EB25E7" w:rsidRDefault="00222D2D" w:rsidP="002105EE">
            <w:pPr>
              <w:keepNext/>
              <w:spacing w:after="0"/>
              <w:jc w:val="center"/>
              <w:rPr>
                <w:rFonts w:ascii="Arial" w:hAnsi="Arial" w:cs="Arial"/>
                <w:color w:val="FF8500"/>
                <w:sz w:val="18"/>
                <w:szCs w:val="18"/>
              </w:rPr>
            </w:pPr>
            <w:r>
              <w:rPr>
                <w:rFonts w:ascii="Arial" w:hAnsi="Arial" w:cs="Arial"/>
                <w:b/>
                <w:color w:val="FF8500"/>
              </w:rPr>
              <w:t>44</w:t>
            </w:r>
            <w:r w:rsidR="00EB25E7" w:rsidRPr="00EB25E7">
              <w:rPr>
                <w:rFonts w:ascii="Arial" w:hAnsi="Arial" w:cs="Arial"/>
                <w:b/>
                <w:color w:val="FF8500"/>
              </w:rPr>
              <w:t xml:space="preserve">. ábra: </w:t>
            </w:r>
            <w:r w:rsidR="00EB25E7" w:rsidRPr="00316464">
              <w:rPr>
                <w:rFonts w:ascii="Arial" w:hAnsi="Arial" w:cs="Arial"/>
                <w:bCs/>
                <w:color w:val="FF8500"/>
              </w:rPr>
              <w:t>GKI bizalmi indexek és a BMI</w:t>
            </w:r>
          </w:p>
        </w:tc>
      </w:tr>
      <w:tr w:rsidR="00EB25E7" w:rsidRPr="003536D7" w14:paraId="3F1AD948" w14:textId="77777777" w:rsidTr="002105EE">
        <w:tc>
          <w:tcPr>
            <w:tcW w:w="4723" w:type="dxa"/>
          </w:tcPr>
          <w:p w14:paraId="74B73A7C" w14:textId="77777777" w:rsidR="00EB25E7" w:rsidRPr="003536D7" w:rsidRDefault="00BC5AA1" w:rsidP="002105EE">
            <w:pPr>
              <w:keepNext/>
              <w:spacing w:after="0"/>
              <w:jc w:val="both"/>
              <w:rPr>
                <w:rFonts w:ascii="Arial" w:hAnsi="Arial" w:cs="Arial"/>
              </w:rPr>
            </w:pPr>
            <w:r w:rsidRPr="00BC5AA1">
              <w:rPr>
                <w:rFonts w:ascii="Arial" w:hAnsi="Arial" w:cs="Arial"/>
                <w:noProof/>
                <w:lang w:eastAsia="hu-HU"/>
              </w:rPr>
              <w:drawing>
                <wp:inline distT="0" distB="0" distL="0" distR="0" wp14:anchorId="3181A4B9" wp14:editId="55991AE8">
                  <wp:extent cx="2997200" cy="1936750"/>
                  <wp:effectExtent l="0" t="0" r="0" b="635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97200" cy="1936750"/>
                          </a:xfrm>
                          <a:prstGeom prst="rect">
                            <a:avLst/>
                          </a:prstGeom>
                          <a:noFill/>
                          <a:ln>
                            <a:noFill/>
                          </a:ln>
                        </pic:spPr>
                      </pic:pic>
                    </a:graphicData>
                  </a:graphic>
                </wp:inline>
              </w:drawing>
            </w:r>
          </w:p>
        </w:tc>
        <w:tc>
          <w:tcPr>
            <w:tcW w:w="222" w:type="dxa"/>
          </w:tcPr>
          <w:p w14:paraId="344B9A10" w14:textId="77777777" w:rsidR="00EB25E7" w:rsidRDefault="00EB25E7" w:rsidP="005C518C">
            <w:pPr>
              <w:keepNext/>
              <w:spacing w:after="120"/>
              <w:jc w:val="both"/>
              <w:rPr>
                <w:rFonts w:ascii="Arial" w:hAnsi="Arial" w:cs="Arial"/>
                <w:noProof/>
                <w:lang w:eastAsia="hu-HU"/>
              </w:rPr>
            </w:pPr>
          </w:p>
        </w:tc>
        <w:tc>
          <w:tcPr>
            <w:tcW w:w="222" w:type="dxa"/>
          </w:tcPr>
          <w:p w14:paraId="53622AC2" w14:textId="77777777" w:rsidR="00EB25E7" w:rsidRDefault="00EB25E7" w:rsidP="005C518C">
            <w:pPr>
              <w:keepNext/>
              <w:spacing w:after="120"/>
              <w:jc w:val="both"/>
              <w:rPr>
                <w:rFonts w:ascii="Arial" w:hAnsi="Arial" w:cs="Arial"/>
                <w:noProof/>
                <w:lang w:eastAsia="hu-HU"/>
              </w:rPr>
            </w:pPr>
          </w:p>
        </w:tc>
        <w:tc>
          <w:tcPr>
            <w:tcW w:w="222" w:type="dxa"/>
          </w:tcPr>
          <w:p w14:paraId="780F313C" w14:textId="77777777" w:rsidR="00EB25E7" w:rsidRDefault="00EB25E7" w:rsidP="005C518C">
            <w:pPr>
              <w:keepNext/>
              <w:spacing w:after="120"/>
              <w:jc w:val="both"/>
              <w:rPr>
                <w:rFonts w:ascii="Arial" w:hAnsi="Arial" w:cs="Arial"/>
                <w:noProof/>
                <w:lang w:eastAsia="hu-HU"/>
              </w:rPr>
            </w:pPr>
          </w:p>
        </w:tc>
        <w:tc>
          <w:tcPr>
            <w:tcW w:w="4694" w:type="dxa"/>
          </w:tcPr>
          <w:p w14:paraId="79E0C60D" w14:textId="77777777" w:rsidR="00EB25E7" w:rsidRPr="003536D7" w:rsidRDefault="00236412" w:rsidP="002105EE">
            <w:pPr>
              <w:keepNext/>
              <w:spacing w:after="0"/>
              <w:jc w:val="both"/>
              <w:rPr>
                <w:rFonts w:ascii="Arial" w:hAnsi="Arial" w:cs="Arial"/>
              </w:rPr>
            </w:pPr>
            <w:r w:rsidRPr="00236412">
              <w:rPr>
                <w:rFonts w:ascii="Arial" w:hAnsi="Arial" w:cs="Arial"/>
                <w:noProof/>
                <w:lang w:eastAsia="hu-HU"/>
              </w:rPr>
              <w:drawing>
                <wp:inline distT="0" distB="0" distL="0" distR="0" wp14:anchorId="6DAA1DFB" wp14:editId="324D0F02">
                  <wp:extent cx="3016250" cy="1917700"/>
                  <wp:effectExtent l="0" t="0" r="0" b="635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16250" cy="1917700"/>
                          </a:xfrm>
                          <a:prstGeom prst="rect">
                            <a:avLst/>
                          </a:prstGeom>
                          <a:noFill/>
                          <a:ln>
                            <a:noFill/>
                          </a:ln>
                        </pic:spPr>
                      </pic:pic>
                    </a:graphicData>
                  </a:graphic>
                </wp:inline>
              </w:drawing>
            </w:r>
          </w:p>
        </w:tc>
      </w:tr>
      <w:tr w:rsidR="00EB25E7" w:rsidRPr="003536D7" w14:paraId="21FCF53A" w14:textId="77777777" w:rsidTr="002105EE">
        <w:tc>
          <w:tcPr>
            <w:tcW w:w="4723" w:type="dxa"/>
          </w:tcPr>
          <w:p w14:paraId="040E830A" w14:textId="77777777" w:rsidR="00EB25E7" w:rsidRPr="003536D7" w:rsidRDefault="00EB25E7" w:rsidP="00316464">
            <w:pPr>
              <w:pStyle w:val="Kpalrstbank"/>
            </w:pPr>
            <w:r w:rsidRPr="003536D7">
              <w:t xml:space="preserve">Forrás: MFB, </w:t>
            </w:r>
            <w:proofErr w:type="spellStart"/>
            <w:r w:rsidRPr="003536D7">
              <w:t>Kopint</w:t>
            </w:r>
            <w:proofErr w:type="spellEnd"/>
            <w:r w:rsidRPr="003536D7">
              <w:t>, MKIK, K&amp;H</w:t>
            </w:r>
          </w:p>
        </w:tc>
        <w:tc>
          <w:tcPr>
            <w:tcW w:w="222" w:type="dxa"/>
          </w:tcPr>
          <w:p w14:paraId="3BC5CEFB" w14:textId="77777777" w:rsidR="00EB25E7" w:rsidRPr="003536D7" w:rsidRDefault="00EB25E7" w:rsidP="00316464">
            <w:pPr>
              <w:pStyle w:val="Kpalrstbank"/>
            </w:pPr>
          </w:p>
        </w:tc>
        <w:tc>
          <w:tcPr>
            <w:tcW w:w="222" w:type="dxa"/>
          </w:tcPr>
          <w:p w14:paraId="2EA23D70" w14:textId="77777777" w:rsidR="00EB25E7" w:rsidRPr="003536D7" w:rsidRDefault="00EB25E7" w:rsidP="00316464">
            <w:pPr>
              <w:pStyle w:val="Kpalrstbank"/>
            </w:pPr>
          </w:p>
        </w:tc>
        <w:tc>
          <w:tcPr>
            <w:tcW w:w="222" w:type="dxa"/>
          </w:tcPr>
          <w:p w14:paraId="211BCBC1" w14:textId="77777777" w:rsidR="00EB25E7" w:rsidRPr="003536D7" w:rsidRDefault="00EB25E7" w:rsidP="00316464">
            <w:pPr>
              <w:pStyle w:val="Kpalrstbank"/>
            </w:pPr>
          </w:p>
        </w:tc>
        <w:tc>
          <w:tcPr>
            <w:tcW w:w="4694" w:type="dxa"/>
          </w:tcPr>
          <w:p w14:paraId="42646B54" w14:textId="77777777" w:rsidR="00EB25E7" w:rsidRDefault="00EB25E7" w:rsidP="00316464">
            <w:pPr>
              <w:pStyle w:val="Kpalrstbank"/>
            </w:pPr>
            <w:r w:rsidRPr="003536D7">
              <w:t>Forrás: GKI, MLBKT</w:t>
            </w:r>
          </w:p>
          <w:p w14:paraId="2176428B" w14:textId="77777777" w:rsidR="001C4191" w:rsidRDefault="001C4191" w:rsidP="00316464">
            <w:pPr>
              <w:pStyle w:val="Kpalrstbank"/>
            </w:pPr>
          </w:p>
          <w:p w14:paraId="50E39DD8" w14:textId="77777777" w:rsidR="001C4191" w:rsidRDefault="001C4191" w:rsidP="00316464">
            <w:pPr>
              <w:pStyle w:val="Kpalrstbank"/>
            </w:pPr>
          </w:p>
          <w:p w14:paraId="472B4F05" w14:textId="77777777" w:rsidR="001C4191" w:rsidRDefault="001C4191" w:rsidP="00316464">
            <w:pPr>
              <w:pStyle w:val="Kpalrstbank"/>
            </w:pPr>
          </w:p>
          <w:p w14:paraId="63834DB4" w14:textId="77777777" w:rsidR="001C4191" w:rsidRDefault="001C4191" w:rsidP="00316464">
            <w:pPr>
              <w:pStyle w:val="Kpalrstbank"/>
            </w:pPr>
          </w:p>
          <w:p w14:paraId="3F48D8E5" w14:textId="77777777" w:rsidR="001C4191" w:rsidRDefault="001C4191" w:rsidP="00316464">
            <w:pPr>
              <w:pStyle w:val="Kpalrstbank"/>
            </w:pPr>
          </w:p>
          <w:p w14:paraId="68B58F3F" w14:textId="77777777" w:rsidR="001C4191" w:rsidRDefault="001C4191" w:rsidP="00316464">
            <w:pPr>
              <w:pStyle w:val="Kpalrstbank"/>
            </w:pPr>
          </w:p>
          <w:p w14:paraId="18455DB9" w14:textId="77777777" w:rsidR="001C4191" w:rsidRDefault="001C4191" w:rsidP="00316464">
            <w:pPr>
              <w:pStyle w:val="Kpalrstbank"/>
            </w:pPr>
          </w:p>
          <w:p w14:paraId="38294305" w14:textId="77777777" w:rsidR="001C4191" w:rsidRPr="003536D7" w:rsidRDefault="001C4191" w:rsidP="00316464">
            <w:pPr>
              <w:pStyle w:val="Kpalrstbank"/>
            </w:pPr>
          </w:p>
        </w:tc>
      </w:tr>
    </w:tbl>
    <w:p w14:paraId="005886D2" w14:textId="77777777" w:rsidR="005C518C" w:rsidRPr="00C67868" w:rsidRDefault="005C518C" w:rsidP="00F53E40">
      <w:pPr>
        <w:pStyle w:val="Cmtbank"/>
        <w:spacing w:before="600"/>
      </w:pPr>
      <w:r w:rsidRPr="003536D7">
        <w:lastRenderedPageBreak/>
        <w:t xml:space="preserve">III. </w:t>
      </w:r>
      <w:proofErr w:type="gramStart"/>
      <w:r>
        <w:t>GLOBÁLIS</w:t>
      </w:r>
      <w:proofErr w:type="gramEnd"/>
      <w:r>
        <w:t xml:space="preserve"> </w:t>
      </w:r>
      <w:r w:rsidR="00973B95">
        <w:t>ILLETVE</w:t>
      </w:r>
      <w:r>
        <w:t xml:space="preserve"> HAZAI PÉNZ- ÉS TŐKEPIACI HELYZETKÉP</w:t>
      </w:r>
    </w:p>
    <w:p w14:paraId="5F38C41C" w14:textId="77777777" w:rsidR="005C518C" w:rsidRDefault="005C518C" w:rsidP="00316464">
      <w:pPr>
        <w:pStyle w:val="Alcmtbank"/>
      </w:pPr>
      <w:r>
        <w:t>Globális monetáris politikai fejlemények</w:t>
      </w:r>
      <w:r w:rsidR="001C4191">
        <w:t xml:space="preserve"> </w:t>
      </w:r>
    </w:p>
    <w:p w14:paraId="1FC84B41" w14:textId="77777777" w:rsidR="005C518C" w:rsidRPr="00EB25E7" w:rsidRDefault="00117537" w:rsidP="00EB25E7">
      <w:pPr>
        <w:spacing w:after="120" w:line="360" w:lineRule="auto"/>
        <w:jc w:val="both"/>
        <w:rPr>
          <w:rFonts w:ascii="Arial" w:hAnsi="Arial" w:cs="Arial"/>
          <w:sz w:val="20"/>
          <w:szCs w:val="20"/>
        </w:rPr>
      </w:pPr>
      <w:r>
        <w:rPr>
          <w:rFonts w:ascii="Arial" w:hAnsi="Arial" w:cs="Arial"/>
          <w:sz w:val="20"/>
          <w:szCs w:val="20"/>
        </w:rPr>
        <w:t xml:space="preserve">A jelenleg is még teljes fordulatszámon pörgő expanzív monetáris politikák világszerte mostanában kezdenek némileg szigorúbb hangot megütni, miután az inflációs célok érdemi túllépésének lehetünk szemtanúi, például a Fed már novemberben </w:t>
      </w:r>
      <w:r w:rsidR="002631FA">
        <w:rPr>
          <w:rFonts w:ascii="Arial" w:hAnsi="Arial" w:cs="Arial"/>
          <w:sz w:val="20"/>
          <w:szCs w:val="20"/>
        </w:rPr>
        <w:t>elkezdte</w:t>
      </w:r>
      <w:r>
        <w:rPr>
          <w:rFonts w:ascii="Arial" w:hAnsi="Arial" w:cs="Arial"/>
          <w:sz w:val="20"/>
          <w:szCs w:val="20"/>
        </w:rPr>
        <w:t xml:space="preserve"> a kötvényvásárlások csökkentését, majd </w:t>
      </w:r>
      <w:r w:rsidR="002631FA">
        <w:rPr>
          <w:rFonts w:ascii="Arial" w:hAnsi="Arial" w:cs="Arial"/>
          <w:sz w:val="20"/>
          <w:szCs w:val="20"/>
        </w:rPr>
        <w:t>idén a kamatemelési ciklust</w:t>
      </w:r>
      <w:r>
        <w:rPr>
          <w:rFonts w:ascii="Arial" w:hAnsi="Arial" w:cs="Arial"/>
          <w:sz w:val="20"/>
          <w:szCs w:val="20"/>
        </w:rPr>
        <w:t>, igaz eközben az EKB még továbbra is átmenetinek tekinti a jelenlegi pénzromlást.</w:t>
      </w:r>
      <w:r w:rsidR="00DC3980">
        <w:rPr>
          <w:rFonts w:ascii="Arial" w:hAnsi="Arial" w:cs="Arial"/>
          <w:sz w:val="20"/>
          <w:szCs w:val="20"/>
        </w:rPr>
        <w:t xml:space="preserve"> </w:t>
      </w:r>
      <w:r w:rsidR="007D3C55">
        <w:rPr>
          <w:rFonts w:ascii="Arial" w:hAnsi="Arial" w:cs="Arial"/>
          <w:sz w:val="20"/>
          <w:szCs w:val="20"/>
        </w:rPr>
        <w:t>A</w:t>
      </w:r>
      <w:r w:rsidR="005C518C" w:rsidRPr="00EB25E7">
        <w:rPr>
          <w:rFonts w:ascii="Arial" w:hAnsi="Arial" w:cs="Arial"/>
          <w:sz w:val="20"/>
          <w:szCs w:val="20"/>
        </w:rPr>
        <w:t xml:space="preserve"> finanszírozási költségek csökkentése, az inflációs cél elérésének </w:t>
      </w:r>
      <w:proofErr w:type="gramStart"/>
      <w:r w:rsidR="005C518C" w:rsidRPr="00EB25E7">
        <w:rPr>
          <w:rFonts w:ascii="Arial" w:hAnsi="Arial" w:cs="Arial"/>
          <w:sz w:val="20"/>
          <w:szCs w:val="20"/>
        </w:rPr>
        <w:t>szánd</w:t>
      </w:r>
      <w:r w:rsidR="00796B79">
        <w:rPr>
          <w:rFonts w:ascii="Arial" w:hAnsi="Arial" w:cs="Arial"/>
          <w:sz w:val="20"/>
          <w:szCs w:val="20"/>
        </w:rPr>
        <w:t>éka</w:t>
      </w:r>
      <w:proofErr w:type="gramEnd"/>
      <w:r w:rsidR="00796B79">
        <w:rPr>
          <w:rFonts w:ascii="Arial" w:hAnsi="Arial" w:cs="Arial"/>
          <w:sz w:val="20"/>
          <w:szCs w:val="20"/>
        </w:rPr>
        <w:t xml:space="preserve"> illetve a munkahelyteremtés</w:t>
      </w:r>
      <w:r w:rsidR="005C518C" w:rsidRPr="00EB25E7">
        <w:rPr>
          <w:rFonts w:ascii="Arial" w:hAnsi="Arial" w:cs="Arial"/>
          <w:sz w:val="20"/>
          <w:szCs w:val="20"/>
        </w:rPr>
        <w:t xml:space="preserve"> és a növekedés ösztönzése érdekében </w:t>
      </w:r>
      <w:r>
        <w:rPr>
          <w:rFonts w:ascii="Arial" w:hAnsi="Arial" w:cs="Arial"/>
          <w:sz w:val="20"/>
          <w:szCs w:val="20"/>
        </w:rPr>
        <w:t xml:space="preserve">indokoltan </w:t>
      </w:r>
      <w:r w:rsidR="00796B79">
        <w:rPr>
          <w:rFonts w:ascii="Arial" w:hAnsi="Arial" w:cs="Arial"/>
          <w:sz w:val="20"/>
          <w:szCs w:val="20"/>
        </w:rPr>
        <w:t xml:space="preserve">levágott kamatok illetve </w:t>
      </w:r>
      <w:r w:rsidR="00DC3980">
        <w:rPr>
          <w:rFonts w:ascii="Arial" w:hAnsi="Arial" w:cs="Arial"/>
          <w:sz w:val="20"/>
          <w:szCs w:val="20"/>
        </w:rPr>
        <w:t xml:space="preserve">a </w:t>
      </w:r>
      <w:r w:rsidR="00796B79">
        <w:rPr>
          <w:rFonts w:ascii="Arial" w:hAnsi="Arial" w:cs="Arial"/>
          <w:sz w:val="20"/>
          <w:szCs w:val="20"/>
        </w:rPr>
        <w:t xml:space="preserve">korlátlan volumenben bevetett QE </w:t>
      </w:r>
      <w:r w:rsidR="005C518C" w:rsidRPr="00EB25E7">
        <w:rPr>
          <w:rFonts w:ascii="Arial" w:hAnsi="Arial" w:cs="Arial"/>
          <w:sz w:val="20"/>
          <w:szCs w:val="20"/>
        </w:rPr>
        <w:t>más területeken</w:t>
      </w:r>
      <w:r>
        <w:rPr>
          <w:rFonts w:ascii="Arial" w:hAnsi="Arial" w:cs="Arial"/>
          <w:sz w:val="20"/>
          <w:szCs w:val="20"/>
        </w:rPr>
        <w:t xml:space="preserve"> is látványos hatást gyakoroltak és gyakorolnak a mai napig</w:t>
      </w:r>
      <w:r w:rsidR="005C518C" w:rsidRPr="00EB25E7">
        <w:rPr>
          <w:rFonts w:ascii="Arial" w:hAnsi="Arial" w:cs="Arial"/>
          <w:sz w:val="20"/>
          <w:szCs w:val="20"/>
        </w:rPr>
        <w:t xml:space="preserve">. </w:t>
      </w:r>
      <w:r>
        <w:rPr>
          <w:rFonts w:ascii="Arial" w:hAnsi="Arial" w:cs="Arial"/>
          <w:sz w:val="20"/>
          <w:szCs w:val="20"/>
        </w:rPr>
        <w:t>A</w:t>
      </w:r>
      <w:r w:rsidR="007D3C55">
        <w:rPr>
          <w:rFonts w:ascii="Arial" w:hAnsi="Arial" w:cs="Arial"/>
          <w:sz w:val="20"/>
          <w:szCs w:val="20"/>
        </w:rPr>
        <w:t xml:space="preserve"> részvénypiacok árazására</w:t>
      </w:r>
      <w:r w:rsidR="005C518C" w:rsidRPr="00EB25E7">
        <w:rPr>
          <w:rFonts w:ascii="Arial" w:hAnsi="Arial" w:cs="Arial"/>
          <w:sz w:val="20"/>
          <w:szCs w:val="20"/>
        </w:rPr>
        <w:t xml:space="preserve"> – és azon belül is </w:t>
      </w:r>
      <w:r w:rsidR="00796B79">
        <w:rPr>
          <w:rFonts w:ascii="Arial" w:hAnsi="Arial" w:cs="Arial"/>
          <w:sz w:val="20"/>
          <w:szCs w:val="20"/>
        </w:rPr>
        <w:t xml:space="preserve">elsősorban </w:t>
      </w:r>
      <w:r w:rsidR="005C518C" w:rsidRPr="00EB25E7">
        <w:rPr>
          <w:rFonts w:ascii="Arial" w:hAnsi="Arial" w:cs="Arial"/>
          <w:sz w:val="20"/>
          <w:szCs w:val="20"/>
        </w:rPr>
        <w:t xml:space="preserve">a globális </w:t>
      </w:r>
      <w:proofErr w:type="spellStart"/>
      <w:r w:rsidR="005C518C" w:rsidRPr="00EB25E7">
        <w:rPr>
          <w:rFonts w:ascii="Arial" w:hAnsi="Arial" w:cs="Arial"/>
          <w:sz w:val="20"/>
          <w:szCs w:val="20"/>
        </w:rPr>
        <w:t>tech</w:t>
      </w:r>
      <w:proofErr w:type="spellEnd"/>
      <w:r w:rsidR="005C518C" w:rsidRPr="00EB25E7">
        <w:rPr>
          <w:rFonts w:ascii="Arial" w:hAnsi="Arial" w:cs="Arial"/>
          <w:sz w:val="20"/>
          <w:szCs w:val="20"/>
        </w:rPr>
        <w:t xml:space="preserve"> papírok</w:t>
      </w:r>
      <w:r>
        <w:rPr>
          <w:rFonts w:ascii="Arial" w:hAnsi="Arial" w:cs="Arial"/>
          <w:sz w:val="20"/>
          <w:szCs w:val="20"/>
        </w:rPr>
        <w:t>é</w:t>
      </w:r>
      <w:r w:rsidR="005C518C" w:rsidRPr="00EB25E7">
        <w:rPr>
          <w:rFonts w:ascii="Arial" w:hAnsi="Arial" w:cs="Arial"/>
          <w:sz w:val="20"/>
          <w:szCs w:val="20"/>
        </w:rPr>
        <w:t xml:space="preserve"> –</w:t>
      </w:r>
      <w:r w:rsidR="007D3C55">
        <w:rPr>
          <w:rFonts w:ascii="Arial" w:hAnsi="Arial" w:cs="Arial"/>
          <w:sz w:val="20"/>
          <w:szCs w:val="20"/>
        </w:rPr>
        <w:t>, ami</w:t>
      </w:r>
      <w:r w:rsidR="005C518C" w:rsidRPr="00EB25E7">
        <w:rPr>
          <w:rFonts w:ascii="Arial" w:hAnsi="Arial" w:cs="Arial"/>
          <w:sz w:val="20"/>
          <w:szCs w:val="20"/>
        </w:rPr>
        <w:t xml:space="preserve"> látványosan elszakadt a fundamentumoktól, a </w:t>
      </w:r>
      <w:r>
        <w:rPr>
          <w:rFonts w:ascii="Arial" w:hAnsi="Arial" w:cs="Arial"/>
          <w:sz w:val="20"/>
          <w:szCs w:val="20"/>
        </w:rPr>
        <w:t xml:space="preserve">továbbra is a rendszerben keringő </w:t>
      </w:r>
      <w:r w:rsidR="005C518C" w:rsidRPr="00EB25E7">
        <w:rPr>
          <w:rFonts w:ascii="Arial" w:hAnsi="Arial" w:cs="Arial"/>
          <w:sz w:val="20"/>
          <w:szCs w:val="20"/>
        </w:rPr>
        <w:t>plusz likviditás keresi a helyét</w:t>
      </w:r>
      <w:r w:rsidR="00796B79">
        <w:rPr>
          <w:rFonts w:ascii="Arial" w:hAnsi="Arial" w:cs="Arial"/>
          <w:sz w:val="20"/>
          <w:szCs w:val="20"/>
        </w:rPr>
        <w:t>,</w:t>
      </w:r>
      <w:r w:rsidR="005C518C" w:rsidRPr="00EB25E7">
        <w:rPr>
          <w:rFonts w:ascii="Arial" w:hAnsi="Arial" w:cs="Arial"/>
          <w:sz w:val="20"/>
          <w:szCs w:val="20"/>
        </w:rPr>
        <w:t xml:space="preserve"> és a mélyen negatív reálhozamokat kínáló kötvénypiacok, a nem létező betéti hozamok</w:t>
      </w:r>
      <w:r w:rsidR="00F7428F" w:rsidRPr="00F7428F">
        <w:rPr>
          <w:rFonts w:ascii="Arial" w:hAnsi="Arial" w:cs="Arial"/>
          <w:sz w:val="20"/>
          <w:szCs w:val="20"/>
        </w:rPr>
        <w:t xml:space="preserve"> </w:t>
      </w:r>
      <w:r w:rsidR="00F7428F" w:rsidRPr="00EB25E7">
        <w:rPr>
          <w:rFonts w:ascii="Arial" w:hAnsi="Arial" w:cs="Arial"/>
          <w:sz w:val="20"/>
          <w:szCs w:val="20"/>
        </w:rPr>
        <w:t>mellett</w:t>
      </w:r>
      <w:r w:rsidR="00F7428F" w:rsidRPr="00F7428F">
        <w:rPr>
          <w:rFonts w:ascii="Arial" w:hAnsi="Arial" w:cs="Arial"/>
          <w:sz w:val="20"/>
          <w:szCs w:val="20"/>
        </w:rPr>
        <w:t xml:space="preserve"> </w:t>
      </w:r>
      <w:r w:rsidR="00F7428F" w:rsidRPr="00EB25E7">
        <w:rPr>
          <w:rFonts w:ascii="Arial" w:hAnsi="Arial" w:cs="Arial"/>
          <w:sz w:val="20"/>
          <w:szCs w:val="20"/>
        </w:rPr>
        <w:t>jobbára</w:t>
      </w:r>
      <w:r w:rsidR="00F7428F">
        <w:rPr>
          <w:rFonts w:ascii="Arial" w:hAnsi="Arial" w:cs="Arial"/>
          <w:sz w:val="20"/>
          <w:szCs w:val="20"/>
        </w:rPr>
        <w:t xml:space="preserve"> </w:t>
      </w:r>
      <w:r w:rsidR="00F7428F" w:rsidRPr="00EB25E7">
        <w:rPr>
          <w:rFonts w:ascii="Arial" w:hAnsi="Arial" w:cs="Arial"/>
          <w:sz w:val="20"/>
          <w:szCs w:val="20"/>
        </w:rPr>
        <w:t>csak</w:t>
      </w:r>
      <w:r w:rsidR="005C518C" w:rsidRPr="00EB25E7">
        <w:rPr>
          <w:rFonts w:ascii="Arial" w:hAnsi="Arial" w:cs="Arial"/>
          <w:sz w:val="20"/>
          <w:szCs w:val="20"/>
        </w:rPr>
        <w:t xml:space="preserve"> a</w:t>
      </w:r>
      <w:r>
        <w:rPr>
          <w:rFonts w:ascii="Arial" w:hAnsi="Arial" w:cs="Arial"/>
          <w:sz w:val="20"/>
          <w:szCs w:val="20"/>
        </w:rPr>
        <w:t xml:space="preserve"> részvénypiac </w:t>
      </w:r>
      <w:r w:rsidR="00F7428F">
        <w:rPr>
          <w:rFonts w:ascii="Arial" w:hAnsi="Arial" w:cs="Arial"/>
          <w:sz w:val="20"/>
          <w:szCs w:val="20"/>
        </w:rPr>
        <w:t xml:space="preserve">és </w:t>
      </w:r>
      <w:r w:rsidR="005C518C" w:rsidRPr="00EB25E7">
        <w:rPr>
          <w:rFonts w:ascii="Arial" w:hAnsi="Arial" w:cs="Arial"/>
          <w:sz w:val="20"/>
          <w:szCs w:val="20"/>
        </w:rPr>
        <w:t>a</w:t>
      </w:r>
      <w:r>
        <w:rPr>
          <w:rFonts w:ascii="Arial" w:hAnsi="Arial" w:cs="Arial"/>
          <w:sz w:val="20"/>
          <w:szCs w:val="20"/>
        </w:rPr>
        <w:t>z</w:t>
      </w:r>
      <w:r w:rsidR="005C518C" w:rsidRPr="00EB25E7">
        <w:rPr>
          <w:rFonts w:ascii="Arial" w:hAnsi="Arial" w:cs="Arial"/>
          <w:sz w:val="20"/>
          <w:szCs w:val="20"/>
        </w:rPr>
        <w:t xml:space="preserve"> </w:t>
      </w:r>
      <w:r>
        <w:rPr>
          <w:rFonts w:ascii="Arial" w:hAnsi="Arial" w:cs="Arial"/>
          <w:sz w:val="20"/>
          <w:szCs w:val="20"/>
        </w:rPr>
        <w:t>ingatlanpiac</w:t>
      </w:r>
      <w:r w:rsidR="005C518C" w:rsidRPr="00EB25E7">
        <w:rPr>
          <w:rFonts w:ascii="Arial" w:hAnsi="Arial" w:cs="Arial"/>
          <w:sz w:val="20"/>
          <w:szCs w:val="20"/>
        </w:rPr>
        <w:t xml:space="preserve"> marad, ahol lecsapódhat ez a forrástömeg</w:t>
      </w:r>
      <w:r>
        <w:rPr>
          <w:rFonts w:ascii="Arial" w:hAnsi="Arial" w:cs="Arial"/>
          <w:sz w:val="20"/>
          <w:szCs w:val="20"/>
        </w:rPr>
        <w:t xml:space="preserve">, az amerikai lakáspiac áremelkedése például 30 éves csúcsra gyorsult </w:t>
      </w:r>
      <w:r w:rsidR="002631FA">
        <w:rPr>
          <w:rFonts w:ascii="Arial" w:hAnsi="Arial" w:cs="Arial"/>
          <w:sz w:val="20"/>
          <w:szCs w:val="20"/>
        </w:rPr>
        <w:t>tavaly</w:t>
      </w:r>
      <w:r>
        <w:rPr>
          <w:rFonts w:ascii="Arial" w:hAnsi="Arial" w:cs="Arial"/>
          <w:sz w:val="20"/>
          <w:szCs w:val="20"/>
        </w:rPr>
        <w:t xml:space="preserve"> nyáron</w:t>
      </w:r>
      <w:r w:rsidR="005C518C" w:rsidRPr="00EB25E7">
        <w:rPr>
          <w:rFonts w:ascii="Arial" w:hAnsi="Arial" w:cs="Arial"/>
          <w:sz w:val="20"/>
          <w:szCs w:val="20"/>
        </w:rPr>
        <w:t>.</w:t>
      </w:r>
      <w:r w:rsidR="00796B79">
        <w:rPr>
          <w:rFonts w:ascii="Arial" w:hAnsi="Arial" w:cs="Arial"/>
          <w:sz w:val="20"/>
          <w:szCs w:val="20"/>
        </w:rPr>
        <w:t xml:space="preserve"> A</w:t>
      </w:r>
      <w:r w:rsidR="00796B79" w:rsidRPr="00796B79">
        <w:rPr>
          <w:rFonts w:ascii="Arial" w:hAnsi="Arial" w:cs="Arial"/>
          <w:sz w:val="20"/>
          <w:szCs w:val="20"/>
        </w:rPr>
        <w:t xml:space="preserve"> </w:t>
      </w:r>
      <w:r w:rsidR="009A6BA6">
        <w:rPr>
          <w:rFonts w:ascii="Arial" w:hAnsi="Arial" w:cs="Arial"/>
          <w:sz w:val="20"/>
          <w:szCs w:val="20"/>
        </w:rPr>
        <w:t xml:space="preserve">részvénypiaci </w:t>
      </w:r>
      <w:r w:rsidR="00796B79" w:rsidRPr="00796B79">
        <w:rPr>
          <w:rFonts w:ascii="Arial" w:hAnsi="Arial" w:cs="Arial"/>
          <w:sz w:val="20"/>
          <w:szCs w:val="20"/>
        </w:rPr>
        <w:t xml:space="preserve">pénzbőség volumenét </w:t>
      </w:r>
      <w:r w:rsidR="009A6BA6">
        <w:rPr>
          <w:rFonts w:ascii="Arial" w:hAnsi="Arial" w:cs="Arial"/>
          <w:sz w:val="20"/>
          <w:szCs w:val="20"/>
        </w:rPr>
        <w:t xml:space="preserve">pedig </w:t>
      </w:r>
      <w:r w:rsidR="007D3C55">
        <w:rPr>
          <w:rFonts w:ascii="Arial" w:hAnsi="Arial" w:cs="Arial"/>
          <w:sz w:val="20"/>
          <w:szCs w:val="20"/>
        </w:rPr>
        <w:t xml:space="preserve">jól jelzi, hogy </w:t>
      </w:r>
      <w:r w:rsidR="002631FA">
        <w:rPr>
          <w:rFonts w:ascii="Arial" w:hAnsi="Arial" w:cs="Arial"/>
          <w:sz w:val="20"/>
          <w:szCs w:val="20"/>
        </w:rPr>
        <w:t>2020</w:t>
      </w:r>
      <w:r w:rsidR="007D3C55">
        <w:rPr>
          <w:rFonts w:ascii="Arial" w:hAnsi="Arial" w:cs="Arial"/>
          <w:sz w:val="20"/>
          <w:szCs w:val="20"/>
        </w:rPr>
        <w:t xml:space="preserve"> novembertől </w:t>
      </w:r>
      <w:r w:rsidR="002631FA">
        <w:rPr>
          <w:rFonts w:ascii="Arial" w:hAnsi="Arial" w:cs="Arial"/>
          <w:sz w:val="20"/>
          <w:szCs w:val="20"/>
        </w:rPr>
        <w:t>tavaly</w:t>
      </w:r>
      <w:r w:rsidR="009A6BA6">
        <w:rPr>
          <w:rFonts w:ascii="Arial" w:hAnsi="Arial" w:cs="Arial"/>
          <w:sz w:val="20"/>
          <w:szCs w:val="20"/>
        </w:rPr>
        <w:t xml:space="preserve"> tavaszig</w:t>
      </w:r>
      <w:r w:rsidR="007D3C55">
        <w:rPr>
          <w:rFonts w:ascii="Arial" w:hAnsi="Arial" w:cs="Arial"/>
          <w:sz w:val="20"/>
          <w:szCs w:val="20"/>
        </w:rPr>
        <w:t xml:space="preserve"> </w:t>
      </w:r>
      <w:r w:rsidR="00796B79" w:rsidRPr="00796B79">
        <w:rPr>
          <w:rFonts w:ascii="Arial" w:hAnsi="Arial" w:cs="Arial"/>
          <w:sz w:val="20"/>
          <w:szCs w:val="20"/>
        </w:rPr>
        <w:t xml:space="preserve">569 milliárd dollárnyi friss tőke érkezett a részvényalapokba, miközben az ezt megelőző 11 évben mindössze 452 milliárd volt ez az összeg a folyamatos </w:t>
      </w:r>
      <w:r w:rsidR="007D3C55">
        <w:rPr>
          <w:rFonts w:ascii="Arial" w:hAnsi="Arial" w:cs="Arial"/>
          <w:sz w:val="20"/>
          <w:szCs w:val="20"/>
        </w:rPr>
        <w:t xml:space="preserve">tőzsdei </w:t>
      </w:r>
      <w:r w:rsidR="00796B79" w:rsidRPr="00796B79">
        <w:rPr>
          <w:rFonts w:ascii="Arial" w:hAnsi="Arial" w:cs="Arial"/>
          <w:sz w:val="20"/>
          <w:szCs w:val="20"/>
        </w:rPr>
        <w:t>emelkedés ellenére is.</w:t>
      </w:r>
    </w:p>
    <w:p w14:paraId="61FBBFBF" w14:textId="77777777" w:rsidR="005C518C" w:rsidRPr="00EB25E7" w:rsidRDefault="00C257E3" w:rsidP="00EB25E7">
      <w:pPr>
        <w:spacing w:after="120" w:line="360" w:lineRule="auto"/>
        <w:jc w:val="both"/>
        <w:rPr>
          <w:rFonts w:ascii="Arial" w:hAnsi="Arial" w:cs="Arial"/>
          <w:sz w:val="20"/>
          <w:szCs w:val="20"/>
        </w:rPr>
      </w:pPr>
      <w:r>
        <w:rPr>
          <w:rFonts w:ascii="Arial" w:hAnsi="Arial" w:cs="Arial"/>
          <w:sz w:val="20"/>
          <w:szCs w:val="20"/>
        </w:rPr>
        <w:t>Az euró zóna</w:t>
      </w:r>
      <w:r w:rsidR="00E5399F">
        <w:rPr>
          <w:rFonts w:ascii="Arial" w:hAnsi="Arial" w:cs="Arial"/>
          <w:sz w:val="20"/>
          <w:szCs w:val="20"/>
        </w:rPr>
        <w:t xml:space="preserve"> </w:t>
      </w:r>
      <w:r w:rsidR="005055F7">
        <w:rPr>
          <w:rFonts w:ascii="Arial" w:hAnsi="Arial" w:cs="Arial"/>
          <w:sz w:val="20"/>
          <w:szCs w:val="20"/>
        </w:rPr>
        <w:t>inflációs</w:t>
      </w:r>
      <w:r w:rsidR="00E5399F">
        <w:rPr>
          <w:rFonts w:ascii="Arial" w:hAnsi="Arial" w:cs="Arial"/>
          <w:sz w:val="20"/>
          <w:szCs w:val="20"/>
        </w:rPr>
        <w:t xml:space="preserve"> </w:t>
      </w:r>
      <w:r>
        <w:rPr>
          <w:rFonts w:ascii="Arial" w:hAnsi="Arial" w:cs="Arial"/>
          <w:sz w:val="20"/>
          <w:szCs w:val="20"/>
        </w:rPr>
        <w:t>dinamikájában</w:t>
      </w:r>
      <w:r w:rsidR="00973B95">
        <w:rPr>
          <w:rFonts w:ascii="Arial" w:hAnsi="Arial" w:cs="Arial"/>
          <w:sz w:val="20"/>
          <w:szCs w:val="20"/>
        </w:rPr>
        <w:t xml:space="preserve"> </w:t>
      </w:r>
      <w:r w:rsidR="005055F7">
        <w:rPr>
          <w:rFonts w:ascii="Arial" w:hAnsi="Arial" w:cs="Arial"/>
          <w:sz w:val="20"/>
          <w:szCs w:val="20"/>
        </w:rPr>
        <w:t>immár láthatóan</w:t>
      </w:r>
      <w:r w:rsidR="00973B95">
        <w:rPr>
          <w:rFonts w:ascii="Arial" w:hAnsi="Arial" w:cs="Arial"/>
          <w:sz w:val="20"/>
          <w:szCs w:val="20"/>
        </w:rPr>
        <w:t xml:space="preserve"> kezd jelentkezni </w:t>
      </w:r>
      <w:r w:rsidR="00F53E40">
        <w:rPr>
          <w:rFonts w:ascii="Arial" w:hAnsi="Arial" w:cs="Arial"/>
          <w:sz w:val="20"/>
          <w:szCs w:val="20"/>
        </w:rPr>
        <w:t xml:space="preserve">az aktív monetáris és fiskális </w:t>
      </w:r>
      <w:proofErr w:type="spellStart"/>
      <w:r w:rsidR="00F53E40">
        <w:rPr>
          <w:rFonts w:ascii="Arial" w:hAnsi="Arial" w:cs="Arial"/>
          <w:sz w:val="20"/>
          <w:szCs w:val="20"/>
        </w:rPr>
        <w:t>stimulus</w:t>
      </w:r>
      <w:proofErr w:type="spellEnd"/>
      <w:r w:rsidR="00973B95">
        <w:rPr>
          <w:rFonts w:ascii="Arial" w:hAnsi="Arial" w:cs="Arial"/>
          <w:sz w:val="20"/>
          <w:szCs w:val="20"/>
        </w:rPr>
        <w:t xml:space="preserve"> </w:t>
      </w:r>
      <w:proofErr w:type="gramStart"/>
      <w:r w:rsidR="00973B95">
        <w:rPr>
          <w:rFonts w:ascii="Arial" w:hAnsi="Arial" w:cs="Arial"/>
          <w:sz w:val="20"/>
          <w:szCs w:val="20"/>
        </w:rPr>
        <w:t>hatása</w:t>
      </w:r>
      <w:proofErr w:type="gramEnd"/>
      <w:r w:rsidR="00973B95">
        <w:rPr>
          <w:rFonts w:ascii="Arial" w:hAnsi="Arial" w:cs="Arial"/>
          <w:sz w:val="20"/>
          <w:szCs w:val="20"/>
        </w:rPr>
        <w:t xml:space="preserve"> illetve </w:t>
      </w:r>
      <w:r w:rsidR="005055F7">
        <w:rPr>
          <w:rFonts w:ascii="Arial" w:hAnsi="Arial" w:cs="Arial"/>
          <w:sz w:val="20"/>
          <w:szCs w:val="20"/>
        </w:rPr>
        <w:t xml:space="preserve">a </w:t>
      </w:r>
      <w:r w:rsidR="00973B95">
        <w:rPr>
          <w:rFonts w:ascii="Arial" w:hAnsi="Arial" w:cs="Arial"/>
          <w:sz w:val="20"/>
          <w:szCs w:val="20"/>
        </w:rPr>
        <w:t xml:space="preserve">karantén feloldások keresletre gyakorolt hatása, </w:t>
      </w:r>
      <w:r w:rsidR="005055F7">
        <w:rPr>
          <w:rFonts w:ascii="Arial" w:hAnsi="Arial" w:cs="Arial"/>
          <w:sz w:val="20"/>
          <w:szCs w:val="20"/>
        </w:rPr>
        <w:t>augusztusban 3.0%-</w:t>
      </w:r>
      <w:proofErr w:type="spellStart"/>
      <w:r w:rsidR="005055F7">
        <w:rPr>
          <w:rFonts w:ascii="Arial" w:hAnsi="Arial" w:cs="Arial"/>
          <w:sz w:val="20"/>
          <w:szCs w:val="20"/>
        </w:rPr>
        <w:t>ra</w:t>
      </w:r>
      <w:proofErr w:type="spellEnd"/>
      <w:r w:rsidR="005055F7">
        <w:rPr>
          <w:rFonts w:ascii="Arial" w:hAnsi="Arial" w:cs="Arial"/>
          <w:sz w:val="20"/>
          <w:szCs w:val="20"/>
        </w:rPr>
        <w:t xml:space="preserve"> ugrott a mutató</w:t>
      </w:r>
      <w:r w:rsidR="00F53E40">
        <w:rPr>
          <w:rFonts w:ascii="Arial" w:hAnsi="Arial" w:cs="Arial"/>
          <w:sz w:val="20"/>
          <w:szCs w:val="20"/>
        </w:rPr>
        <w:t xml:space="preserve">, </w:t>
      </w:r>
      <w:r w:rsidR="005055F7">
        <w:rPr>
          <w:rFonts w:ascii="Arial" w:hAnsi="Arial" w:cs="Arial"/>
          <w:sz w:val="20"/>
          <w:szCs w:val="20"/>
        </w:rPr>
        <w:t>az előző havi</w:t>
      </w:r>
      <w:r w:rsidR="00F53E40">
        <w:rPr>
          <w:rFonts w:ascii="Arial" w:hAnsi="Arial" w:cs="Arial"/>
          <w:sz w:val="20"/>
          <w:szCs w:val="20"/>
        </w:rPr>
        <w:t xml:space="preserve"> </w:t>
      </w:r>
      <w:r w:rsidR="005055F7">
        <w:rPr>
          <w:rFonts w:ascii="Arial" w:hAnsi="Arial" w:cs="Arial"/>
          <w:sz w:val="20"/>
          <w:szCs w:val="20"/>
        </w:rPr>
        <w:t>2.2</w:t>
      </w:r>
      <w:r w:rsidR="00F53E40">
        <w:rPr>
          <w:rFonts w:ascii="Arial" w:hAnsi="Arial" w:cs="Arial"/>
          <w:sz w:val="20"/>
          <w:szCs w:val="20"/>
        </w:rPr>
        <w:t>%</w:t>
      </w:r>
      <w:r w:rsidR="005055F7">
        <w:rPr>
          <w:rFonts w:ascii="Arial" w:hAnsi="Arial" w:cs="Arial"/>
          <w:sz w:val="20"/>
          <w:szCs w:val="20"/>
        </w:rPr>
        <w:t xml:space="preserve"> után</w:t>
      </w:r>
      <w:r w:rsidR="00973B95">
        <w:rPr>
          <w:rFonts w:ascii="Arial" w:hAnsi="Arial" w:cs="Arial"/>
          <w:sz w:val="20"/>
          <w:szCs w:val="20"/>
        </w:rPr>
        <w:t xml:space="preserve">, ami </w:t>
      </w:r>
      <w:r w:rsidR="005055F7">
        <w:rPr>
          <w:rFonts w:ascii="Arial" w:hAnsi="Arial" w:cs="Arial"/>
          <w:sz w:val="20"/>
          <w:szCs w:val="20"/>
        </w:rPr>
        <w:t xml:space="preserve">már </w:t>
      </w:r>
      <w:r w:rsidR="003D79E5">
        <w:rPr>
          <w:rFonts w:ascii="Arial" w:hAnsi="Arial" w:cs="Arial"/>
          <w:sz w:val="20"/>
          <w:szCs w:val="20"/>
        </w:rPr>
        <w:t>el</w:t>
      </w:r>
      <w:r w:rsidR="005055F7">
        <w:rPr>
          <w:rFonts w:ascii="Arial" w:hAnsi="Arial" w:cs="Arial"/>
          <w:sz w:val="20"/>
          <w:szCs w:val="20"/>
        </w:rPr>
        <w:t>érte a jegybanki célsáv szélét, kérdés a dinamika tartóssága. Ezzel összevetve a</w:t>
      </w:r>
      <w:r w:rsidR="005C518C" w:rsidRPr="00EB25E7">
        <w:rPr>
          <w:rFonts w:ascii="Arial" w:hAnsi="Arial" w:cs="Arial"/>
          <w:sz w:val="20"/>
          <w:szCs w:val="20"/>
        </w:rPr>
        <w:t xml:space="preserve"> 2000-es évek kétharmadában 2 százalék körül</w:t>
      </w:r>
      <w:r w:rsidR="00973B95">
        <w:rPr>
          <w:rFonts w:ascii="Arial" w:hAnsi="Arial" w:cs="Arial"/>
          <w:sz w:val="20"/>
          <w:szCs w:val="20"/>
        </w:rPr>
        <w:t>i</w:t>
      </w:r>
      <w:r w:rsidR="005C518C" w:rsidRPr="00EB25E7">
        <w:rPr>
          <w:rFonts w:ascii="Arial" w:hAnsi="Arial" w:cs="Arial"/>
          <w:sz w:val="20"/>
          <w:szCs w:val="20"/>
        </w:rPr>
        <w:t>, de többnyire azt kissé meghaladó volt az eurózóna inflációja, a 2008-es pénzügyi válságot megelőzően felpat</w:t>
      </w:r>
      <w:r>
        <w:rPr>
          <w:rFonts w:ascii="Arial" w:hAnsi="Arial" w:cs="Arial"/>
          <w:sz w:val="20"/>
          <w:szCs w:val="20"/>
        </w:rPr>
        <w:t xml:space="preserve">tant 4 százalékig, majd </w:t>
      </w:r>
      <w:r w:rsidR="005C518C" w:rsidRPr="00EB25E7">
        <w:rPr>
          <w:rFonts w:ascii="Arial" w:hAnsi="Arial" w:cs="Arial"/>
          <w:sz w:val="20"/>
          <w:szCs w:val="20"/>
        </w:rPr>
        <w:t xml:space="preserve">defláció és 3 százalék között hullámzott, 2013 óta pedig csak egyszer érte el néhány hónapra a célt. Az euró </w:t>
      </w:r>
      <w:r w:rsidR="00973B95">
        <w:rPr>
          <w:rFonts w:ascii="Arial" w:hAnsi="Arial" w:cs="Arial"/>
          <w:sz w:val="20"/>
          <w:szCs w:val="20"/>
        </w:rPr>
        <w:t>januárig tartó látványos</w:t>
      </w:r>
      <w:r w:rsidR="00E5399F">
        <w:rPr>
          <w:rFonts w:ascii="Arial" w:hAnsi="Arial" w:cs="Arial"/>
          <w:sz w:val="20"/>
          <w:szCs w:val="20"/>
        </w:rPr>
        <w:t xml:space="preserve">, 3 éves csúcsra </w:t>
      </w:r>
      <w:r w:rsidR="005C518C" w:rsidRPr="00EB25E7">
        <w:rPr>
          <w:rFonts w:ascii="Arial" w:hAnsi="Arial" w:cs="Arial"/>
          <w:sz w:val="20"/>
          <w:szCs w:val="20"/>
        </w:rPr>
        <w:t xml:space="preserve">erősödése </w:t>
      </w:r>
      <w:r w:rsidR="00973B95">
        <w:rPr>
          <w:rFonts w:ascii="Arial" w:hAnsi="Arial" w:cs="Arial"/>
          <w:sz w:val="20"/>
          <w:szCs w:val="20"/>
        </w:rPr>
        <w:t>rövidtávon</w:t>
      </w:r>
      <w:r w:rsidR="005C518C" w:rsidRPr="00EB25E7">
        <w:rPr>
          <w:rFonts w:ascii="Arial" w:hAnsi="Arial" w:cs="Arial"/>
          <w:sz w:val="20"/>
          <w:szCs w:val="20"/>
        </w:rPr>
        <w:t xml:space="preserve"> </w:t>
      </w:r>
      <w:r w:rsidR="00973B95">
        <w:rPr>
          <w:rFonts w:ascii="Arial" w:hAnsi="Arial" w:cs="Arial"/>
          <w:sz w:val="20"/>
          <w:szCs w:val="20"/>
        </w:rPr>
        <w:t>akadályozta</w:t>
      </w:r>
      <w:r w:rsidR="005C518C" w:rsidRPr="00EB25E7">
        <w:rPr>
          <w:rFonts w:ascii="Arial" w:hAnsi="Arial" w:cs="Arial"/>
          <w:sz w:val="20"/>
          <w:szCs w:val="20"/>
        </w:rPr>
        <w:t>, hogy közeledjen a céljához</w:t>
      </w:r>
      <w:r w:rsidR="00C36102">
        <w:rPr>
          <w:rFonts w:ascii="Arial" w:hAnsi="Arial" w:cs="Arial"/>
          <w:sz w:val="20"/>
          <w:szCs w:val="20"/>
        </w:rPr>
        <w:t xml:space="preserve"> az EKB</w:t>
      </w:r>
      <w:r w:rsidR="005C518C" w:rsidRPr="00EB25E7">
        <w:rPr>
          <w:rFonts w:ascii="Arial" w:hAnsi="Arial" w:cs="Arial"/>
          <w:sz w:val="20"/>
          <w:szCs w:val="20"/>
        </w:rPr>
        <w:t xml:space="preserve">, </w:t>
      </w:r>
      <w:r w:rsidR="007217E9">
        <w:rPr>
          <w:rFonts w:ascii="Arial" w:hAnsi="Arial" w:cs="Arial"/>
          <w:sz w:val="20"/>
          <w:szCs w:val="20"/>
        </w:rPr>
        <w:t xml:space="preserve">viszont </w:t>
      </w:r>
      <w:r w:rsidR="003D79E5">
        <w:rPr>
          <w:rFonts w:ascii="Arial" w:hAnsi="Arial" w:cs="Arial"/>
          <w:sz w:val="20"/>
          <w:szCs w:val="20"/>
        </w:rPr>
        <w:t>a felerősödött</w:t>
      </w:r>
      <w:r w:rsidR="00973B95">
        <w:rPr>
          <w:rFonts w:ascii="Arial" w:hAnsi="Arial" w:cs="Arial"/>
          <w:sz w:val="20"/>
          <w:szCs w:val="20"/>
        </w:rPr>
        <w:t xml:space="preserve"> amerikai inflációs félelmek és </w:t>
      </w:r>
      <w:r w:rsidR="007217E9">
        <w:rPr>
          <w:rFonts w:ascii="Arial" w:hAnsi="Arial" w:cs="Arial"/>
          <w:sz w:val="20"/>
          <w:szCs w:val="20"/>
        </w:rPr>
        <w:t xml:space="preserve">látványosan </w:t>
      </w:r>
      <w:r w:rsidR="00973B95">
        <w:rPr>
          <w:rFonts w:ascii="Arial" w:hAnsi="Arial" w:cs="Arial"/>
          <w:sz w:val="20"/>
          <w:szCs w:val="20"/>
        </w:rPr>
        <w:t>emelkedő kötvényhozamok miatt véget ért az eur</w:t>
      </w:r>
      <w:r w:rsidR="00D47099">
        <w:rPr>
          <w:rFonts w:ascii="Arial" w:hAnsi="Arial" w:cs="Arial"/>
          <w:sz w:val="20"/>
          <w:szCs w:val="20"/>
        </w:rPr>
        <w:t xml:space="preserve">ó </w:t>
      </w:r>
      <w:r w:rsidR="005055F7">
        <w:rPr>
          <w:rFonts w:ascii="Arial" w:hAnsi="Arial" w:cs="Arial"/>
          <w:sz w:val="20"/>
          <w:szCs w:val="20"/>
        </w:rPr>
        <w:t>erősödő trendje</w:t>
      </w:r>
      <w:r w:rsidR="007217E9">
        <w:rPr>
          <w:rFonts w:ascii="Arial" w:hAnsi="Arial" w:cs="Arial"/>
          <w:sz w:val="20"/>
          <w:szCs w:val="20"/>
        </w:rPr>
        <w:t xml:space="preserve"> és a fenti okok, plusz akár a kínai ingatlanpiaci problémák miatti menedékkeresés miatt immár 1.17 alá erősödött a dollár.</w:t>
      </w:r>
    </w:p>
    <w:p w14:paraId="11F7F900" w14:textId="77777777" w:rsidR="00551C3F" w:rsidRPr="00F45B67" w:rsidRDefault="003D79E5" w:rsidP="00EB25E7">
      <w:pPr>
        <w:spacing w:line="360" w:lineRule="auto"/>
        <w:jc w:val="both"/>
        <w:rPr>
          <w:rFonts w:ascii="Arial" w:hAnsi="Arial" w:cs="Arial"/>
          <w:sz w:val="20"/>
          <w:szCs w:val="20"/>
        </w:rPr>
      </w:pPr>
      <w:r>
        <w:rPr>
          <w:rFonts w:ascii="Arial" w:hAnsi="Arial" w:cs="Arial"/>
          <w:sz w:val="20"/>
          <w:szCs w:val="20"/>
        </w:rPr>
        <w:t xml:space="preserve">A </w:t>
      </w:r>
      <w:r w:rsidR="007527FE">
        <w:rPr>
          <w:rFonts w:ascii="Arial" w:hAnsi="Arial" w:cs="Arial"/>
          <w:sz w:val="20"/>
          <w:szCs w:val="20"/>
        </w:rPr>
        <w:t xml:space="preserve">laza kondíciók </w:t>
      </w:r>
      <w:r w:rsidR="007217E9">
        <w:rPr>
          <w:rFonts w:ascii="Arial" w:hAnsi="Arial" w:cs="Arial"/>
          <w:sz w:val="20"/>
          <w:szCs w:val="20"/>
        </w:rPr>
        <w:t>lehetséges fenntartása</w:t>
      </w:r>
      <w:r w:rsidR="007527FE">
        <w:rPr>
          <w:rFonts w:ascii="Arial" w:hAnsi="Arial" w:cs="Arial"/>
          <w:sz w:val="20"/>
          <w:szCs w:val="20"/>
        </w:rPr>
        <w:t xml:space="preserve"> érdekében </w:t>
      </w:r>
      <w:r w:rsidR="007217E9">
        <w:rPr>
          <w:rFonts w:ascii="Arial" w:hAnsi="Arial" w:cs="Arial"/>
          <w:sz w:val="20"/>
          <w:szCs w:val="20"/>
        </w:rPr>
        <w:t>eközben új</w:t>
      </w:r>
      <w:r w:rsidR="005C518C" w:rsidRPr="00EB25E7">
        <w:rPr>
          <w:rFonts w:ascii="Arial" w:hAnsi="Arial" w:cs="Arial"/>
          <w:sz w:val="20"/>
          <w:szCs w:val="20"/>
        </w:rPr>
        <w:t xml:space="preserve"> fejezetet nyitott a Fed is a monetáris politik</w:t>
      </w:r>
      <w:r w:rsidR="007527FE">
        <w:rPr>
          <w:rFonts w:ascii="Arial" w:hAnsi="Arial" w:cs="Arial"/>
          <w:sz w:val="20"/>
          <w:szCs w:val="20"/>
        </w:rPr>
        <w:t xml:space="preserve">a történetében, miután az eddigi horgonyzott </w:t>
      </w:r>
      <w:r w:rsidR="005C518C" w:rsidRPr="00EB25E7">
        <w:rPr>
          <w:rFonts w:ascii="Arial" w:hAnsi="Arial" w:cs="Arial"/>
          <w:sz w:val="20"/>
          <w:szCs w:val="20"/>
        </w:rPr>
        <w:t>inflációs célkövetési rendszerét módosítva nem egy meghatározott, fix inflációs cél elérését, hanem egy – meg nem határozott hosszúságú – gazdasági ciklusban átlagosan megvalósuló inflációt tűzött ki</w:t>
      </w:r>
      <w:r w:rsidR="007217E9">
        <w:rPr>
          <w:rFonts w:ascii="Arial" w:hAnsi="Arial" w:cs="Arial"/>
          <w:sz w:val="20"/>
          <w:szCs w:val="20"/>
        </w:rPr>
        <w:t>, így kell teljesülnie a 2%-os inflációs célnak</w:t>
      </w:r>
      <w:r w:rsidR="005C518C" w:rsidRPr="00EB25E7">
        <w:rPr>
          <w:rFonts w:ascii="Arial" w:hAnsi="Arial" w:cs="Arial"/>
          <w:sz w:val="20"/>
          <w:szCs w:val="20"/>
        </w:rPr>
        <w:t xml:space="preserve">. Ez a mutató csak 2004 közepe és a 2008-as pénzügyi válság őszi kitörése között tartózkodott enyhén </w:t>
      </w:r>
      <w:r w:rsidR="007217E9">
        <w:rPr>
          <w:rFonts w:ascii="Arial" w:hAnsi="Arial" w:cs="Arial"/>
          <w:sz w:val="20"/>
          <w:szCs w:val="20"/>
        </w:rPr>
        <w:t>e felett, míg a</w:t>
      </w:r>
      <w:r w:rsidR="005C518C" w:rsidRPr="00EB25E7">
        <w:rPr>
          <w:rFonts w:ascii="Arial" w:hAnsi="Arial" w:cs="Arial"/>
          <w:sz w:val="20"/>
          <w:szCs w:val="20"/>
        </w:rPr>
        <w:t xml:space="preserve">zóta csupán kétszer lépte át átmenetileg néhány hónapra a kitűzött célt, az elmúlt tíz év átlaga pedig mindössze 1,6 százalék volt. </w:t>
      </w:r>
      <w:r w:rsidR="002E5E1E">
        <w:rPr>
          <w:rFonts w:ascii="Arial" w:hAnsi="Arial" w:cs="Arial"/>
          <w:sz w:val="20"/>
          <w:szCs w:val="20"/>
        </w:rPr>
        <w:t xml:space="preserve">Jelenleg </w:t>
      </w:r>
      <w:r w:rsidR="007217E9">
        <w:rPr>
          <w:rFonts w:ascii="Arial" w:hAnsi="Arial" w:cs="Arial"/>
          <w:sz w:val="20"/>
          <w:szCs w:val="20"/>
        </w:rPr>
        <w:t>még</w:t>
      </w:r>
      <w:r w:rsidR="002E5E1E">
        <w:rPr>
          <w:rFonts w:ascii="Arial" w:hAnsi="Arial" w:cs="Arial"/>
          <w:sz w:val="20"/>
          <w:szCs w:val="20"/>
        </w:rPr>
        <w:t xml:space="preserve"> kérdéses, hogy az amerikai infláció </w:t>
      </w:r>
      <w:r w:rsidR="007217E9">
        <w:rPr>
          <w:rFonts w:ascii="Arial" w:hAnsi="Arial" w:cs="Arial"/>
          <w:sz w:val="20"/>
          <w:szCs w:val="20"/>
        </w:rPr>
        <w:t>5% körüli szintje</w:t>
      </w:r>
      <w:r w:rsidR="002E5E1E">
        <w:rPr>
          <w:rFonts w:ascii="Arial" w:hAnsi="Arial" w:cs="Arial"/>
          <w:sz w:val="20"/>
          <w:szCs w:val="20"/>
        </w:rPr>
        <w:t xml:space="preserve"> mennyire lesz </w:t>
      </w:r>
      <w:proofErr w:type="gramStart"/>
      <w:r w:rsidR="002E5E1E">
        <w:rPr>
          <w:rFonts w:ascii="Arial" w:hAnsi="Arial" w:cs="Arial"/>
          <w:sz w:val="20"/>
          <w:szCs w:val="20"/>
        </w:rPr>
        <w:t>tartós</w:t>
      </w:r>
      <w:proofErr w:type="gramEnd"/>
      <w:r w:rsidR="002E5E1E">
        <w:rPr>
          <w:rFonts w:ascii="Arial" w:hAnsi="Arial" w:cs="Arial"/>
          <w:sz w:val="20"/>
          <w:szCs w:val="20"/>
        </w:rPr>
        <w:t xml:space="preserve"> i</w:t>
      </w:r>
      <w:r w:rsidR="00EC4D3F">
        <w:rPr>
          <w:rFonts w:ascii="Arial" w:hAnsi="Arial" w:cs="Arial"/>
          <w:sz w:val="20"/>
          <w:szCs w:val="20"/>
        </w:rPr>
        <w:t>lle</w:t>
      </w:r>
      <w:r w:rsidR="007217E9">
        <w:rPr>
          <w:rFonts w:ascii="Arial" w:hAnsi="Arial" w:cs="Arial"/>
          <w:sz w:val="20"/>
          <w:szCs w:val="20"/>
        </w:rPr>
        <w:t>tve az elhalasztott keresl</w:t>
      </w:r>
      <w:r w:rsidR="004F2D54">
        <w:rPr>
          <w:rFonts w:ascii="Arial" w:hAnsi="Arial" w:cs="Arial"/>
          <w:sz w:val="20"/>
          <w:szCs w:val="20"/>
        </w:rPr>
        <w:t xml:space="preserve">et, a nyersanyag áremelkedés, a </w:t>
      </w:r>
      <w:proofErr w:type="spellStart"/>
      <w:r w:rsidR="004F2D54">
        <w:rPr>
          <w:rFonts w:ascii="Arial" w:hAnsi="Arial" w:cs="Arial"/>
          <w:sz w:val="20"/>
          <w:szCs w:val="20"/>
        </w:rPr>
        <w:t>deglobalizáció</w:t>
      </w:r>
      <w:proofErr w:type="spellEnd"/>
      <w:r w:rsidR="004F2D54">
        <w:rPr>
          <w:rFonts w:ascii="Arial" w:hAnsi="Arial" w:cs="Arial"/>
          <w:sz w:val="20"/>
          <w:szCs w:val="20"/>
        </w:rPr>
        <w:t xml:space="preserve"> és </w:t>
      </w:r>
      <w:r w:rsidR="007217E9">
        <w:rPr>
          <w:rFonts w:ascii="Arial" w:hAnsi="Arial" w:cs="Arial"/>
          <w:sz w:val="20"/>
          <w:szCs w:val="20"/>
        </w:rPr>
        <w:t xml:space="preserve">az ellátási láncok átalakulásával, kiegészülve az </w:t>
      </w:r>
      <w:r w:rsidR="004F2D54">
        <w:rPr>
          <w:rFonts w:ascii="Arial" w:hAnsi="Arial" w:cs="Arial"/>
          <w:sz w:val="20"/>
          <w:szCs w:val="20"/>
        </w:rPr>
        <w:t>egyelőre</w:t>
      </w:r>
      <w:r w:rsidR="007217E9">
        <w:rPr>
          <w:rFonts w:ascii="Arial" w:hAnsi="Arial" w:cs="Arial"/>
          <w:sz w:val="20"/>
          <w:szCs w:val="20"/>
        </w:rPr>
        <w:t xml:space="preserve"> még továbbra is havi 120 milliárd dolláros volumenben zajló kötvényvásárlásokkal</w:t>
      </w:r>
      <w:r w:rsidR="00EC4D3F">
        <w:rPr>
          <w:rFonts w:ascii="Arial" w:hAnsi="Arial" w:cs="Arial"/>
          <w:sz w:val="20"/>
          <w:szCs w:val="20"/>
        </w:rPr>
        <w:t>.</w:t>
      </w:r>
      <w:r w:rsidR="005C518C" w:rsidRPr="00EB25E7">
        <w:rPr>
          <w:rFonts w:ascii="Arial" w:hAnsi="Arial" w:cs="Arial"/>
          <w:sz w:val="20"/>
          <w:szCs w:val="20"/>
        </w:rPr>
        <w:t xml:space="preserve"> </w:t>
      </w:r>
      <w:r w:rsidR="00EC4D3F">
        <w:rPr>
          <w:rFonts w:ascii="Arial" w:hAnsi="Arial" w:cs="Arial"/>
          <w:sz w:val="20"/>
          <w:szCs w:val="20"/>
        </w:rPr>
        <w:t xml:space="preserve">De </w:t>
      </w:r>
      <w:r w:rsidR="007217E9">
        <w:rPr>
          <w:rFonts w:ascii="Arial" w:hAnsi="Arial" w:cs="Arial"/>
          <w:sz w:val="20"/>
          <w:szCs w:val="20"/>
        </w:rPr>
        <w:t xml:space="preserve">ez alapján </w:t>
      </w:r>
      <w:r w:rsidR="00EC4D3F">
        <w:rPr>
          <w:rFonts w:ascii="Arial" w:hAnsi="Arial" w:cs="Arial"/>
          <w:sz w:val="20"/>
          <w:szCs w:val="20"/>
        </w:rPr>
        <w:t>a</w:t>
      </w:r>
      <w:r w:rsidR="005C518C" w:rsidRPr="00EB25E7">
        <w:rPr>
          <w:rFonts w:ascii="Arial" w:hAnsi="Arial" w:cs="Arial"/>
          <w:sz w:val="20"/>
          <w:szCs w:val="20"/>
        </w:rPr>
        <w:t xml:space="preserve"> Fed elméletileg </w:t>
      </w:r>
      <w:r w:rsidR="005C518C" w:rsidRPr="00EB25E7">
        <w:rPr>
          <w:rFonts w:ascii="Arial" w:hAnsi="Arial" w:cs="Arial"/>
          <w:sz w:val="20"/>
          <w:szCs w:val="20"/>
        </w:rPr>
        <w:lastRenderedPageBreak/>
        <w:t xml:space="preserve">azt is megtehetné, hogy amennyiben 2 százalék fölé kerül az </w:t>
      </w:r>
      <w:r w:rsidR="00C36102">
        <w:rPr>
          <w:rFonts w:ascii="Arial" w:hAnsi="Arial" w:cs="Arial"/>
          <w:sz w:val="20"/>
          <w:szCs w:val="20"/>
        </w:rPr>
        <w:t>ár</w:t>
      </w:r>
      <w:r w:rsidR="005C518C" w:rsidRPr="00EB25E7">
        <w:rPr>
          <w:rFonts w:ascii="Arial" w:hAnsi="Arial" w:cs="Arial"/>
          <w:sz w:val="20"/>
          <w:szCs w:val="20"/>
        </w:rPr>
        <w:t>index</w:t>
      </w:r>
      <w:r w:rsidR="00EC4D3F">
        <w:rPr>
          <w:rFonts w:ascii="Arial" w:hAnsi="Arial" w:cs="Arial"/>
          <w:sz w:val="20"/>
          <w:szCs w:val="20"/>
        </w:rPr>
        <w:t xml:space="preserve"> tartósan</w:t>
      </w:r>
      <w:r w:rsidR="005C518C" w:rsidRPr="00EB25E7">
        <w:rPr>
          <w:rFonts w:ascii="Arial" w:hAnsi="Arial" w:cs="Arial"/>
          <w:sz w:val="20"/>
          <w:szCs w:val="20"/>
        </w:rPr>
        <w:t xml:space="preserve">, akár </w:t>
      </w:r>
      <w:r w:rsidR="002E5E1E">
        <w:rPr>
          <w:rFonts w:ascii="Arial" w:hAnsi="Arial" w:cs="Arial"/>
          <w:sz w:val="20"/>
          <w:szCs w:val="20"/>
        </w:rPr>
        <w:t>hosszú évek</w:t>
      </w:r>
      <w:r w:rsidR="005C518C" w:rsidRPr="00EB25E7">
        <w:rPr>
          <w:rFonts w:ascii="Arial" w:hAnsi="Arial" w:cs="Arial"/>
          <w:sz w:val="20"/>
          <w:szCs w:val="20"/>
        </w:rPr>
        <w:t xml:space="preserve"> távlatban sem kezd neki a szigorításnak, amennyiben csak annyival haladja meg a jövőbeli átlagos infláció a 2 százalékot, mint amennyivel </w:t>
      </w:r>
      <w:r w:rsidR="00C36102">
        <w:rPr>
          <w:rFonts w:ascii="Arial" w:hAnsi="Arial" w:cs="Arial"/>
          <w:sz w:val="20"/>
          <w:szCs w:val="20"/>
        </w:rPr>
        <w:t xml:space="preserve">a korábbi </w:t>
      </w:r>
      <w:r w:rsidR="002E5E1E">
        <w:rPr>
          <w:rFonts w:ascii="Arial" w:hAnsi="Arial" w:cs="Arial"/>
          <w:sz w:val="20"/>
          <w:szCs w:val="20"/>
        </w:rPr>
        <w:t>évtizedben</w:t>
      </w:r>
      <w:r w:rsidR="005C518C" w:rsidRPr="00EB25E7">
        <w:rPr>
          <w:rFonts w:ascii="Arial" w:hAnsi="Arial" w:cs="Arial"/>
          <w:sz w:val="20"/>
          <w:szCs w:val="20"/>
        </w:rPr>
        <w:t xml:space="preserve"> elmaradt attól</w:t>
      </w:r>
      <w:r w:rsidR="007217E9">
        <w:rPr>
          <w:rFonts w:ascii="Arial" w:hAnsi="Arial" w:cs="Arial"/>
          <w:sz w:val="20"/>
          <w:szCs w:val="20"/>
        </w:rPr>
        <w:t>, igaz az elmúlt hónapok adatai már láthatóan a jegybank tűréshatárát is elérték</w:t>
      </w:r>
      <w:r w:rsidR="005C518C" w:rsidRPr="00EB25E7">
        <w:rPr>
          <w:rFonts w:ascii="Arial" w:hAnsi="Arial" w:cs="Arial"/>
          <w:sz w:val="20"/>
          <w:szCs w:val="20"/>
        </w:rPr>
        <w:t xml:space="preserve">. </w:t>
      </w:r>
      <w:r w:rsidR="00F74F37">
        <w:rPr>
          <w:rFonts w:ascii="Arial" w:hAnsi="Arial" w:cs="Arial"/>
          <w:b/>
          <w:sz w:val="20"/>
          <w:szCs w:val="20"/>
        </w:rPr>
        <w:t xml:space="preserve">A világ leginkább figyelemmel kísért jegybankjánál az eszköztár bővítésének </w:t>
      </w:r>
      <w:r w:rsidR="005C518C" w:rsidRPr="00EB25E7">
        <w:rPr>
          <w:rFonts w:ascii="Arial" w:hAnsi="Arial" w:cs="Arial"/>
          <w:b/>
          <w:sz w:val="20"/>
          <w:szCs w:val="20"/>
        </w:rPr>
        <w:t xml:space="preserve">hatására </w:t>
      </w:r>
      <w:r w:rsidR="007217E9">
        <w:rPr>
          <w:rFonts w:ascii="Arial" w:hAnsi="Arial" w:cs="Arial"/>
          <w:b/>
          <w:sz w:val="20"/>
          <w:szCs w:val="20"/>
        </w:rPr>
        <w:t xml:space="preserve">továbbra is (!) </w:t>
      </w:r>
      <w:r w:rsidR="004829D5">
        <w:rPr>
          <w:rFonts w:ascii="Arial" w:hAnsi="Arial" w:cs="Arial"/>
          <w:b/>
          <w:sz w:val="20"/>
          <w:szCs w:val="20"/>
        </w:rPr>
        <w:t>szédítő tempóban emelkedik</w:t>
      </w:r>
      <w:r w:rsidR="005C518C" w:rsidRPr="00EB25E7">
        <w:rPr>
          <w:rFonts w:ascii="Arial" w:hAnsi="Arial" w:cs="Arial"/>
          <w:b/>
          <w:sz w:val="20"/>
          <w:szCs w:val="20"/>
        </w:rPr>
        <w:t xml:space="preserve"> a </w:t>
      </w:r>
      <w:r w:rsidR="00F74F37">
        <w:rPr>
          <w:rFonts w:ascii="Arial" w:hAnsi="Arial" w:cs="Arial"/>
          <w:b/>
          <w:sz w:val="20"/>
          <w:szCs w:val="20"/>
        </w:rPr>
        <w:t>mérleg</w:t>
      </w:r>
      <w:r w:rsidR="005C518C" w:rsidRPr="00EB25E7">
        <w:rPr>
          <w:rFonts w:ascii="Arial" w:hAnsi="Arial" w:cs="Arial"/>
          <w:b/>
          <w:sz w:val="20"/>
          <w:szCs w:val="20"/>
        </w:rPr>
        <w:t xml:space="preserve"> </w:t>
      </w:r>
      <w:r w:rsidR="004829D5">
        <w:rPr>
          <w:rFonts w:ascii="Arial" w:hAnsi="Arial" w:cs="Arial"/>
          <w:b/>
          <w:sz w:val="20"/>
          <w:szCs w:val="20"/>
        </w:rPr>
        <w:t xml:space="preserve">tavaly </w:t>
      </w:r>
      <w:r w:rsidR="005C518C" w:rsidRPr="00EB25E7">
        <w:rPr>
          <w:rFonts w:ascii="Arial" w:hAnsi="Arial" w:cs="Arial"/>
          <w:b/>
          <w:sz w:val="20"/>
          <w:szCs w:val="20"/>
        </w:rPr>
        <w:t xml:space="preserve">februártól kezdve, az akkori 3900 milliárd dolláros szintről </w:t>
      </w:r>
      <w:r w:rsidR="00F74F37">
        <w:rPr>
          <w:rFonts w:ascii="Arial" w:hAnsi="Arial" w:cs="Arial"/>
          <w:b/>
          <w:sz w:val="20"/>
          <w:szCs w:val="20"/>
        </w:rPr>
        <w:t xml:space="preserve">idén </w:t>
      </w:r>
      <w:r w:rsidR="002C0FFB">
        <w:rPr>
          <w:rFonts w:ascii="Arial" w:hAnsi="Arial" w:cs="Arial"/>
          <w:b/>
          <w:sz w:val="20"/>
          <w:szCs w:val="20"/>
        </w:rPr>
        <w:t>szeptember végéig</w:t>
      </w:r>
      <w:r w:rsidR="005C518C" w:rsidRPr="00EB25E7">
        <w:rPr>
          <w:rFonts w:ascii="Arial" w:hAnsi="Arial" w:cs="Arial"/>
          <w:b/>
          <w:sz w:val="20"/>
          <w:szCs w:val="20"/>
        </w:rPr>
        <w:t xml:space="preserve"> </w:t>
      </w:r>
      <w:r w:rsidR="00F74F37">
        <w:rPr>
          <w:rFonts w:ascii="Arial" w:hAnsi="Arial" w:cs="Arial"/>
          <w:b/>
          <w:sz w:val="20"/>
          <w:szCs w:val="20"/>
        </w:rPr>
        <w:t>elérte a 8000 milliárdos</w:t>
      </w:r>
      <w:r w:rsidR="0005130E">
        <w:rPr>
          <w:rFonts w:ascii="Arial" w:hAnsi="Arial" w:cs="Arial"/>
          <w:b/>
          <w:sz w:val="20"/>
          <w:szCs w:val="20"/>
        </w:rPr>
        <w:t xml:space="preserve"> </w:t>
      </w:r>
      <w:r w:rsidR="00F74F37">
        <w:rPr>
          <w:rFonts w:ascii="Arial" w:hAnsi="Arial" w:cs="Arial"/>
          <w:b/>
          <w:sz w:val="20"/>
          <w:szCs w:val="20"/>
        </w:rPr>
        <w:t>szintet</w:t>
      </w:r>
      <w:r w:rsidR="0005130E">
        <w:rPr>
          <w:rFonts w:ascii="Arial" w:hAnsi="Arial" w:cs="Arial"/>
          <w:b/>
          <w:sz w:val="20"/>
          <w:szCs w:val="20"/>
        </w:rPr>
        <w:t xml:space="preserve"> </w:t>
      </w:r>
      <w:r w:rsidR="00D629D1">
        <w:rPr>
          <w:rFonts w:ascii="Arial" w:hAnsi="Arial" w:cs="Arial"/>
          <w:b/>
          <w:sz w:val="20"/>
          <w:szCs w:val="20"/>
        </w:rPr>
        <w:t>folyamatos emelkedést követően</w:t>
      </w:r>
      <w:r w:rsidR="0005130E">
        <w:rPr>
          <w:rFonts w:ascii="Arial" w:hAnsi="Arial" w:cs="Arial"/>
          <w:b/>
          <w:sz w:val="20"/>
          <w:szCs w:val="20"/>
        </w:rPr>
        <w:t xml:space="preserve">, ami </w:t>
      </w:r>
      <w:r w:rsidR="00F74F37">
        <w:rPr>
          <w:rFonts w:ascii="Arial" w:hAnsi="Arial" w:cs="Arial"/>
          <w:b/>
          <w:sz w:val="20"/>
          <w:szCs w:val="20"/>
        </w:rPr>
        <w:t xml:space="preserve">immár </w:t>
      </w:r>
      <w:r w:rsidR="006D18CC">
        <w:rPr>
          <w:rFonts w:ascii="Arial" w:hAnsi="Arial" w:cs="Arial"/>
          <w:b/>
          <w:sz w:val="20"/>
          <w:szCs w:val="20"/>
        </w:rPr>
        <w:t xml:space="preserve">az amerikai </w:t>
      </w:r>
      <w:r w:rsidR="007A7C98">
        <w:rPr>
          <w:rFonts w:ascii="Arial" w:hAnsi="Arial" w:cs="Arial"/>
          <w:b/>
          <w:sz w:val="20"/>
          <w:szCs w:val="20"/>
        </w:rPr>
        <w:t xml:space="preserve">GDP </w:t>
      </w:r>
      <w:r w:rsidR="00D629D1">
        <w:rPr>
          <w:rFonts w:ascii="Arial" w:hAnsi="Arial" w:cs="Arial"/>
          <w:b/>
          <w:sz w:val="20"/>
          <w:szCs w:val="20"/>
        </w:rPr>
        <w:t>38</w:t>
      </w:r>
      <w:r w:rsidR="0005130E">
        <w:rPr>
          <w:rFonts w:ascii="Arial" w:hAnsi="Arial" w:cs="Arial"/>
          <w:b/>
          <w:sz w:val="20"/>
          <w:szCs w:val="20"/>
        </w:rPr>
        <w:t xml:space="preserve">%-a. </w:t>
      </w:r>
      <w:r w:rsidR="0005130E" w:rsidRPr="00F45B67">
        <w:rPr>
          <w:rFonts w:ascii="Arial" w:hAnsi="Arial" w:cs="Arial"/>
          <w:sz w:val="20"/>
          <w:szCs w:val="20"/>
        </w:rPr>
        <w:t xml:space="preserve">A növekedési volumen szinte egészét immár az amerikai állampapírok adják, míg a folyamat kezdetén jelentős arányt képviseltek a vásárlásokban a likviditási </w:t>
      </w:r>
      <w:proofErr w:type="spellStart"/>
      <w:r w:rsidR="0005130E" w:rsidRPr="00F45B67">
        <w:rPr>
          <w:rFonts w:ascii="Arial" w:hAnsi="Arial" w:cs="Arial"/>
          <w:sz w:val="20"/>
          <w:szCs w:val="20"/>
        </w:rPr>
        <w:t>swapok</w:t>
      </w:r>
      <w:proofErr w:type="spellEnd"/>
      <w:r w:rsidR="0005130E" w:rsidRPr="00F45B67">
        <w:rPr>
          <w:rFonts w:ascii="Arial" w:hAnsi="Arial" w:cs="Arial"/>
          <w:sz w:val="20"/>
          <w:szCs w:val="20"/>
        </w:rPr>
        <w:t xml:space="preserve"> és az MBS jelzálogpapírok is, bár ez utóbbiak állománya továbbra is 2000 milliárd dollár és nem csökken.</w:t>
      </w:r>
    </w:p>
    <w:p w14:paraId="71183D14" w14:textId="77777777" w:rsidR="00EB25E7" w:rsidRPr="00EB25E7" w:rsidRDefault="005C518C" w:rsidP="00316464">
      <w:pPr>
        <w:pStyle w:val="Alcmtbank"/>
      </w:pPr>
      <w:r>
        <w:t>Nemzetközi devizapiacok és</w:t>
      </w:r>
      <w:r w:rsidR="00BB3D72">
        <w:t xml:space="preserve"> a forint</w:t>
      </w:r>
    </w:p>
    <w:tbl>
      <w:tblPr>
        <w:tblW w:w="9641" w:type="dxa"/>
        <w:tblLook w:val="01E0" w:firstRow="1" w:lastRow="1" w:firstColumn="1" w:lastColumn="1" w:noHBand="0" w:noVBand="0"/>
      </w:tblPr>
      <w:tblGrid>
        <w:gridCol w:w="4329"/>
        <w:gridCol w:w="995"/>
        <w:gridCol w:w="4317"/>
      </w:tblGrid>
      <w:tr w:rsidR="00EB25E7" w:rsidRPr="003536D7" w14:paraId="76A434AA" w14:textId="77777777" w:rsidTr="00EB25E7">
        <w:tc>
          <w:tcPr>
            <w:tcW w:w="4329" w:type="dxa"/>
          </w:tcPr>
          <w:p w14:paraId="49EC1E6D" w14:textId="77777777" w:rsidR="00EB25E7" w:rsidRPr="00EB25E7" w:rsidRDefault="00222D2D" w:rsidP="00062C59">
            <w:pPr>
              <w:keepNext/>
              <w:spacing w:after="0"/>
              <w:jc w:val="center"/>
              <w:rPr>
                <w:rFonts w:ascii="Arial" w:hAnsi="Arial" w:cs="Arial"/>
                <w:b/>
                <w:color w:val="FF8500"/>
              </w:rPr>
            </w:pPr>
            <w:r>
              <w:rPr>
                <w:rFonts w:ascii="Arial" w:hAnsi="Arial" w:cs="Arial"/>
                <w:b/>
                <w:color w:val="FF8500"/>
              </w:rPr>
              <w:t>45</w:t>
            </w:r>
            <w:r w:rsidR="00EB25E7" w:rsidRPr="00EB25E7">
              <w:rPr>
                <w:rFonts w:ascii="Arial" w:hAnsi="Arial" w:cs="Arial"/>
                <w:b/>
                <w:color w:val="FF8500"/>
              </w:rPr>
              <w:t xml:space="preserve">. ábra: </w:t>
            </w:r>
            <w:r w:rsidR="00EB25E7" w:rsidRPr="00316464">
              <w:rPr>
                <w:rFonts w:ascii="Arial" w:hAnsi="Arial" w:cs="Arial"/>
                <w:bCs/>
                <w:color w:val="FF8500"/>
              </w:rPr>
              <w:t>Az EUR/USD keresztárfolyama</w:t>
            </w:r>
          </w:p>
        </w:tc>
        <w:tc>
          <w:tcPr>
            <w:tcW w:w="995" w:type="dxa"/>
          </w:tcPr>
          <w:p w14:paraId="025826AD" w14:textId="77777777" w:rsidR="00EB25E7" w:rsidRPr="00EB25E7" w:rsidRDefault="00EB25E7" w:rsidP="005C518C">
            <w:pPr>
              <w:keepNext/>
              <w:jc w:val="center"/>
              <w:rPr>
                <w:rFonts w:ascii="Arial" w:hAnsi="Arial" w:cs="Arial"/>
                <w:b/>
                <w:color w:val="FF8500"/>
              </w:rPr>
            </w:pPr>
          </w:p>
        </w:tc>
        <w:tc>
          <w:tcPr>
            <w:tcW w:w="4317" w:type="dxa"/>
          </w:tcPr>
          <w:p w14:paraId="0AD05D9E" w14:textId="77777777" w:rsidR="00EB25E7" w:rsidRPr="00EB25E7" w:rsidRDefault="00222D2D" w:rsidP="00062C59">
            <w:pPr>
              <w:keepNext/>
              <w:spacing w:after="0"/>
              <w:jc w:val="center"/>
              <w:rPr>
                <w:rFonts w:ascii="Arial" w:hAnsi="Arial" w:cs="Arial"/>
                <w:color w:val="FF8500"/>
                <w:sz w:val="18"/>
                <w:szCs w:val="18"/>
              </w:rPr>
            </w:pPr>
            <w:r>
              <w:rPr>
                <w:rFonts w:ascii="Arial" w:hAnsi="Arial" w:cs="Arial"/>
                <w:b/>
                <w:color w:val="FF8500"/>
              </w:rPr>
              <w:t>46</w:t>
            </w:r>
            <w:r w:rsidR="00EB25E7" w:rsidRPr="00EB25E7">
              <w:rPr>
                <w:rFonts w:ascii="Arial" w:hAnsi="Arial" w:cs="Arial"/>
                <w:b/>
                <w:color w:val="FF8500"/>
              </w:rPr>
              <w:t xml:space="preserve">. ábra: </w:t>
            </w:r>
            <w:r w:rsidR="00EB25E7" w:rsidRPr="00316464">
              <w:rPr>
                <w:rFonts w:ascii="Arial" w:hAnsi="Arial" w:cs="Arial"/>
                <w:bCs/>
                <w:color w:val="FF8500"/>
              </w:rPr>
              <w:t>Az USD/JPY keresztárfolyama</w:t>
            </w:r>
          </w:p>
        </w:tc>
      </w:tr>
      <w:tr w:rsidR="00EB25E7" w:rsidRPr="003536D7" w14:paraId="58B36A1D" w14:textId="77777777" w:rsidTr="00235608">
        <w:tblPrEx>
          <w:tblCellMar>
            <w:left w:w="70" w:type="dxa"/>
            <w:right w:w="70" w:type="dxa"/>
          </w:tblCellMar>
        </w:tblPrEx>
        <w:tc>
          <w:tcPr>
            <w:tcW w:w="4329" w:type="dxa"/>
          </w:tcPr>
          <w:p w14:paraId="14854C6C" w14:textId="77777777" w:rsidR="00EB25E7" w:rsidRPr="003536D7" w:rsidRDefault="00235608" w:rsidP="00062C59">
            <w:pPr>
              <w:keepNext/>
              <w:spacing w:after="0"/>
              <w:jc w:val="center"/>
              <w:rPr>
                <w:rFonts w:ascii="Arial" w:hAnsi="Arial" w:cs="Arial"/>
              </w:rPr>
            </w:pPr>
            <w:r>
              <w:rPr>
                <w:noProof/>
                <w:lang w:eastAsia="hu-HU"/>
              </w:rPr>
              <w:drawing>
                <wp:inline distT="0" distB="0" distL="0" distR="0" wp14:anchorId="51459E10" wp14:editId="76CD9996">
                  <wp:extent cx="2592000" cy="1595040"/>
                  <wp:effectExtent l="0" t="0" r="0" b="5715"/>
                  <wp:docPr id="38" name="Diagra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995" w:type="dxa"/>
          </w:tcPr>
          <w:p w14:paraId="58D17A5D" w14:textId="77777777" w:rsidR="00EB25E7" w:rsidRDefault="00EB25E7" w:rsidP="005C518C">
            <w:pPr>
              <w:keepNext/>
              <w:jc w:val="center"/>
              <w:rPr>
                <w:rFonts w:ascii="Arial" w:hAnsi="Arial" w:cs="Arial"/>
                <w:noProof/>
                <w:lang w:eastAsia="hu-HU"/>
              </w:rPr>
            </w:pPr>
          </w:p>
        </w:tc>
        <w:tc>
          <w:tcPr>
            <w:tcW w:w="4317" w:type="dxa"/>
          </w:tcPr>
          <w:p w14:paraId="77502549" w14:textId="77777777" w:rsidR="00EB25E7" w:rsidRPr="003536D7" w:rsidRDefault="00235608" w:rsidP="00062C59">
            <w:pPr>
              <w:keepNext/>
              <w:spacing w:after="0"/>
              <w:jc w:val="center"/>
              <w:rPr>
                <w:rFonts w:ascii="Arial" w:hAnsi="Arial" w:cs="Arial"/>
              </w:rPr>
            </w:pPr>
            <w:r>
              <w:rPr>
                <w:noProof/>
                <w:lang w:eastAsia="hu-HU"/>
              </w:rPr>
              <w:drawing>
                <wp:inline distT="0" distB="0" distL="0" distR="0" wp14:anchorId="4889FE29" wp14:editId="70E84FAC">
                  <wp:extent cx="2592000" cy="1595040"/>
                  <wp:effectExtent l="0" t="0" r="0" b="5715"/>
                  <wp:docPr id="40" name="Diagram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EB25E7" w:rsidRPr="00013747" w14:paraId="0C68CF02" w14:textId="77777777" w:rsidTr="00EB25E7">
        <w:trPr>
          <w:trHeight w:val="89"/>
        </w:trPr>
        <w:tc>
          <w:tcPr>
            <w:tcW w:w="4329" w:type="dxa"/>
          </w:tcPr>
          <w:p w14:paraId="75FAB977" w14:textId="77777777" w:rsidR="00EB25E7" w:rsidRPr="00013747" w:rsidRDefault="00EB25E7" w:rsidP="00062C59">
            <w:pPr>
              <w:pStyle w:val="Kpalrstbank"/>
              <w:spacing w:after="240"/>
              <w:jc w:val="left"/>
              <w:rPr>
                <w:sz w:val="14"/>
              </w:rPr>
            </w:pPr>
            <w:r w:rsidRPr="00013747">
              <w:rPr>
                <w:sz w:val="14"/>
              </w:rPr>
              <w:t xml:space="preserve">Forrás: </w:t>
            </w:r>
            <w:proofErr w:type="spellStart"/>
            <w:r w:rsidRPr="00013747">
              <w:rPr>
                <w:sz w:val="14"/>
              </w:rPr>
              <w:t>Bloomberg</w:t>
            </w:r>
            <w:proofErr w:type="spellEnd"/>
          </w:p>
        </w:tc>
        <w:tc>
          <w:tcPr>
            <w:tcW w:w="995" w:type="dxa"/>
          </w:tcPr>
          <w:p w14:paraId="2EAA0FC1" w14:textId="77777777" w:rsidR="00EB25E7" w:rsidRPr="00013747" w:rsidRDefault="00EB25E7" w:rsidP="00013747">
            <w:pPr>
              <w:pStyle w:val="Kpalrstbank"/>
              <w:jc w:val="left"/>
              <w:rPr>
                <w:sz w:val="14"/>
              </w:rPr>
            </w:pPr>
          </w:p>
        </w:tc>
        <w:tc>
          <w:tcPr>
            <w:tcW w:w="4317" w:type="dxa"/>
          </w:tcPr>
          <w:p w14:paraId="4D2B2CF7" w14:textId="77777777" w:rsidR="00EB25E7" w:rsidRPr="00013747" w:rsidRDefault="00EB25E7" w:rsidP="00013747">
            <w:pPr>
              <w:pStyle w:val="Kpalrstbank"/>
              <w:jc w:val="left"/>
              <w:rPr>
                <w:sz w:val="14"/>
              </w:rPr>
            </w:pPr>
            <w:r w:rsidRPr="00013747">
              <w:rPr>
                <w:sz w:val="14"/>
              </w:rPr>
              <w:t xml:space="preserve">Forrás: </w:t>
            </w:r>
            <w:proofErr w:type="spellStart"/>
            <w:r w:rsidRPr="00013747">
              <w:rPr>
                <w:sz w:val="14"/>
              </w:rPr>
              <w:t>Bloomberg</w:t>
            </w:r>
            <w:proofErr w:type="spellEnd"/>
          </w:p>
        </w:tc>
      </w:tr>
    </w:tbl>
    <w:p w14:paraId="2BDA39F3" w14:textId="77777777" w:rsidR="00711476" w:rsidRDefault="005C518C" w:rsidP="00EB25E7">
      <w:pPr>
        <w:spacing w:after="120" w:line="360" w:lineRule="auto"/>
        <w:jc w:val="both"/>
        <w:rPr>
          <w:rFonts w:ascii="Arial" w:hAnsi="Arial" w:cs="Arial"/>
          <w:sz w:val="20"/>
          <w:szCs w:val="20"/>
        </w:rPr>
      </w:pPr>
      <w:r w:rsidRPr="00EB25E7">
        <w:rPr>
          <w:rFonts w:ascii="Arial" w:hAnsi="Arial" w:cs="Arial"/>
          <w:b/>
          <w:sz w:val="20"/>
          <w:szCs w:val="20"/>
        </w:rPr>
        <w:t xml:space="preserve">Az EUR/USD </w:t>
      </w:r>
      <w:r w:rsidR="006826CA">
        <w:rPr>
          <w:rFonts w:ascii="Arial" w:hAnsi="Arial" w:cs="Arial"/>
          <w:b/>
          <w:sz w:val="20"/>
          <w:szCs w:val="20"/>
        </w:rPr>
        <w:t>kereszt esetében</w:t>
      </w:r>
      <w:r w:rsidRPr="00EB25E7">
        <w:rPr>
          <w:rFonts w:ascii="Arial" w:hAnsi="Arial" w:cs="Arial"/>
          <w:b/>
          <w:sz w:val="20"/>
          <w:szCs w:val="20"/>
        </w:rPr>
        <w:t xml:space="preserve"> </w:t>
      </w:r>
      <w:r w:rsidRPr="00551C3F">
        <w:rPr>
          <w:rFonts w:ascii="Arial" w:hAnsi="Arial" w:cs="Arial"/>
          <w:sz w:val="20"/>
          <w:szCs w:val="20"/>
        </w:rPr>
        <w:t xml:space="preserve">a </w:t>
      </w:r>
      <w:r w:rsidR="004F2D54">
        <w:rPr>
          <w:rFonts w:ascii="Arial" w:hAnsi="Arial" w:cs="Arial"/>
          <w:sz w:val="20"/>
          <w:szCs w:val="20"/>
        </w:rPr>
        <w:t xml:space="preserve">jelenleg ismét várhatóan divergensé váló </w:t>
      </w:r>
      <w:r w:rsidRPr="00551C3F">
        <w:rPr>
          <w:rFonts w:ascii="Arial" w:hAnsi="Arial" w:cs="Arial"/>
          <w:sz w:val="20"/>
          <w:szCs w:val="20"/>
        </w:rPr>
        <w:t>monetáris politikai lépéseken túl</w:t>
      </w:r>
      <w:r w:rsidRPr="00EB25E7">
        <w:rPr>
          <w:rFonts w:ascii="Arial" w:hAnsi="Arial" w:cs="Arial"/>
          <w:b/>
          <w:sz w:val="20"/>
          <w:szCs w:val="20"/>
        </w:rPr>
        <w:t xml:space="preserve"> fundamentális szempontból </w:t>
      </w:r>
      <w:r w:rsidR="008465BB" w:rsidRPr="00A54543">
        <w:rPr>
          <w:rFonts w:ascii="Arial" w:hAnsi="Arial" w:cs="Arial"/>
          <w:sz w:val="20"/>
          <w:szCs w:val="20"/>
        </w:rPr>
        <w:t>továbbra is</w:t>
      </w:r>
      <w:r w:rsidR="008465BB">
        <w:rPr>
          <w:rFonts w:ascii="Arial" w:hAnsi="Arial" w:cs="Arial"/>
          <w:b/>
          <w:sz w:val="20"/>
          <w:szCs w:val="20"/>
        </w:rPr>
        <w:t xml:space="preserve"> </w:t>
      </w:r>
      <w:r w:rsidRPr="00EB25E7">
        <w:rPr>
          <w:rFonts w:ascii="Arial" w:hAnsi="Arial" w:cs="Arial"/>
          <w:b/>
          <w:sz w:val="20"/>
          <w:szCs w:val="20"/>
        </w:rPr>
        <w:t xml:space="preserve">az euró moderált erősödése lenne indokolt, mivel az euróövezetben </w:t>
      </w:r>
      <w:r w:rsidR="00F15D78">
        <w:rPr>
          <w:rFonts w:ascii="Arial" w:hAnsi="Arial" w:cs="Arial"/>
          <w:b/>
          <w:sz w:val="20"/>
          <w:szCs w:val="20"/>
        </w:rPr>
        <w:t>továbbra is</w:t>
      </w:r>
      <w:r w:rsidR="00D934DE">
        <w:rPr>
          <w:rFonts w:ascii="Arial" w:hAnsi="Arial" w:cs="Arial"/>
          <w:b/>
          <w:sz w:val="20"/>
          <w:szCs w:val="20"/>
        </w:rPr>
        <w:t xml:space="preserve"> masszív fizetési mérleg többlet van</w:t>
      </w:r>
      <w:r w:rsidR="008465BB">
        <w:rPr>
          <w:rFonts w:ascii="Arial" w:hAnsi="Arial" w:cs="Arial"/>
          <w:b/>
          <w:sz w:val="20"/>
          <w:szCs w:val="20"/>
        </w:rPr>
        <w:t xml:space="preserve">, </w:t>
      </w:r>
      <w:r w:rsidR="008465BB" w:rsidRPr="00A54543">
        <w:rPr>
          <w:rFonts w:ascii="Arial" w:hAnsi="Arial" w:cs="Arial"/>
          <w:sz w:val="20"/>
          <w:szCs w:val="20"/>
        </w:rPr>
        <w:t xml:space="preserve">amit az ipar </w:t>
      </w:r>
      <w:r w:rsidR="00F15D78">
        <w:rPr>
          <w:rFonts w:ascii="Arial" w:hAnsi="Arial" w:cs="Arial"/>
          <w:sz w:val="20"/>
          <w:szCs w:val="20"/>
        </w:rPr>
        <w:t>gyors</w:t>
      </w:r>
      <w:r w:rsidR="008465BB" w:rsidRPr="00A54543">
        <w:rPr>
          <w:rFonts w:ascii="Arial" w:hAnsi="Arial" w:cs="Arial"/>
          <w:sz w:val="20"/>
          <w:szCs w:val="20"/>
        </w:rPr>
        <w:t xml:space="preserve"> helyreállása is hajt az ipari exportra erősen építő Európában</w:t>
      </w:r>
      <w:r w:rsidR="0041597F" w:rsidRPr="00A54543">
        <w:rPr>
          <w:rFonts w:ascii="Arial" w:hAnsi="Arial" w:cs="Arial"/>
          <w:sz w:val="20"/>
          <w:szCs w:val="20"/>
        </w:rPr>
        <w:t xml:space="preserve"> (2021</w:t>
      </w:r>
      <w:r w:rsidRPr="00A54543">
        <w:rPr>
          <w:rFonts w:ascii="Arial" w:hAnsi="Arial" w:cs="Arial"/>
          <w:sz w:val="20"/>
          <w:szCs w:val="20"/>
        </w:rPr>
        <w:t xml:space="preserve"> Q</w:t>
      </w:r>
      <w:r w:rsidR="00983B33">
        <w:rPr>
          <w:rFonts w:ascii="Arial" w:hAnsi="Arial" w:cs="Arial"/>
          <w:sz w:val="20"/>
          <w:szCs w:val="20"/>
        </w:rPr>
        <w:t>3</w:t>
      </w:r>
      <w:r w:rsidR="00D934DE" w:rsidRPr="00A54543">
        <w:rPr>
          <w:rFonts w:ascii="Arial" w:hAnsi="Arial" w:cs="Arial"/>
          <w:sz w:val="20"/>
          <w:szCs w:val="20"/>
        </w:rPr>
        <w:t>: +</w:t>
      </w:r>
      <w:r w:rsidR="00983B33">
        <w:rPr>
          <w:rFonts w:ascii="Arial" w:hAnsi="Arial" w:cs="Arial"/>
          <w:sz w:val="20"/>
          <w:szCs w:val="20"/>
        </w:rPr>
        <w:t>78.8</w:t>
      </w:r>
      <w:r w:rsidR="008465BB" w:rsidRPr="00A54543">
        <w:rPr>
          <w:rFonts w:ascii="Arial" w:hAnsi="Arial" w:cs="Arial"/>
          <w:sz w:val="20"/>
          <w:szCs w:val="20"/>
        </w:rPr>
        <w:t>Mrd EUR). E</w:t>
      </w:r>
      <w:r w:rsidRPr="00A54543">
        <w:rPr>
          <w:rFonts w:ascii="Arial" w:hAnsi="Arial" w:cs="Arial"/>
          <w:sz w:val="20"/>
          <w:szCs w:val="20"/>
        </w:rPr>
        <w:t xml:space="preserve">llentétben az amerikai, </w:t>
      </w:r>
      <w:r w:rsidR="004F2D54" w:rsidRPr="00A54543">
        <w:rPr>
          <w:rFonts w:ascii="Arial" w:hAnsi="Arial" w:cs="Arial"/>
          <w:sz w:val="20"/>
          <w:szCs w:val="20"/>
        </w:rPr>
        <w:t xml:space="preserve">a </w:t>
      </w:r>
      <w:proofErr w:type="spellStart"/>
      <w:r w:rsidR="004F2D54" w:rsidRPr="00A54543">
        <w:rPr>
          <w:rFonts w:ascii="Arial" w:hAnsi="Arial" w:cs="Arial"/>
          <w:sz w:val="20"/>
          <w:szCs w:val="20"/>
        </w:rPr>
        <w:t>pandémia</w:t>
      </w:r>
      <w:proofErr w:type="spellEnd"/>
      <w:r w:rsidR="004F2D54" w:rsidRPr="00A54543">
        <w:rPr>
          <w:rFonts w:ascii="Arial" w:hAnsi="Arial" w:cs="Arial"/>
          <w:sz w:val="20"/>
          <w:szCs w:val="20"/>
        </w:rPr>
        <w:t xml:space="preserve"> előtti szinthez képest is </w:t>
      </w:r>
      <w:proofErr w:type="spellStart"/>
      <w:r w:rsidR="004F2D54" w:rsidRPr="00A54543">
        <w:rPr>
          <w:rFonts w:ascii="Arial" w:hAnsi="Arial" w:cs="Arial"/>
          <w:sz w:val="20"/>
          <w:szCs w:val="20"/>
        </w:rPr>
        <w:t>méginkább</w:t>
      </w:r>
      <w:proofErr w:type="spellEnd"/>
      <w:r w:rsidR="004F2D54" w:rsidRPr="00A54543">
        <w:rPr>
          <w:rFonts w:ascii="Arial" w:hAnsi="Arial" w:cs="Arial"/>
          <w:sz w:val="20"/>
          <w:szCs w:val="20"/>
        </w:rPr>
        <w:t xml:space="preserve"> negatív szinttel (2</w:t>
      </w:r>
      <w:r w:rsidR="00983B33">
        <w:rPr>
          <w:rFonts w:ascii="Arial" w:hAnsi="Arial" w:cs="Arial"/>
          <w:sz w:val="20"/>
          <w:szCs w:val="20"/>
        </w:rPr>
        <w:t>021 Q3: -214.8</w:t>
      </w:r>
      <w:r w:rsidRPr="00A54543">
        <w:rPr>
          <w:rFonts w:ascii="Arial" w:hAnsi="Arial" w:cs="Arial"/>
          <w:sz w:val="20"/>
          <w:szCs w:val="20"/>
        </w:rPr>
        <w:t>Mrd USD)</w:t>
      </w:r>
      <w:r w:rsidR="00DB74EC" w:rsidRPr="00A54543">
        <w:rPr>
          <w:rFonts w:ascii="Arial" w:hAnsi="Arial" w:cs="Arial"/>
          <w:sz w:val="20"/>
          <w:szCs w:val="20"/>
        </w:rPr>
        <w:t xml:space="preserve">, ami összefüggésben áll a </w:t>
      </w:r>
      <w:r w:rsidR="00817934">
        <w:rPr>
          <w:rFonts w:ascii="Arial" w:hAnsi="Arial" w:cs="Arial"/>
          <w:sz w:val="20"/>
          <w:szCs w:val="20"/>
        </w:rPr>
        <w:t xml:space="preserve">– személyes kontaktust igénylő - </w:t>
      </w:r>
      <w:r w:rsidR="00DB74EC" w:rsidRPr="00A54543">
        <w:rPr>
          <w:rFonts w:ascii="Arial" w:hAnsi="Arial" w:cs="Arial"/>
          <w:sz w:val="20"/>
          <w:szCs w:val="20"/>
        </w:rPr>
        <w:t>szolgáltatás</w:t>
      </w:r>
      <w:r w:rsidR="00C36440" w:rsidRPr="00A54543">
        <w:rPr>
          <w:rFonts w:ascii="Arial" w:hAnsi="Arial" w:cs="Arial"/>
          <w:sz w:val="20"/>
          <w:szCs w:val="20"/>
        </w:rPr>
        <w:t xml:space="preserve">ok gyengélkedésével és ehelyett az iparcikkek </w:t>
      </w:r>
      <w:r w:rsidR="00DB74EC" w:rsidRPr="00A54543">
        <w:rPr>
          <w:rFonts w:ascii="Arial" w:hAnsi="Arial" w:cs="Arial"/>
          <w:sz w:val="20"/>
          <w:szCs w:val="20"/>
        </w:rPr>
        <w:t>fogyasztás</w:t>
      </w:r>
      <w:r w:rsidR="00C36440" w:rsidRPr="00A54543">
        <w:rPr>
          <w:rFonts w:ascii="Arial" w:hAnsi="Arial" w:cs="Arial"/>
          <w:sz w:val="20"/>
          <w:szCs w:val="20"/>
        </w:rPr>
        <w:t>ának</w:t>
      </w:r>
      <w:r w:rsidR="00F96C8D" w:rsidRPr="00A54543">
        <w:rPr>
          <w:rFonts w:ascii="Arial" w:hAnsi="Arial" w:cs="Arial"/>
          <w:sz w:val="20"/>
          <w:szCs w:val="20"/>
        </w:rPr>
        <w:t xml:space="preserve"> és importálásának</w:t>
      </w:r>
      <w:r w:rsidR="00DB74EC" w:rsidRPr="00A54543">
        <w:rPr>
          <w:rFonts w:ascii="Arial" w:hAnsi="Arial" w:cs="Arial"/>
          <w:sz w:val="20"/>
          <w:szCs w:val="20"/>
        </w:rPr>
        <w:t xml:space="preserve"> felpörgésével</w:t>
      </w:r>
      <w:r w:rsidR="00F15D78">
        <w:rPr>
          <w:rFonts w:ascii="Arial" w:hAnsi="Arial" w:cs="Arial"/>
          <w:sz w:val="20"/>
          <w:szCs w:val="20"/>
        </w:rPr>
        <w:t>, amit nagyrészt az ázsiai import fedez</w:t>
      </w:r>
      <w:r w:rsidRPr="00A54543">
        <w:rPr>
          <w:rFonts w:ascii="Arial" w:hAnsi="Arial" w:cs="Arial"/>
          <w:sz w:val="20"/>
          <w:szCs w:val="20"/>
        </w:rPr>
        <w:t xml:space="preserve">. </w:t>
      </w:r>
      <w:r w:rsidR="00DB74EC">
        <w:rPr>
          <w:rFonts w:ascii="Arial" w:hAnsi="Arial" w:cs="Arial"/>
          <w:sz w:val="20"/>
          <w:szCs w:val="20"/>
        </w:rPr>
        <w:t>A</w:t>
      </w:r>
      <w:r w:rsidRPr="00EB25E7">
        <w:rPr>
          <w:rFonts w:ascii="Arial" w:hAnsi="Arial" w:cs="Arial"/>
          <w:sz w:val="20"/>
          <w:szCs w:val="20"/>
        </w:rPr>
        <w:t xml:space="preserve"> jegybanki kommunikáció</w:t>
      </w:r>
      <w:r w:rsidR="00DB74EC">
        <w:rPr>
          <w:rFonts w:ascii="Arial" w:hAnsi="Arial" w:cs="Arial"/>
          <w:sz w:val="20"/>
          <w:szCs w:val="20"/>
        </w:rPr>
        <w:t xml:space="preserve"> és szóbeli intervenciók</w:t>
      </w:r>
      <w:r w:rsidRPr="00EB25E7">
        <w:rPr>
          <w:rFonts w:ascii="Arial" w:hAnsi="Arial" w:cs="Arial"/>
          <w:sz w:val="20"/>
          <w:szCs w:val="20"/>
        </w:rPr>
        <w:t xml:space="preserve"> azonban továbbra is elsődleges fontosságú</w:t>
      </w:r>
      <w:r w:rsidR="00DB74EC">
        <w:rPr>
          <w:rFonts w:ascii="Arial" w:hAnsi="Arial" w:cs="Arial"/>
          <w:sz w:val="20"/>
          <w:szCs w:val="20"/>
        </w:rPr>
        <w:t>ak</w:t>
      </w:r>
      <w:r w:rsidRPr="00EB25E7">
        <w:rPr>
          <w:rFonts w:ascii="Arial" w:hAnsi="Arial" w:cs="Arial"/>
          <w:sz w:val="20"/>
          <w:szCs w:val="20"/>
        </w:rPr>
        <w:t xml:space="preserve"> lesz</w:t>
      </w:r>
      <w:r w:rsidR="00DB74EC">
        <w:rPr>
          <w:rFonts w:ascii="Arial" w:hAnsi="Arial" w:cs="Arial"/>
          <w:sz w:val="20"/>
          <w:szCs w:val="20"/>
        </w:rPr>
        <w:t>nek</w:t>
      </w:r>
      <w:r w:rsidRPr="00EB25E7">
        <w:rPr>
          <w:rFonts w:ascii="Arial" w:hAnsi="Arial" w:cs="Arial"/>
          <w:sz w:val="20"/>
          <w:szCs w:val="20"/>
        </w:rPr>
        <w:t xml:space="preserve"> a</w:t>
      </w:r>
      <w:r w:rsidR="00DB74EC">
        <w:rPr>
          <w:rFonts w:ascii="Arial" w:hAnsi="Arial" w:cs="Arial"/>
          <w:sz w:val="20"/>
          <w:szCs w:val="20"/>
        </w:rPr>
        <w:t xml:space="preserve"> devizaárfolyamok alakulásában, k</w:t>
      </w:r>
      <w:r w:rsidR="00F71CF2">
        <w:rPr>
          <w:rFonts w:ascii="Arial" w:hAnsi="Arial" w:cs="Arial"/>
          <w:sz w:val="20"/>
          <w:szCs w:val="20"/>
        </w:rPr>
        <w:t xml:space="preserve">ülönösen a jelenlegi helyzetben és ez jól tükröződik </w:t>
      </w:r>
      <w:r w:rsidR="00A544A1">
        <w:rPr>
          <w:rFonts w:ascii="Arial" w:hAnsi="Arial" w:cs="Arial"/>
          <w:sz w:val="20"/>
          <w:szCs w:val="20"/>
        </w:rPr>
        <w:t>az EUR-USD devizakereszten is. A</w:t>
      </w:r>
      <w:r w:rsidR="00817934">
        <w:rPr>
          <w:rFonts w:ascii="Arial" w:hAnsi="Arial" w:cs="Arial"/>
          <w:sz w:val="20"/>
          <w:szCs w:val="20"/>
        </w:rPr>
        <w:t>z európai jegybank továbbra is elkötelezett a laza</w:t>
      </w:r>
      <w:r w:rsidR="00A544A1">
        <w:rPr>
          <w:rFonts w:ascii="Arial" w:hAnsi="Arial" w:cs="Arial"/>
          <w:sz w:val="20"/>
          <w:szCs w:val="20"/>
        </w:rPr>
        <w:t xml:space="preserve"> monetáris politika iránt – és a megugró infláció átmeneti mivolta mellett -, míg a Fed immár teljes gőzzel elkötelezett az idei látványos szigorítás mellett, egyes piaci vélemények szerint akár az 50bp-s kamatemelés is elképzelhető márciusban a kötvényvásárlások kivezetésével párhuzamosan.</w:t>
      </w:r>
      <w:r w:rsidR="00D12211">
        <w:rPr>
          <w:rFonts w:ascii="Arial" w:hAnsi="Arial" w:cs="Arial"/>
          <w:sz w:val="20"/>
          <w:szCs w:val="20"/>
        </w:rPr>
        <w:t xml:space="preserve"> Ezen felül amennyiben a járványhelyzet pozitív irányba fog változni az év második felében, az az eltűnt kockázatvállalási kedv várható visszatérésével szintén a dollár gyengülési irányába hatna és kedvezne a kockázatosabb eszközöknek, többek közt a forintnak is.</w:t>
      </w:r>
    </w:p>
    <w:p w14:paraId="6DEDD7EC" w14:textId="77777777" w:rsidR="005C518C" w:rsidRPr="00562F26" w:rsidRDefault="0000438F" w:rsidP="00711476">
      <w:pPr>
        <w:spacing w:before="120" w:after="120" w:line="360" w:lineRule="auto"/>
        <w:jc w:val="both"/>
        <w:rPr>
          <w:rFonts w:ascii="Arial" w:hAnsi="Arial" w:cs="Arial"/>
          <w:sz w:val="20"/>
          <w:szCs w:val="20"/>
        </w:rPr>
      </w:pPr>
      <w:r>
        <w:rPr>
          <w:rFonts w:ascii="Arial" w:hAnsi="Arial" w:cs="Arial"/>
          <w:sz w:val="20"/>
          <w:szCs w:val="20"/>
        </w:rPr>
        <w:lastRenderedPageBreak/>
        <w:t xml:space="preserve">A tavalyi év végén a hazai fizetőeszköz ismét a 370-es szintig gyengült, majd januárban visszaerősödött 355 alá, ahonnan aztán a decemberi vártnál erőteljesebb </w:t>
      </w:r>
      <w:r w:rsidR="00E900E7">
        <w:rPr>
          <w:rFonts w:ascii="Arial" w:hAnsi="Arial" w:cs="Arial"/>
          <w:sz w:val="20"/>
          <w:szCs w:val="20"/>
        </w:rPr>
        <w:t xml:space="preserve">hazai </w:t>
      </w:r>
      <w:r w:rsidR="00DC4398">
        <w:rPr>
          <w:rFonts w:ascii="Arial" w:hAnsi="Arial" w:cs="Arial"/>
          <w:sz w:val="20"/>
          <w:szCs w:val="20"/>
        </w:rPr>
        <w:t>(mag)</w:t>
      </w:r>
      <w:r>
        <w:rPr>
          <w:rFonts w:ascii="Arial" w:hAnsi="Arial" w:cs="Arial"/>
          <w:sz w:val="20"/>
          <w:szCs w:val="20"/>
        </w:rPr>
        <w:t>infláció hatására ismét gyengült némileg. A</w:t>
      </w:r>
      <w:r w:rsidR="00E900E7">
        <w:rPr>
          <w:rFonts w:ascii="Arial" w:hAnsi="Arial" w:cs="Arial"/>
          <w:sz w:val="20"/>
          <w:szCs w:val="20"/>
        </w:rPr>
        <w:t>z</w:t>
      </w:r>
      <w:r>
        <w:rPr>
          <w:rFonts w:ascii="Arial" w:hAnsi="Arial" w:cs="Arial"/>
          <w:sz w:val="20"/>
          <w:szCs w:val="20"/>
        </w:rPr>
        <w:t xml:space="preserve"> év végi gyengülés oka alapvetően a kedvezőtlen feltörekvő piaci hangulat volt, amit a globális jegybankok egyre szigorúbb üzenetei</w:t>
      </w:r>
      <w:r w:rsidR="00DC4398">
        <w:rPr>
          <w:rFonts w:ascii="Arial" w:hAnsi="Arial" w:cs="Arial"/>
          <w:sz w:val="20"/>
          <w:szCs w:val="20"/>
        </w:rPr>
        <w:t>, a dollárhozamok emelkedése</w:t>
      </w:r>
      <w:r>
        <w:rPr>
          <w:rFonts w:ascii="Arial" w:hAnsi="Arial" w:cs="Arial"/>
          <w:sz w:val="20"/>
          <w:szCs w:val="20"/>
        </w:rPr>
        <w:t>, illetve az infláció várható tartóss</w:t>
      </w:r>
      <w:r w:rsidR="00DC4398">
        <w:rPr>
          <w:rFonts w:ascii="Arial" w:hAnsi="Arial" w:cs="Arial"/>
          <w:sz w:val="20"/>
          <w:szCs w:val="20"/>
        </w:rPr>
        <w:t>ágával kapcsolatos megszólalások</w:t>
      </w:r>
      <w:r>
        <w:rPr>
          <w:rFonts w:ascii="Arial" w:hAnsi="Arial" w:cs="Arial"/>
          <w:sz w:val="20"/>
          <w:szCs w:val="20"/>
        </w:rPr>
        <w:t xml:space="preserve"> indukáltak, továbbá a hazai jegybank restrikciós fellépéseit is kevesellték a befektetők, miután beindult az </w:t>
      </w:r>
      <w:proofErr w:type="spellStart"/>
      <w:r>
        <w:rPr>
          <w:rFonts w:ascii="Arial" w:hAnsi="Arial" w:cs="Arial"/>
          <w:sz w:val="20"/>
          <w:szCs w:val="20"/>
        </w:rPr>
        <w:t>összrégiós</w:t>
      </w:r>
      <w:proofErr w:type="spellEnd"/>
      <w:r>
        <w:rPr>
          <w:rFonts w:ascii="Arial" w:hAnsi="Arial" w:cs="Arial"/>
          <w:sz w:val="20"/>
          <w:szCs w:val="20"/>
        </w:rPr>
        <w:t xml:space="preserve"> szigorítási verseny.</w:t>
      </w:r>
      <w:r w:rsidR="005C518C" w:rsidRPr="00711476">
        <w:rPr>
          <w:rFonts w:ascii="Arial" w:hAnsi="Arial" w:cs="Arial"/>
          <w:b/>
          <w:sz w:val="20"/>
          <w:szCs w:val="20"/>
        </w:rPr>
        <w:t xml:space="preserve"> </w:t>
      </w:r>
      <w:r>
        <w:rPr>
          <w:rFonts w:ascii="Arial" w:hAnsi="Arial" w:cs="Arial"/>
          <w:sz w:val="20"/>
          <w:szCs w:val="20"/>
        </w:rPr>
        <w:t xml:space="preserve">A 4%-ot elérő egyhetes MNB betéti kamat – az effektív alapkamat – szintje immár erőteljesebb védelmek nyújt a forintnak a nemzetközi hangulatingadozások közepette, így a korábbi régiós </w:t>
      </w:r>
      <w:proofErr w:type="spellStart"/>
      <w:r>
        <w:rPr>
          <w:rFonts w:ascii="Arial" w:hAnsi="Arial" w:cs="Arial"/>
          <w:sz w:val="20"/>
          <w:szCs w:val="20"/>
        </w:rPr>
        <w:t>alulteljesítést</w:t>
      </w:r>
      <w:proofErr w:type="spellEnd"/>
      <w:r>
        <w:rPr>
          <w:rFonts w:ascii="Arial" w:hAnsi="Arial" w:cs="Arial"/>
          <w:sz w:val="20"/>
          <w:szCs w:val="20"/>
        </w:rPr>
        <w:t xml:space="preserve"> a felülteljesítés váltotta fel az utóbbi időszakban, amire szükség is van a hazai infláció elleni harcban, hogy ne csak a belső </w:t>
      </w:r>
      <w:proofErr w:type="spellStart"/>
      <w:r>
        <w:rPr>
          <w:rFonts w:ascii="Arial" w:hAnsi="Arial" w:cs="Arial"/>
          <w:sz w:val="20"/>
          <w:szCs w:val="20"/>
        </w:rPr>
        <w:t>árnyomás</w:t>
      </w:r>
      <w:proofErr w:type="spellEnd"/>
      <w:r>
        <w:rPr>
          <w:rFonts w:ascii="Arial" w:hAnsi="Arial" w:cs="Arial"/>
          <w:sz w:val="20"/>
          <w:szCs w:val="20"/>
        </w:rPr>
        <w:t xml:space="preserve">, </w:t>
      </w:r>
      <w:r w:rsidR="00E900E7">
        <w:rPr>
          <w:rFonts w:ascii="Arial" w:hAnsi="Arial" w:cs="Arial"/>
          <w:sz w:val="20"/>
          <w:szCs w:val="20"/>
        </w:rPr>
        <w:t xml:space="preserve">hanem </w:t>
      </w:r>
      <w:r>
        <w:rPr>
          <w:rFonts w:ascii="Arial" w:hAnsi="Arial" w:cs="Arial"/>
          <w:sz w:val="20"/>
          <w:szCs w:val="20"/>
        </w:rPr>
        <w:t xml:space="preserve">a forintgyengülés </w:t>
      </w:r>
      <w:r w:rsidR="00DC4398">
        <w:rPr>
          <w:rFonts w:ascii="Arial" w:hAnsi="Arial" w:cs="Arial"/>
          <w:sz w:val="20"/>
          <w:szCs w:val="20"/>
        </w:rPr>
        <w:t>inflációs</w:t>
      </w:r>
      <w:r w:rsidR="00E900E7">
        <w:rPr>
          <w:rFonts w:ascii="Arial" w:hAnsi="Arial" w:cs="Arial"/>
          <w:sz w:val="20"/>
          <w:szCs w:val="20"/>
        </w:rPr>
        <w:t xml:space="preserve"> </w:t>
      </w:r>
      <w:r>
        <w:rPr>
          <w:rFonts w:ascii="Arial" w:hAnsi="Arial" w:cs="Arial"/>
          <w:sz w:val="20"/>
          <w:szCs w:val="20"/>
        </w:rPr>
        <w:t>hatása is tompuljon.</w:t>
      </w:r>
      <w:r w:rsidR="00885AC9">
        <w:rPr>
          <w:rFonts w:ascii="Arial" w:hAnsi="Arial" w:cs="Arial"/>
          <w:sz w:val="20"/>
          <w:szCs w:val="20"/>
        </w:rPr>
        <w:t xml:space="preserve"> </w:t>
      </w:r>
      <w:r w:rsidR="00D2593A" w:rsidRPr="00562F26">
        <w:rPr>
          <w:rFonts w:ascii="Arial" w:hAnsi="Arial" w:cs="Arial"/>
          <w:sz w:val="20"/>
          <w:szCs w:val="20"/>
        </w:rPr>
        <w:t>A</w:t>
      </w:r>
      <w:r w:rsidR="00885AC9" w:rsidRPr="00562F26">
        <w:rPr>
          <w:rFonts w:ascii="Arial" w:hAnsi="Arial" w:cs="Arial"/>
          <w:sz w:val="20"/>
          <w:szCs w:val="20"/>
        </w:rPr>
        <w:t xml:space="preserve">z export </w:t>
      </w:r>
      <w:r w:rsidR="004763E3">
        <w:rPr>
          <w:rFonts w:ascii="Arial" w:hAnsi="Arial" w:cs="Arial"/>
          <w:sz w:val="20"/>
          <w:szCs w:val="20"/>
        </w:rPr>
        <w:t xml:space="preserve">dinamikája ugyan továbbra is erőteljes marad – bár az ipari chiphiány ezt egyelőre </w:t>
      </w:r>
      <w:r w:rsidR="00DC4398">
        <w:rPr>
          <w:rFonts w:ascii="Arial" w:hAnsi="Arial" w:cs="Arial"/>
          <w:sz w:val="20"/>
          <w:szCs w:val="20"/>
        </w:rPr>
        <w:t>mérsékeli</w:t>
      </w:r>
      <w:r w:rsidR="004763E3">
        <w:rPr>
          <w:rFonts w:ascii="Arial" w:hAnsi="Arial" w:cs="Arial"/>
          <w:sz w:val="20"/>
          <w:szCs w:val="20"/>
        </w:rPr>
        <w:t xml:space="preserve"> -</w:t>
      </w:r>
      <w:r w:rsidR="00885AC9" w:rsidRPr="00562F26">
        <w:rPr>
          <w:rFonts w:ascii="Arial" w:hAnsi="Arial" w:cs="Arial"/>
          <w:sz w:val="20"/>
          <w:szCs w:val="20"/>
        </w:rPr>
        <w:t xml:space="preserve"> és az aktív magyarország</w:t>
      </w:r>
      <w:r w:rsidR="004763E3">
        <w:rPr>
          <w:rFonts w:ascii="Arial" w:hAnsi="Arial" w:cs="Arial"/>
          <w:sz w:val="20"/>
          <w:szCs w:val="20"/>
        </w:rPr>
        <w:t xml:space="preserve">i működőtőke befektetési szint is </w:t>
      </w:r>
      <w:r w:rsidR="00E900E7">
        <w:rPr>
          <w:rFonts w:ascii="Arial" w:hAnsi="Arial" w:cs="Arial"/>
          <w:sz w:val="20"/>
          <w:szCs w:val="20"/>
        </w:rPr>
        <w:t xml:space="preserve">láthatóan </w:t>
      </w:r>
      <w:r w:rsidR="004763E3">
        <w:rPr>
          <w:rFonts w:ascii="Arial" w:hAnsi="Arial" w:cs="Arial"/>
          <w:sz w:val="20"/>
          <w:szCs w:val="20"/>
        </w:rPr>
        <w:t xml:space="preserve">fennmarad, ugyanakkor az import, mind fogyasztási, mind beruházási oldalról tovább erősödhet, </w:t>
      </w:r>
      <w:r w:rsidR="005C518C" w:rsidRPr="00711476">
        <w:rPr>
          <w:rFonts w:ascii="Arial" w:hAnsi="Arial" w:cs="Arial"/>
          <w:b/>
          <w:sz w:val="20"/>
          <w:szCs w:val="20"/>
        </w:rPr>
        <w:t xml:space="preserve">a folyó fizetési mérleg </w:t>
      </w:r>
      <w:r w:rsidR="00DC4398">
        <w:rPr>
          <w:rFonts w:ascii="Arial" w:hAnsi="Arial" w:cs="Arial"/>
          <w:b/>
          <w:sz w:val="20"/>
          <w:szCs w:val="20"/>
        </w:rPr>
        <w:t xml:space="preserve">pedig </w:t>
      </w:r>
      <w:r w:rsidR="004763E3">
        <w:rPr>
          <w:rFonts w:ascii="Arial" w:hAnsi="Arial" w:cs="Arial"/>
          <w:b/>
          <w:sz w:val="20"/>
          <w:szCs w:val="20"/>
        </w:rPr>
        <w:t>minimális negatív egyenleg</w:t>
      </w:r>
      <w:r w:rsidR="00E900E7">
        <w:rPr>
          <w:rFonts w:ascii="Arial" w:hAnsi="Arial" w:cs="Arial"/>
          <w:b/>
          <w:sz w:val="20"/>
          <w:szCs w:val="20"/>
        </w:rPr>
        <w:t>et</w:t>
      </w:r>
      <w:r w:rsidR="004763E3">
        <w:rPr>
          <w:rFonts w:ascii="Arial" w:hAnsi="Arial" w:cs="Arial"/>
          <w:b/>
          <w:sz w:val="20"/>
          <w:szCs w:val="20"/>
        </w:rPr>
        <w:t xml:space="preserve"> </w:t>
      </w:r>
      <w:r w:rsidR="006E0D27">
        <w:rPr>
          <w:rFonts w:ascii="Arial" w:hAnsi="Arial" w:cs="Arial"/>
          <w:b/>
          <w:sz w:val="20"/>
          <w:szCs w:val="20"/>
        </w:rPr>
        <w:t>mutathat</w:t>
      </w:r>
      <w:r w:rsidR="004763E3">
        <w:rPr>
          <w:rFonts w:ascii="Arial" w:hAnsi="Arial" w:cs="Arial"/>
          <w:b/>
          <w:sz w:val="20"/>
          <w:szCs w:val="20"/>
        </w:rPr>
        <w:t xml:space="preserve"> idén és jövőre</w:t>
      </w:r>
      <w:r w:rsidR="004763E3">
        <w:rPr>
          <w:rFonts w:ascii="Arial" w:hAnsi="Arial" w:cs="Arial"/>
          <w:sz w:val="20"/>
          <w:szCs w:val="20"/>
        </w:rPr>
        <w:t>.</w:t>
      </w:r>
      <w:r w:rsidR="00B862F7">
        <w:rPr>
          <w:rFonts w:ascii="Arial" w:hAnsi="Arial" w:cs="Arial"/>
          <w:b/>
          <w:sz w:val="20"/>
          <w:szCs w:val="20"/>
        </w:rPr>
        <w:t xml:space="preserve"> </w:t>
      </w:r>
      <w:r w:rsidR="004763E3">
        <w:rPr>
          <w:rFonts w:ascii="Arial" w:hAnsi="Arial" w:cs="Arial"/>
          <w:b/>
          <w:sz w:val="20"/>
          <w:szCs w:val="20"/>
        </w:rPr>
        <w:t xml:space="preserve">Ez alapvetően semleges a forint szempontjából, mivel </w:t>
      </w:r>
      <w:r w:rsidR="00E900E7">
        <w:rPr>
          <w:rFonts w:ascii="Arial" w:hAnsi="Arial" w:cs="Arial"/>
          <w:b/>
          <w:sz w:val="20"/>
          <w:szCs w:val="20"/>
        </w:rPr>
        <w:t>ennek</w:t>
      </w:r>
      <w:r w:rsidR="004763E3">
        <w:rPr>
          <w:rFonts w:ascii="Arial" w:hAnsi="Arial" w:cs="Arial"/>
          <w:b/>
          <w:sz w:val="20"/>
          <w:szCs w:val="20"/>
        </w:rPr>
        <w:t xml:space="preserve"> mértéke </w:t>
      </w:r>
      <w:r w:rsidR="00E900E7">
        <w:rPr>
          <w:rFonts w:ascii="Arial" w:hAnsi="Arial" w:cs="Arial"/>
          <w:b/>
          <w:sz w:val="20"/>
          <w:szCs w:val="20"/>
        </w:rPr>
        <w:t>igen korlátozott</w:t>
      </w:r>
      <w:r w:rsidR="004763E3">
        <w:rPr>
          <w:rFonts w:ascii="Arial" w:hAnsi="Arial" w:cs="Arial"/>
          <w:b/>
          <w:sz w:val="20"/>
          <w:szCs w:val="20"/>
        </w:rPr>
        <w:t xml:space="preserve"> maradhat</w:t>
      </w:r>
      <w:r w:rsidR="00F022C9">
        <w:rPr>
          <w:rFonts w:ascii="Arial" w:hAnsi="Arial" w:cs="Arial"/>
          <w:b/>
          <w:sz w:val="20"/>
          <w:szCs w:val="20"/>
        </w:rPr>
        <w:t xml:space="preserve">, </w:t>
      </w:r>
      <w:r w:rsidR="00E900E7">
        <w:rPr>
          <w:rFonts w:ascii="Arial" w:hAnsi="Arial" w:cs="Arial"/>
          <w:sz w:val="20"/>
          <w:szCs w:val="20"/>
        </w:rPr>
        <w:t>viszont</w:t>
      </w:r>
      <w:r w:rsidR="005C518C" w:rsidRPr="00562F26">
        <w:rPr>
          <w:rFonts w:ascii="Arial" w:hAnsi="Arial" w:cs="Arial"/>
          <w:sz w:val="20"/>
          <w:szCs w:val="20"/>
        </w:rPr>
        <w:t xml:space="preserve"> a folyamatos negatív nemzetközi sajtó erősíti a forint elleni </w:t>
      </w:r>
      <w:proofErr w:type="spellStart"/>
      <w:r w:rsidR="005C518C" w:rsidRPr="00562F26">
        <w:rPr>
          <w:rFonts w:ascii="Arial" w:hAnsi="Arial" w:cs="Arial"/>
          <w:sz w:val="20"/>
          <w:szCs w:val="20"/>
        </w:rPr>
        <w:t>short</w:t>
      </w:r>
      <w:proofErr w:type="spellEnd"/>
      <w:r w:rsidR="005C518C" w:rsidRPr="00562F26">
        <w:rPr>
          <w:rFonts w:ascii="Arial" w:hAnsi="Arial" w:cs="Arial"/>
          <w:sz w:val="20"/>
          <w:szCs w:val="20"/>
        </w:rPr>
        <w:t xml:space="preserve"> állomány felépülését</w:t>
      </w:r>
      <w:r w:rsidR="00885AC9" w:rsidRPr="00562F26">
        <w:rPr>
          <w:rFonts w:ascii="Arial" w:hAnsi="Arial" w:cs="Arial"/>
          <w:sz w:val="20"/>
          <w:szCs w:val="20"/>
        </w:rPr>
        <w:t xml:space="preserve">, </w:t>
      </w:r>
      <w:r w:rsidR="004763E3">
        <w:rPr>
          <w:rFonts w:ascii="Arial" w:hAnsi="Arial" w:cs="Arial"/>
          <w:sz w:val="20"/>
          <w:szCs w:val="20"/>
        </w:rPr>
        <w:t xml:space="preserve">aminek a hatását a jelenlegi „védő </w:t>
      </w:r>
      <w:proofErr w:type="gramStart"/>
      <w:r w:rsidR="004763E3">
        <w:rPr>
          <w:rFonts w:ascii="Arial" w:hAnsi="Arial" w:cs="Arial"/>
          <w:sz w:val="20"/>
          <w:szCs w:val="20"/>
        </w:rPr>
        <w:t>kamatszint”</w:t>
      </w:r>
      <w:proofErr w:type="gramEnd"/>
      <w:r w:rsidR="004763E3">
        <w:rPr>
          <w:rFonts w:ascii="Arial" w:hAnsi="Arial" w:cs="Arial"/>
          <w:sz w:val="20"/>
          <w:szCs w:val="20"/>
        </w:rPr>
        <w:t xml:space="preserve"> </w:t>
      </w:r>
      <w:r w:rsidR="00DC4398">
        <w:rPr>
          <w:rFonts w:ascii="Arial" w:hAnsi="Arial" w:cs="Arial"/>
          <w:sz w:val="20"/>
          <w:szCs w:val="20"/>
        </w:rPr>
        <w:t xml:space="preserve">illetve a konszolidálódó költségvetési hiányok </w:t>
      </w:r>
      <w:r w:rsidR="004763E3">
        <w:rPr>
          <w:rFonts w:ascii="Arial" w:hAnsi="Arial" w:cs="Arial"/>
          <w:sz w:val="20"/>
          <w:szCs w:val="20"/>
        </w:rPr>
        <w:t>mérsékelheti</w:t>
      </w:r>
      <w:r w:rsidR="00DC4398">
        <w:rPr>
          <w:rFonts w:ascii="Arial" w:hAnsi="Arial" w:cs="Arial"/>
          <w:sz w:val="20"/>
          <w:szCs w:val="20"/>
        </w:rPr>
        <w:t>k</w:t>
      </w:r>
      <w:r w:rsidR="004763E3">
        <w:rPr>
          <w:rFonts w:ascii="Arial" w:hAnsi="Arial" w:cs="Arial"/>
          <w:sz w:val="20"/>
          <w:szCs w:val="20"/>
        </w:rPr>
        <w:t xml:space="preserve"> az idei évben, kiváltképp amennyiben az infláció is lassul</w:t>
      </w:r>
      <w:r w:rsidR="00E900E7">
        <w:rPr>
          <w:rFonts w:ascii="Arial" w:hAnsi="Arial" w:cs="Arial"/>
          <w:sz w:val="20"/>
          <w:szCs w:val="20"/>
        </w:rPr>
        <w:t>na</w:t>
      </w:r>
      <w:r w:rsidR="004763E3">
        <w:rPr>
          <w:rFonts w:ascii="Arial" w:hAnsi="Arial" w:cs="Arial"/>
          <w:sz w:val="20"/>
          <w:szCs w:val="20"/>
        </w:rPr>
        <w:t xml:space="preserve"> és érezhetően emelkedne a hazai reálkamatszint</w:t>
      </w:r>
      <w:r w:rsidR="005C518C" w:rsidRPr="00562F26">
        <w:rPr>
          <w:rFonts w:ascii="Arial" w:hAnsi="Arial" w:cs="Arial"/>
          <w:sz w:val="20"/>
          <w:szCs w:val="20"/>
        </w:rPr>
        <w:t>.</w:t>
      </w:r>
    </w:p>
    <w:tbl>
      <w:tblPr>
        <w:tblW w:w="9462" w:type="dxa"/>
        <w:tblLook w:val="01E0" w:firstRow="1" w:lastRow="1" w:firstColumn="1" w:lastColumn="1" w:noHBand="0" w:noVBand="0"/>
      </w:tblPr>
      <w:tblGrid>
        <w:gridCol w:w="4731"/>
        <w:gridCol w:w="4731"/>
      </w:tblGrid>
      <w:tr w:rsidR="00B80B9E" w:rsidRPr="007A0BB4" w14:paraId="6D209F3B" w14:textId="77777777" w:rsidTr="00F20753">
        <w:tc>
          <w:tcPr>
            <w:tcW w:w="4731" w:type="dxa"/>
            <w:shd w:val="clear" w:color="auto" w:fill="auto"/>
          </w:tcPr>
          <w:p w14:paraId="58815EDC" w14:textId="77777777" w:rsidR="00B80B9E" w:rsidRPr="00711476" w:rsidRDefault="00222D2D" w:rsidP="00F20753">
            <w:pPr>
              <w:jc w:val="center"/>
              <w:rPr>
                <w:rFonts w:ascii="Arial" w:hAnsi="Arial" w:cs="Arial"/>
                <w:b/>
                <w:color w:val="FF8500"/>
              </w:rPr>
            </w:pPr>
            <w:r>
              <w:rPr>
                <w:rFonts w:ascii="Arial" w:hAnsi="Arial" w:cs="Arial"/>
                <w:b/>
                <w:color w:val="FF8500"/>
              </w:rPr>
              <w:t>47</w:t>
            </w:r>
            <w:r w:rsidR="00B80B9E" w:rsidRPr="00711476">
              <w:rPr>
                <w:rFonts w:ascii="Arial" w:hAnsi="Arial" w:cs="Arial"/>
                <w:b/>
                <w:color w:val="FF8500"/>
              </w:rPr>
              <w:t xml:space="preserve">. ábra: </w:t>
            </w:r>
            <w:r w:rsidR="00B80B9E" w:rsidRPr="0039682E">
              <w:rPr>
                <w:rFonts w:ascii="Arial" w:hAnsi="Arial" w:cs="Arial"/>
                <w:bCs/>
                <w:color w:val="FF8500"/>
              </w:rPr>
              <w:t>Az EUR/HUF keresztárfolyama</w:t>
            </w:r>
          </w:p>
        </w:tc>
        <w:tc>
          <w:tcPr>
            <w:tcW w:w="4731" w:type="dxa"/>
            <w:shd w:val="clear" w:color="auto" w:fill="auto"/>
          </w:tcPr>
          <w:p w14:paraId="76210DF0" w14:textId="77777777" w:rsidR="00B80B9E" w:rsidRPr="00711476" w:rsidRDefault="00222D2D" w:rsidP="00F20753">
            <w:pPr>
              <w:jc w:val="center"/>
              <w:rPr>
                <w:rFonts w:ascii="Arial" w:hAnsi="Arial" w:cs="Arial"/>
                <w:b/>
                <w:color w:val="FF8500"/>
              </w:rPr>
            </w:pPr>
            <w:r>
              <w:rPr>
                <w:rFonts w:ascii="Arial" w:hAnsi="Arial" w:cs="Arial"/>
                <w:b/>
                <w:color w:val="FF8500"/>
              </w:rPr>
              <w:t>48</w:t>
            </w:r>
            <w:r w:rsidR="00B80B9E" w:rsidRPr="00711476">
              <w:rPr>
                <w:rFonts w:ascii="Arial" w:hAnsi="Arial" w:cs="Arial"/>
                <w:b/>
                <w:color w:val="FF8500"/>
              </w:rPr>
              <w:t xml:space="preserve">. ábra: </w:t>
            </w:r>
            <w:r w:rsidR="00B80B9E" w:rsidRPr="0039682E">
              <w:rPr>
                <w:rFonts w:ascii="Arial" w:hAnsi="Arial" w:cs="Arial"/>
                <w:bCs/>
                <w:color w:val="FF8500"/>
              </w:rPr>
              <w:t>Az USD/HUF keresztárfolyama</w:t>
            </w:r>
          </w:p>
        </w:tc>
      </w:tr>
      <w:tr w:rsidR="00B80B9E" w:rsidRPr="007A0BB4" w14:paraId="7D56C2C5" w14:textId="77777777" w:rsidTr="00235608">
        <w:tblPrEx>
          <w:tblCellMar>
            <w:left w:w="70" w:type="dxa"/>
            <w:right w:w="70" w:type="dxa"/>
          </w:tblCellMar>
        </w:tblPrEx>
        <w:tc>
          <w:tcPr>
            <w:tcW w:w="4731" w:type="dxa"/>
            <w:shd w:val="clear" w:color="auto" w:fill="auto"/>
          </w:tcPr>
          <w:p w14:paraId="17897BC5" w14:textId="77777777" w:rsidR="00B80B9E" w:rsidRPr="007A0BB4" w:rsidRDefault="00235608" w:rsidP="00F20753">
            <w:pPr>
              <w:jc w:val="center"/>
              <w:rPr>
                <w:rFonts w:ascii="Arial" w:hAnsi="Arial" w:cs="Arial"/>
                <w:b/>
              </w:rPr>
            </w:pPr>
            <w:r>
              <w:rPr>
                <w:noProof/>
                <w:lang w:eastAsia="hu-HU"/>
              </w:rPr>
              <w:drawing>
                <wp:inline distT="0" distB="0" distL="0" distR="0" wp14:anchorId="1B455F17" wp14:editId="4F5DB485">
                  <wp:extent cx="2592000" cy="1595040"/>
                  <wp:effectExtent l="0" t="0" r="0" b="5715"/>
                  <wp:docPr id="41" name="Diagra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731" w:type="dxa"/>
            <w:shd w:val="clear" w:color="auto" w:fill="auto"/>
          </w:tcPr>
          <w:p w14:paraId="105DE63F" w14:textId="77777777" w:rsidR="000B792A" w:rsidRPr="007A0BB4" w:rsidRDefault="00235608" w:rsidP="00404BC3">
            <w:pPr>
              <w:jc w:val="center"/>
              <w:rPr>
                <w:rFonts w:ascii="Arial" w:hAnsi="Arial" w:cs="Arial"/>
                <w:b/>
              </w:rPr>
            </w:pPr>
            <w:r>
              <w:rPr>
                <w:noProof/>
                <w:lang w:eastAsia="hu-HU"/>
              </w:rPr>
              <w:drawing>
                <wp:inline distT="0" distB="0" distL="0" distR="0" wp14:anchorId="58E330E0" wp14:editId="1ED6E40F">
                  <wp:extent cx="2609145" cy="1595040"/>
                  <wp:effectExtent l="0" t="0" r="1270" b="5715"/>
                  <wp:docPr id="42" name="Diagram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B80B9E" w:rsidRPr="00711476" w14:paraId="3529DBB2" w14:textId="77777777" w:rsidTr="00F20753">
        <w:tc>
          <w:tcPr>
            <w:tcW w:w="4731" w:type="dxa"/>
            <w:shd w:val="clear" w:color="auto" w:fill="auto"/>
          </w:tcPr>
          <w:p w14:paraId="047AEF23" w14:textId="77777777" w:rsidR="00B80B9E" w:rsidRPr="00711476" w:rsidRDefault="00222D2D" w:rsidP="00F20753">
            <w:pPr>
              <w:spacing w:before="120"/>
              <w:jc w:val="center"/>
              <w:rPr>
                <w:rFonts w:ascii="Arial" w:hAnsi="Arial" w:cs="Arial"/>
                <w:color w:val="FF8500"/>
              </w:rPr>
            </w:pPr>
            <w:r>
              <w:rPr>
                <w:rFonts w:ascii="Arial" w:hAnsi="Arial" w:cs="Arial"/>
                <w:b/>
                <w:color w:val="FF8500"/>
              </w:rPr>
              <w:t>49</w:t>
            </w:r>
            <w:r w:rsidR="00B80B9E" w:rsidRPr="00711476">
              <w:rPr>
                <w:rFonts w:ascii="Arial" w:hAnsi="Arial" w:cs="Arial"/>
                <w:b/>
                <w:color w:val="FF8500"/>
              </w:rPr>
              <w:t xml:space="preserve">. ábra: </w:t>
            </w:r>
            <w:r w:rsidR="00B80B9E" w:rsidRPr="0039682E">
              <w:rPr>
                <w:rFonts w:ascii="Arial" w:hAnsi="Arial" w:cs="Arial"/>
                <w:bCs/>
                <w:color w:val="FF8500"/>
              </w:rPr>
              <w:t>Az EUR/régiós devizák keresztárfolyama</w:t>
            </w:r>
            <w:r w:rsidR="00B80B9E" w:rsidRPr="00711476">
              <w:rPr>
                <w:rFonts w:ascii="Arial" w:hAnsi="Arial" w:cs="Arial"/>
                <w:b/>
                <w:color w:val="FF8500"/>
              </w:rPr>
              <w:t xml:space="preserve"> </w:t>
            </w:r>
            <w:r w:rsidR="00B80B9E">
              <w:rPr>
                <w:rFonts w:ascii="Arial" w:hAnsi="Arial" w:cs="Arial"/>
                <w:b/>
                <w:color w:val="FF8500"/>
              </w:rPr>
              <w:br/>
            </w:r>
            <w:r w:rsidR="00B80B9E" w:rsidRPr="00711476">
              <w:rPr>
                <w:rFonts w:ascii="Arial" w:hAnsi="Arial" w:cs="Arial"/>
                <w:color w:val="FF8500"/>
                <w:sz w:val="20"/>
                <w:szCs w:val="20"/>
              </w:rPr>
              <w:t xml:space="preserve">(előző év azonos </w:t>
            </w:r>
            <w:proofErr w:type="spellStart"/>
            <w:proofErr w:type="gramStart"/>
            <w:r w:rsidR="00B80B9E" w:rsidRPr="00711476">
              <w:rPr>
                <w:rFonts w:ascii="Arial" w:hAnsi="Arial" w:cs="Arial"/>
                <w:color w:val="FF8500"/>
                <w:sz w:val="20"/>
                <w:szCs w:val="20"/>
              </w:rPr>
              <w:t>n.év</w:t>
            </w:r>
            <w:proofErr w:type="spellEnd"/>
            <w:proofErr w:type="gramEnd"/>
            <w:r w:rsidR="00B80B9E" w:rsidRPr="00711476">
              <w:rPr>
                <w:rFonts w:ascii="Arial" w:hAnsi="Arial" w:cs="Arial"/>
                <w:color w:val="FF8500"/>
                <w:sz w:val="20"/>
                <w:szCs w:val="20"/>
              </w:rPr>
              <w:t xml:space="preserve"> kezdete=100)</w:t>
            </w:r>
          </w:p>
        </w:tc>
        <w:tc>
          <w:tcPr>
            <w:tcW w:w="4731" w:type="dxa"/>
            <w:shd w:val="clear" w:color="auto" w:fill="auto"/>
          </w:tcPr>
          <w:p w14:paraId="7B34D705" w14:textId="77777777" w:rsidR="00B80B9E" w:rsidRPr="00711476" w:rsidRDefault="00222D2D" w:rsidP="00323F59">
            <w:pPr>
              <w:spacing w:before="120"/>
              <w:jc w:val="center"/>
              <w:rPr>
                <w:rFonts w:ascii="Arial" w:hAnsi="Arial" w:cs="Arial"/>
                <w:color w:val="FF8500"/>
              </w:rPr>
            </w:pPr>
            <w:r>
              <w:rPr>
                <w:rFonts w:ascii="Arial" w:hAnsi="Arial" w:cs="Arial"/>
                <w:b/>
                <w:color w:val="FF8500"/>
              </w:rPr>
              <w:t>50</w:t>
            </w:r>
            <w:r w:rsidR="00B80B9E" w:rsidRPr="00711476">
              <w:rPr>
                <w:rFonts w:ascii="Arial" w:hAnsi="Arial" w:cs="Arial"/>
                <w:b/>
                <w:color w:val="FF8500"/>
              </w:rPr>
              <w:t xml:space="preserve">. ábra: </w:t>
            </w:r>
            <w:r w:rsidR="00B80B9E" w:rsidRPr="0039682E">
              <w:rPr>
                <w:rFonts w:ascii="Arial" w:hAnsi="Arial" w:cs="Arial"/>
                <w:bCs/>
                <w:color w:val="FF8500"/>
              </w:rPr>
              <w:t xml:space="preserve">A régiós 5 éves CDS felárak alakulása </w:t>
            </w:r>
          </w:p>
        </w:tc>
      </w:tr>
      <w:tr w:rsidR="00B80B9E" w:rsidRPr="003536D7" w14:paraId="71E83C85" w14:textId="77777777" w:rsidTr="00323F59">
        <w:tblPrEx>
          <w:tblCellMar>
            <w:left w:w="70" w:type="dxa"/>
            <w:right w:w="70" w:type="dxa"/>
          </w:tblCellMar>
        </w:tblPrEx>
        <w:tc>
          <w:tcPr>
            <w:tcW w:w="4731" w:type="dxa"/>
            <w:shd w:val="clear" w:color="auto" w:fill="auto"/>
          </w:tcPr>
          <w:p w14:paraId="21DDFF54" w14:textId="77777777" w:rsidR="00B80B9E" w:rsidRPr="003536D7" w:rsidRDefault="00235608" w:rsidP="00F20753">
            <w:pPr>
              <w:jc w:val="center"/>
              <w:rPr>
                <w:rFonts w:ascii="Arial" w:hAnsi="Arial" w:cs="Arial"/>
                <w:color w:val="FF0000"/>
              </w:rPr>
            </w:pPr>
            <w:r>
              <w:rPr>
                <w:noProof/>
                <w:lang w:eastAsia="hu-HU"/>
              </w:rPr>
              <w:lastRenderedPageBreak/>
              <w:drawing>
                <wp:inline distT="0" distB="0" distL="0" distR="0" wp14:anchorId="34F7CF65" wp14:editId="21DC1528">
                  <wp:extent cx="2600325" cy="1595040"/>
                  <wp:effectExtent l="0" t="0" r="0" b="5715"/>
                  <wp:docPr id="43" name="Diagram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731" w:type="dxa"/>
            <w:shd w:val="clear" w:color="auto" w:fill="auto"/>
          </w:tcPr>
          <w:p w14:paraId="5C98EDD0" w14:textId="77777777" w:rsidR="00B80B9E" w:rsidRPr="003536D7" w:rsidRDefault="00323F59" w:rsidP="00F20753">
            <w:pPr>
              <w:jc w:val="center"/>
              <w:rPr>
                <w:rFonts w:ascii="Arial" w:hAnsi="Arial" w:cs="Arial"/>
                <w:color w:val="FF0000"/>
              </w:rPr>
            </w:pPr>
            <w:r>
              <w:rPr>
                <w:noProof/>
                <w:lang w:eastAsia="hu-HU"/>
              </w:rPr>
              <w:drawing>
                <wp:inline distT="0" distB="0" distL="0" distR="0" wp14:anchorId="1324739B" wp14:editId="7873AD23">
                  <wp:extent cx="2785110" cy="1609628"/>
                  <wp:effectExtent l="0" t="0" r="0" b="0"/>
                  <wp:docPr id="48" name="Diagram 48">
                    <a:extLst xmlns:a="http://schemas.openxmlformats.org/drawingml/2006/main">
                      <a:ext uri="{FF2B5EF4-FFF2-40B4-BE49-F238E27FC236}">
                        <a16:creationId xmlns:a16="http://schemas.microsoft.com/office/drawing/2014/main" id="{00000000-0008-0000-05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B80B9E" w:rsidRPr="00013747" w14:paraId="78313D32" w14:textId="77777777" w:rsidTr="00F20753">
        <w:tc>
          <w:tcPr>
            <w:tcW w:w="4731" w:type="dxa"/>
            <w:shd w:val="clear" w:color="auto" w:fill="auto"/>
          </w:tcPr>
          <w:p w14:paraId="7566B319" w14:textId="77777777" w:rsidR="00B80B9E" w:rsidRPr="00013747" w:rsidRDefault="00B80B9E" w:rsidP="00F20753">
            <w:pPr>
              <w:pStyle w:val="Kpalrstbank"/>
              <w:jc w:val="left"/>
              <w:rPr>
                <w:sz w:val="14"/>
              </w:rPr>
            </w:pPr>
            <w:r w:rsidRPr="00013747">
              <w:rPr>
                <w:sz w:val="14"/>
              </w:rPr>
              <w:t xml:space="preserve">Forrás: </w:t>
            </w:r>
            <w:proofErr w:type="spellStart"/>
            <w:r w:rsidRPr="00013747">
              <w:rPr>
                <w:sz w:val="14"/>
              </w:rPr>
              <w:t>Bloomberg</w:t>
            </w:r>
            <w:proofErr w:type="spellEnd"/>
          </w:p>
        </w:tc>
        <w:tc>
          <w:tcPr>
            <w:tcW w:w="4731" w:type="dxa"/>
            <w:shd w:val="clear" w:color="auto" w:fill="auto"/>
          </w:tcPr>
          <w:p w14:paraId="7FF1BECA" w14:textId="77777777" w:rsidR="00B80B9E" w:rsidRPr="00013747" w:rsidRDefault="00B80B9E" w:rsidP="00F20753">
            <w:pPr>
              <w:pStyle w:val="Kpalrstbank"/>
              <w:jc w:val="left"/>
              <w:rPr>
                <w:sz w:val="14"/>
              </w:rPr>
            </w:pPr>
            <w:r w:rsidRPr="00013747">
              <w:rPr>
                <w:sz w:val="14"/>
              </w:rPr>
              <w:t xml:space="preserve">Forrás: </w:t>
            </w:r>
            <w:proofErr w:type="spellStart"/>
            <w:r w:rsidRPr="00013747">
              <w:rPr>
                <w:sz w:val="14"/>
              </w:rPr>
              <w:t>Bloomberg</w:t>
            </w:r>
            <w:proofErr w:type="spellEnd"/>
          </w:p>
        </w:tc>
      </w:tr>
    </w:tbl>
    <w:p w14:paraId="1405A413" w14:textId="77777777" w:rsidR="00711476" w:rsidRDefault="001D65D5" w:rsidP="00711476">
      <w:pPr>
        <w:spacing w:before="120" w:line="360" w:lineRule="auto"/>
        <w:jc w:val="both"/>
        <w:rPr>
          <w:rFonts w:ascii="Arial" w:hAnsi="Arial" w:cs="Arial"/>
          <w:sz w:val="20"/>
          <w:szCs w:val="20"/>
        </w:rPr>
      </w:pPr>
      <w:r>
        <w:rPr>
          <w:rFonts w:ascii="Arial" w:hAnsi="Arial" w:cs="Arial"/>
          <w:sz w:val="20"/>
          <w:szCs w:val="20"/>
        </w:rPr>
        <w:t xml:space="preserve">Ezen felül a tőkemérleg többlete </w:t>
      </w:r>
      <w:r w:rsidR="00476235" w:rsidRPr="00025F96">
        <w:rPr>
          <w:rFonts w:ascii="Arial" w:hAnsi="Arial" w:cs="Arial"/>
          <w:sz w:val="20"/>
          <w:szCs w:val="20"/>
        </w:rPr>
        <w:t>megmarad</w:t>
      </w:r>
      <w:r w:rsidR="005C518C" w:rsidRPr="00025F96">
        <w:rPr>
          <w:rFonts w:ascii="Arial" w:hAnsi="Arial" w:cs="Arial"/>
          <w:sz w:val="20"/>
          <w:szCs w:val="20"/>
        </w:rPr>
        <w:t xml:space="preserve">, amit a </w:t>
      </w:r>
      <w:r w:rsidR="00B862F7" w:rsidRPr="00025F96">
        <w:rPr>
          <w:rFonts w:ascii="Arial" w:hAnsi="Arial" w:cs="Arial"/>
          <w:sz w:val="20"/>
          <w:szCs w:val="20"/>
        </w:rPr>
        <w:t>2021-2027-es</w:t>
      </w:r>
      <w:r w:rsidR="005C518C" w:rsidRPr="00025F96">
        <w:rPr>
          <w:rFonts w:ascii="Arial" w:hAnsi="Arial" w:cs="Arial"/>
          <w:sz w:val="20"/>
          <w:szCs w:val="20"/>
        </w:rPr>
        <w:t xml:space="preserve"> új EU-s finanszírozási ciklus is támogat</w:t>
      </w:r>
      <w:r w:rsidR="00E9566B" w:rsidRPr="00025F96">
        <w:rPr>
          <w:rFonts w:ascii="Arial" w:hAnsi="Arial" w:cs="Arial"/>
          <w:sz w:val="20"/>
          <w:szCs w:val="20"/>
        </w:rPr>
        <w:t xml:space="preserve"> majd a jelenleg fennálló viták várható rendezése után</w:t>
      </w:r>
      <w:r w:rsidR="005C518C" w:rsidRPr="00025F96">
        <w:rPr>
          <w:rFonts w:ascii="Arial" w:hAnsi="Arial" w:cs="Arial"/>
          <w:sz w:val="20"/>
          <w:szCs w:val="20"/>
        </w:rPr>
        <w:t>, illetve a</w:t>
      </w:r>
      <w:r w:rsidR="005C518C" w:rsidRPr="00711476">
        <w:rPr>
          <w:rFonts w:ascii="Arial" w:hAnsi="Arial" w:cs="Arial"/>
          <w:b/>
          <w:sz w:val="20"/>
          <w:szCs w:val="20"/>
        </w:rPr>
        <w:t xml:space="preserve"> teljes külső finanszírozási képesség </w:t>
      </w:r>
      <w:r>
        <w:rPr>
          <w:rFonts w:ascii="Arial" w:hAnsi="Arial" w:cs="Arial"/>
          <w:b/>
          <w:sz w:val="20"/>
          <w:szCs w:val="20"/>
        </w:rPr>
        <w:t xml:space="preserve">pozitív lesz idén és jövőre, </w:t>
      </w:r>
      <w:r w:rsidR="00DC4398">
        <w:rPr>
          <w:rFonts w:ascii="Arial" w:hAnsi="Arial" w:cs="Arial"/>
          <w:b/>
          <w:sz w:val="20"/>
          <w:szCs w:val="20"/>
        </w:rPr>
        <w:t>miközben</w:t>
      </w:r>
      <w:r>
        <w:rPr>
          <w:rFonts w:ascii="Arial" w:hAnsi="Arial" w:cs="Arial"/>
          <w:b/>
          <w:sz w:val="20"/>
          <w:szCs w:val="20"/>
        </w:rPr>
        <w:t xml:space="preserve"> </w:t>
      </w:r>
      <w:r w:rsidR="00DC4398">
        <w:rPr>
          <w:rFonts w:ascii="Arial" w:hAnsi="Arial" w:cs="Arial"/>
          <w:b/>
          <w:sz w:val="20"/>
          <w:szCs w:val="20"/>
        </w:rPr>
        <w:t>mérséklődik az államadósság</w:t>
      </w:r>
      <w:r>
        <w:rPr>
          <w:rFonts w:ascii="Arial" w:hAnsi="Arial" w:cs="Arial"/>
          <w:b/>
          <w:sz w:val="20"/>
          <w:szCs w:val="20"/>
        </w:rPr>
        <w:t>, ami szintén kedvező a</w:t>
      </w:r>
      <w:r w:rsidR="00DC4398">
        <w:rPr>
          <w:rFonts w:ascii="Arial" w:hAnsi="Arial" w:cs="Arial"/>
          <w:b/>
          <w:sz w:val="20"/>
          <w:szCs w:val="20"/>
        </w:rPr>
        <w:t xml:space="preserve"> hazai</w:t>
      </w:r>
      <w:r>
        <w:rPr>
          <w:rFonts w:ascii="Arial" w:hAnsi="Arial" w:cs="Arial"/>
          <w:b/>
          <w:sz w:val="20"/>
          <w:szCs w:val="20"/>
        </w:rPr>
        <w:t xml:space="preserve"> deviza szempontjából</w:t>
      </w:r>
      <w:r w:rsidR="005C518C" w:rsidRPr="00711476">
        <w:rPr>
          <w:rFonts w:ascii="Arial" w:hAnsi="Arial" w:cs="Arial"/>
          <w:b/>
          <w:sz w:val="20"/>
          <w:szCs w:val="20"/>
        </w:rPr>
        <w:t>.</w:t>
      </w:r>
      <w:r w:rsidR="005C518C" w:rsidRPr="00711476">
        <w:rPr>
          <w:rFonts w:ascii="Arial" w:hAnsi="Arial" w:cs="Arial"/>
          <w:sz w:val="20"/>
          <w:szCs w:val="20"/>
        </w:rPr>
        <w:t xml:space="preserve"> </w:t>
      </w:r>
      <w:r>
        <w:rPr>
          <w:rFonts w:ascii="Arial" w:hAnsi="Arial" w:cs="Arial"/>
          <w:sz w:val="20"/>
          <w:szCs w:val="20"/>
        </w:rPr>
        <w:t xml:space="preserve">Ez </w:t>
      </w:r>
      <w:r w:rsidR="005C518C" w:rsidRPr="00711476">
        <w:rPr>
          <w:rFonts w:ascii="Arial" w:hAnsi="Arial" w:cs="Arial"/>
          <w:sz w:val="20"/>
          <w:szCs w:val="20"/>
        </w:rPr>
        <w:t>segít</w:t>
      </w:r>
      <w:r>
        <w:rPr>
          <w:rFonts w:ascii="Arial" w:hAnsi="Arial" w:cs="Arial"/>
          <w:sz w:val="20"/>
          <w:szCs w:val="20"/>
        </w:rPr>
        <w:t>het</w:t>
      </w:r>
      <w:r w:rsidR="005C518C" w:rsidRPr="00711476">
        <w:rPr>
          <w:rFonts w:ascii="Arial" w:hAnsi="Arial" w:cs="Arial"/>
          <w:sz w:val="20"/>
          <w:szCs w:val="20"/>
        </w:rPr>
        <w:t xml:space="preserve"> kordában </w:t>
      </w:r>
      <w:r w:rsidR="00E9566B">
        <w:rPr>
          <w:rFonts w:ascii="Arial" w:hAnsi="Arial" w:cs="Arial"/>
          <w:sz w:val="20"/>
          <w:szCs w:val="20"/>
        </w:rPr>
        <w:t>tartani és ismét csökkenő pályára terelni</w:t>
      </w:r>
      <w:r w:rsidR="005C518C" w:rsidRPr="00711476">
        <w:rPr>
          <w:rFonts w:ascii="Arial" w:hAnsi="Arial" w:cs="Arial"/>
          <w:sz w:val="20"/>
          <w:szCs w:val="20"/>
        </w:rPr>
        <w:t xml:space="preserve"> a külső adósságo</w:t>
      </w:r>
      <w:r w:rsidR="00DC4398">
        <w:rPr>
          <w:rFonts w:ascii="Arial" w:hAnsi="Arial" w:cs="Arial"/>
          <w:sz w:val="20"/>
          <w:szCs w:val="20"/>
        </w:rPr>
        <w:t xml:space="preserve">t, továbbá </w:t>
      </w:r>
      <w:r w:rsidR="005E5AB9">
        <w:rPr>
          <w:rFonts w:ascii="Arial" w:hAnsi="Arial" w:cs="Arial"/>
          <w:sz w:val="20"/>
          <w:szCs w:val="20"/>
        </w:rPr>
        <w:t>a hazai CDS felárakat, ami</w:t>
      </w:r>
      <w:r w:rsidR="005C518C" w:rsidRPr="00711476">
        <w:rPr>
          <w:rFonts w:ascii="Arial" w:hAnsi="Arial" w:cs="Arial"/>
          <w:sz w:val="20"/>
          <w:szCs w:val="20"/>
        </w:rPr>
        <w:t xml:space="preserve"> a piaci </w:t>
      </w:r>
      <w:r w:rsidR="00B862F7">
        <w:rPr>
          <w:rFonts w:ascii="Arial" w:hAnsi="Arial" w:cs="Arial"/>
          <w:sz w:val="20"/>
          <w:szCs w:val="20"/>
        </w:rPr>
        <w:t>árazás</w:t>
      </w:r>
      <w:r w:rsidR="0010462A">
        <w:rPr>
          <w:rFonts w:ascii="Arial" w:hAnsi="Arial" w:cs="Arial"/>
          <w:sz w:val="20"/>
          <w:szCs w:val="20"/>
        </w:rPr>
        <w:t>ban is meglátszik</w:t>
      </w:r>
      <w:r w:rsidR="005C518C" w:rsidRPr="00711476">
        <w:rPr>
          <w:rFonts w:ascii="Arial" w:hAnsi="Arial" w:cs="Arial"/>
          <w:sz w:val="20"/>
          <w:szCs w:val="20"/>
        </w:rPr>
        <w:t xml:space="preserve">. A magyar csődkockázati felár </w:t>
      </w:r>
      <w:r>
        <w:rPr>
          <w:rFonts w:ascii="Arial" w:hAnsi="Arial" w:cs="Arial"/>
          <w:sz w:val="20"/>
          <w:szCs w:val="20"/>
        </w:rPr>
        <w:t>már 50 pont alatti – némi emelkedés után -</w:t>
      </w:r>
      <w:r w:rsidR="00E9566B">
        <w:rPr>
          <w:rFonts w:ascii="Arial" w:hAnsi="Arial" w:cs="Arial"/>
          <w:sz w:val="20"/>
          <w:szCs w:val="20"/>
        </w:rPr>
        <w:t xml:space="preserve"> </w:t>
      </w:r>
      <w:r>
        <w:rPr>
          <w:rFonts w:ascii="Arial" w:hAnsi="Arial" w:cs="Arial"/>
          <w:sz w:val="20"/>
          <w:szCs w:val="20"/>
        </w:rPr>
        <w:t>49</w:t>
      </w:r>
      <w:r w:rsidR="0010462A">
        <w:rPr>
          <w:rFonts w:ascii="Arial" w:hAnsi="Arial" w:cs="Arial"/>
          <w:sz w:val="20"/>
          <w:szCs w:val="20"/>
        </w:rPr>
        <w:t xml:space="preserve"> </w:t>
      </w:r>
      <w:r w:rsidR="0041778C">
        <w:rPr>
          <w:rFonts w:ascii="Arial" w:hAnsi="Arial" w:cs="Arial"/>
          <w:sz w:val="20"/>
          <w:szCs w:val="20"/>
        </w:rPr>
        <w:t>bázispont,</w:t>
      </w:r>
      <w:r w:rsidR="0036282E">
        <w:rPr>
          <w:rFonts w:ascii="Arial" w:hAnsi="Arial" w:cs="Arial"/>
          <w:sz w:val="20"/>
          <w:szCs w:val="20"/>
        </w:rPr>
        <w:t xml:space="preserve"> </w:t>
      </w:r>
      <w:r w:rsidR="00E9566B">
        <w:rPr>
          <w:rFonts w:ascii="Arial" w:hAnsi="Arial" w:cs="Arial"/>
          <w:sz w:val="20"/>
          <w:szCs w:val="20"/>
        </w:rPr>
        <w:t>ami további csökkenést jelent a korábbi negyedévhez képest</w:t>
      </w:r>
      <w:r w:rsidR="00AC7CE3">
        <w:rPr>
          <w:rFonts w:ascii="Arial" w:hAnsi="Arial" w:cs="Arial"/>
          <w:sz w:val="20"/>
          <w:szCs w:val="20"/>
        </w:rPr>
        <w:t xml:space="preserve"> és </w:t>
      </w:r>
      <w:r w:rsidR="00DC4398">
        <w:rPr>
          <w:rFonts w:ascii="Arial" w:hAnsi="Arial" w:cs="Arial"/>
          <w:sz w:val="20"/>
          <w:szCs w:val="20"/>
        </w:rPr>
        <w:t xml:space="preserve">csupán </w:t>
      </w:r>
      <w:r>
        <w:rPr>
          <w:rFonts w:ascii="Arial" w:hAnsi="Arial" w:cs="Arial"/>
          <w:sz w:val="20"/>
          <w:szCs w:val="20"/>
        </w:rPr>
        <w:t>8</w:t>
      </w:r>
      <w:r w:rsidR="005E5AB9">
        <w:rPr>
          <w:rFonts w:ascii="Arial" w:hAnsi="Arial" w:cs="Arial"/>
          <w:sz w:val="20"/>
          <w:szCs w:val="20"/>
        </w:rPr>
        <w:t xml:space="preserve"> bázispont </w:t>
      </w:r>
      <w:r w:rsidR="00AC7CE3">
        <w:rPr>
          <w:rFonts w:ascii="Arial" w:hAnsi="Arial" w:cs="Arial"/>
          <w:sz w:val="20"/>
          <w:szCs w:val="20"/>
        </w:rPr>
        <w:t>felár</w:t>
      </w:r>
      <w:r w:rsidR="00E9566B">
        <w:rPr>
          <w:rFonts w:ascii="Arial" w:hAnsi="Arial" w:cs="Arial"/>
          <w:sz w:val="20"/>
          <w:szCs w:val="20"/>
        </w:rPr>
        <w:t>t jelez</w:t>
      </w:r>
      <w:r w:rsidR="00AC7CE3">
        <w:rPr>
          <w:rFonts w:ascii="Arial" w:hAnsi="Arial" w:cs="Arial"/>
          <w:sz w:val="20"/>
          <w:szCs w:val="20"/>
        </w:rPr>
        <w:t xml:space="preserve"> a lengyel </w:t>
      </w:r>
      <w:r>
        <w:rPr>
          <w:rFonts w:ascii="Arial" w:hAnsi="Arial" w:cs="Arial"/>
          <w:sz w:val="20"/>
          <w:szCs w:val="20"/>
        </w:rPr>
        <w:t xml:space="preserve">és 14bp-t a cseh </w:t>
      </w:r>
      <w:r w:rsidR="00AC7CE3">
        <w:rPr>
          <w:rFonts w:ascii="Arial" w:hAnsi="Arial" w:cs="Arial"/>
          <w:sz w:val="20"/>
          <w:szCs w:val="20"/>
        </w:rPr>
        <w:t>szinthez</w:t>
      </w:r>
      <w:r w:rsidR="00E9566B">
        <w:rPr>
          <w:rFonts w:ascii="Arial" w:hAnsi="Arial" w:cs="Arial"/>
          <w:sz w:val="20"/>
          <w:szCs w:val="20"/>
        </w:rPr>
        <w:t xml:space="preserve"> viszonyítva</w:t>
      </w:r>
      <w:r w:rsidR="005C518C" w:rsidRPr="00711476">
        <w:rPr>
          <w:rFonts w:ascii="Arial" w:hAnsi="Arial" w:cs="Arial"/>
          <w:sz w:val="20"/>
          <w:szCs w:val="20"/>
        </w:rPr>
        <w:t xml:space="preserve">. </w:t>
      </w:r>
      <w:r w:rsidR="00E9566B">
        <w:rPr>
          <w:rFonts w:ascii="Arial" w:hAnsi="Arial" w:cs="Arial"/>
          <w:sz w:val="20"/>
          <w:szCs w:val="20"/>
        </w:rPr>
        <w:t xml:space="preserve">A magyar gazdaság fundamentumainak stabilitását és várható javulását jelzi az is, hogy némileg váratlanul szeptember végén Baa3-ról Baa2-re minősítette fel a magyar adósosztályzatot </w:t>
      </w:r>
      <w:r w:rsidR="00DC4398">
        <w:rPr>
          <w:rFonts w:ascii="Arial" w:hAnsi="Arial" w:cs="Arial"/>
          <w:sz w:val="20"/>
          <w:szCs w:val="20"/>
        </w:rPr>
        <w:t xml:space="preserve">a </w:t>
      </w:r>
      <w:proofErr w:type="spellStart"/>
      <w:r w:rsidR="00DC4398">
        <w:rPr>
          <w:rFonts w:ascii="Arial" w:hAnsi="Arial" w:cs="Arial"/>
          <w:sz w:val="20"/>
          <w:szCs w:val="20"/>
        </w:rPr>
        <w:t>Moody’s</w:t>
      </w:r>
      <w:proofErr w:type="spellEnd"/>
      <w:r w:rsidR="00DC4398">
        <w:rPr>
          <w:rFonts w:ascii="Arial" w:hAnsi="Arial" w:cs="Arial"/>
          <w:sz w:val="20"/>
          <w:szCs w:val="20"/>
        </w:rPr>
        <w:t xml:space="preserve"> stabil kilátással. Tette a</w:t>
      </w:r>
      <w:r w:rsidR="00E9566B">
        <w:rPr>
          <w:rFonts w:ascii="Arial" w:hAnsi="Arial" w:cs="Arial"/>
          <w:sz w:val="20"/>
          <w:szCs w:val="20"/>
        </w:rPr>
        <w:t>rra hivatkozva, hogy</w:t>
      </w:r>
      <w:r w:rsidR="00C020CA">
        <w:rPr>
          <w:rFonts w:ascii="Arial" w:hAnsi="Arial" w:cs="Arial"/>
          <w:sz w:val="20"/>
          <w:szCs w:val="20"/>
        </w:rPr>
        <w:t xml:space="preserve"> 2021 első felében kiemelkedően erős volt a magyar gazdaság visszapattanása köszönhetően a hatékony fiskális és monetáris poli</w:t>
      </w:r>
      <w:r w:rsidR="00DC4398">
        <w:rPr>
          <w:rFonts w:ascii="Arial" w:hAnsi="Arial" w:cs="Arial"/>
          <w:sz w:val="20"/>
          <w:szCs w:val="20"/>
        </w:rPr>
        <w:t>tikának és az erőteljes hazai, valamint</w:t>
      </w:r>
      <w:r w:rsidR="00C020CA">
        <w:rPr>
          <w:rFonts w:ascii="Arial" w:hAnsi="Arial" w:cs="Arial"/>
          <w:sz w:val="20"/>
          <w:szCs w:val="20"/>
        </w:rPr>
        <w:t xml:space="preserve"> FDI beruh</w:t>
      </w:r>
      <w:r>
        <w:rPr>
          <w:rFonts w:ascii="Arial" w:hAnsi="Arial" w:cs="Arial"/>
          <w:sz w:val="20"/>
          <w:szCs w:val="20"/>
        </w:rPr>
        <w:t xml:space="preserve">ázásoknak köszönhetően </w:t>
      </w:r>
      <w:proofErr w:type="spellStart"/>
      <w:r>
        <w:rPr>
          <w:rFonts w:ascii="Arial" w:hAnsi="Arial" w:cs="Arial"/>
          <w:sz w:val="20"/>
          <w:szCs w:val="20"/>
        </w:rPr>
        <w:t>pozitívak</w:t>
      </w:r>
      <w:proofErr w:type="spellEnd"/>
      <w:r w:rsidR="00C020CA">
        <w:rPr>
          <w:rFonts w:ascii="Arial" w:hAnsi="Arial" w:cs="Arial"/>
          <w:sz w:val="20"/>
          <w:szCs w:val="20"/>
        </w:rPr>
        <w:t xml:space="preserve"> a kö</w:t>
      </w:r>
      <w:r>
        <w:rPr>
          <w:rFonts w:ascii="Arial" w:hAnsi="Arial" w:cs="Arial"/>
          <w:sz w:val="20"/>
          <w:szCs w:val="20"/>
        </w:rPr>
        <w:t xml:space="preserve">zéptávú növekedési kilátások, ami szintén pozitív fundamentum a nemzetközi piacon a </w:t>
      </w:r>
      <w:r w:rsidR="00B825B8">
        <w:rPr>
          <w:rFonts w:ascii="Arial" w:hAnsi="Arial" w:cs="Arial"/>
          <w:sz w:val="20"/>
          <w:szCs w:val="20"/>
        </w:rPr>
        <w:t>hazai deviza számára. A</w:t>
      </w:r>
      <w:r>
        <w:rPr>
          <w:rFonts w:ascii="Arial" w:hAnsi="Arial" w:cs="Arial"/>
          <w:sz w:val="20"/>
          <w:szCs w:val="20"/>
        </w:rPr>
        <w:t xml:space="preserve">zt azonban meg kell jegyezni, hogy a bizonytalan inflációs és monetáris szigorítások közepette egy negatív feltörekvő piaci turbulencia a jelenlegi </w:t>
      </w:r>
      <w:proofErr w:type="spellStart"/>
      <w:r>
        <w:rPr>
          <w:rFonts w:ascii="Arial" w:hAnsi="Arial" w:cs="Arial"/>
          <w:sz w:val="20"/>
          <w:szCs w:val="20"/>
        </w:rPr>
        <w:t>volatilis</w:t>
      </w:r>
      <w:proofErr w:type="spellEnd"/>
      <w:r>
        <w:rPr>
          <w:rFonts w:ascii="Arial" w:hAnsi="Arial" w:cs="Arial"/>
          <w:sz w:val="20"/>
          <w:szCs w:val="20"/>
        </w:rPr>
        <w:t xml:space="preserve"> kereskedés közepette érdemi irányváltásokat is eredményezhet</w:t>
      </w:r>
      <w:r w:rsidR="00B825B8">
        <w:rPr>
          <w:rFonts w:ascii="Arial" w:hAnsi="Arial" w:cs="Arial"/>
          <w:sz w:val="20"/>
          <w:szCs w:val="20"/>
        </w:rPr>
        <w:t>, ezzel együtt is a szigorodó hazai monetáris és fiskális környezetnek köszönhetően az év végére a 350-355 közötti sávba várjuk a forint euró elleni értékét</w:t>
      </w:r>
      <w:r>
        <w:rPr>
          <w:rFonts w:ascii="Arial" w:hAnsi="Arial" w:cs="Arial"/>
          <w:sz w:val="20"/>
          <w:szCs w:val="20"/>
        </w:rPr>
        <w:t>.</w:t>
      </w:r>
    </w:p>
    <w:p w14:paraId="37741896" w14:textId="77777777" w:rsidR="005C518C" w:rsidRPr="00711476" w:rsidRDefault="005C518C" w:rsidP="0039682E">
      <w:pPr>
        <w:pStyle w:val="Alcmtbank"/>
        <w:rPr>
          <w:sz w:val="20"/>
          <w:szCs w:val="20"/>
        </w:rPr>
      </w:pPr>
      <w:r>
        <w:t>Nemzetközi és magyar állampapírpiac, hozamszintek</w:t>
      </w:r>
    </w:p>
    <w:p w14:paraId="7BE0085B" w14:textId="77777777" w:rsidR="004D7565" w:rsidRPr="00672BD5" w:rsidRDefault="004D7565" w:rsidP="00711476">
      <w:pPr>
        <w:spacing w:after="120" w:line="360" w:lineRule="auto"/>
        <w:jc w:val="both"/>
        <w:rPr>
          <w:rFonts w:ascii="Arial" w:hAnsi="Arial" w:cs="Arial"/>
          <w:color w:val="FF0000"/>
          <w:sz w:val="20"/>
          <w:szCs w:val="20"/>
        </w:rPr>
      </w:pPr>
      <w:r w:rsidRPr="00BB3D72">
        <w:rPr>
          <w:rFonts w:ascii="Arial" w:hAnsi="Arial" w:cs="Arial"/>
          <w:sz w:val="20"/>
          <w:szCs w:val="20"/>
        </w:rPr>
        <w:t>A transzatlanti ellenpárok, a</w:t>
      </w:r>
      <w:r w:rsidR="005C518C" w:rsidRPr="00BB3D72">
        <w:rPr>
          <w:rFonts w:ascii="Arial" w:hAnsi="Arial" w:cs="Arial"/>
          <w:sz w:val="20"/>
          <w:szCs w:val="20"/>
        </w:rPr>
        <w:t xml:space="preserve"> német, illetve az amerikai hozamgörbe összehasonlítása alapján jól látszik, hogy az amerikai </w:t>
      </w:r>
      <w:r w:rsidRPr="00BB3D72">
        <w:rPr>
          <w:rFonts w:ascii="Arial" w:hAnsi="Arial" w:cs="Arial"/>
          <w:sz w:val="20"/>
          <w:szCs w:val="20"/>
        </w:rPr>
        <w:t xml:space="preserve">görbe </w:t>
      </w:r>
      <w:proofErr w:type="spellStart"/>
      <w:r w:rsidR="005C518C" w:rsidRPr="00BB3D72">
        <w:rPr>
          <w:rFonts w:ascii="Arial" w:hAnsi="Arial" w:cs="Arial"/>
          <w:sz w:val="20"/>
          <w:szCs w:val="20"/>
        </w:rPr>
        <w:t>inverzsége</w:t>
      </w:r>
      <w:proofErr w:type="spellEnd"/>
      <w:r w:rsidR="005C518C" w:rsidRPr="00BB3D72">
        <w:rPr>
          <w:rFonts w:ascii="Arial" w:hAnsi="Arial" w:cs="Arial"/>
          <w:sz w:val="20"/>
          <w:szCs w:val="20"/>
        </w:rPr>
        <w:t xml:space="preserve"> </w:t>
      </w:r>
      <w:r w:rsidR="00964353" w:rsidRPr="00BB3D72">
        <w:rPr>
          <w:rFonts w:ascii="Arial" w:hAnsi="Arial" w:cs="Arial"/>
          <w:sz w:val="20"/>
          <w:szCs w:val="20"/>
        </w:rPr>
        <w:t xml:space="preserve">megszűnt és </w:t>
      </w:r>
      <w:r w:rsidR="006D467E" w:rsidRPr="00BB3D72">
        <w:rPr>
          <w:rFonts w:ascii="Arial" w:hAnsi="Arial" w:cs="Arial"/>
          <w:sz w:val="20"/>
          <w:szCs w:val="20"/>
        </w:rPr>
        <w:t>mindhárom lenti</w:t>
      </w:r>
      <w:r w:rsidR="00964353" w:rsidRPr="00BB3D72">
        <w:rPr>
          <w:rFonts w:ascii="Arial" w:hAnsi="Arial" w:cs="Arial"/>
          <w:sz w:val="20"/>
          <w:szCs w:val="20"/>
        </w:rPr>
        <w:t xml:space="preserve"> görbe</w:t>
      </w:r>
      <w:r w:rsidRPr="00BB3D72">
        <w:rPr>
          <w:rFonts w:ascii="Arial" w:hAnsi="Arial" w:cs="Arial"/>
          <w:sz w:val="20"/>
          <w:szCs w:val="20"/>
        </w:rPr>
        <w:t xml:space="preserve"> </w:t>
      </w:r>
      <w:r w:rsidR="00BB3D72" w:rsidRPr="00BB3D72">
        <w:rPr>
          <w:rFonts w:ascii="Arial" w:hAnsi="Arial" w:cs="Arial"/>
          <w:sz w:val="20"/>
          <w:szCs w:val="20"/>
        </w:rPr>
        <w:t xml:space="preserve">főként </w:t>
      </w:r>
      <w:r w:rsidRPr="00BB3D72">
        <w:rPr>
          <w:rFonts w:ascii="Arial" w:hAnsi="Arial" w:cs="Arial"/>
          <w:sz w:val="20"/>
          <w:szCs w:val="20"/>
        </w:rPr>
        <w:t>hosszú oldala</w:t>
      </w:r>
      <w:r w:rsidR="00964353" w:rsidRPr="00BB3D72">
        <w:rPr>
          <w:rFonts w:ascii="Arial" w:hAnsi="Arial" w:cs="Arial"/>
          <w:sz w:val="20"/>
          <w:szCs w:val="20"/>
        </w:rPr>
        <w:t xml:space="preserve"> feljebb jött az egy évvel korábbi szintjéhez képest, ami értelemszerű következménye az inflációs várakozások masszív </w:t>
      </w:r>
      <w:r w:rsidRPr="00BB3D72">
        <w:rPr>
          <w:rFonts w:ascii="Arial" w:hAnsi="Arial" w:cs="Arial"/>
          <w:sz w:val="20"/>
          <w:szCs w:val="20"/>
        </w:rPr>
        <w:t>emelkedésének és a kamatemelési várakozásoknak</w:t>
      </w:r>
      <w:r w:rsidR="005C518C" w:rsidRPr="00BB3D72">
        <w:rPr>
          <w:rFonts w:ascii="Arial" w:hAnsi="Arial" w:cs="Arial"/>
          <w:sz w:val="20"/>
          <w:szCs w:val="20"/>
        </w:rPr>
        <w:t xml:space="preserve">. </w:t>
      </w:r>
      <w:r w:rsidR="00237C8E" w:rsidRPr="00BB3D72">
        <w:rPr>
          <w:rFonts w:ascii="Arial" w:hAnsi="Arial" w:cs="Arial"/>
          <w:sz w:val="20"/>
          <w:szCs w:val="20"/>
        </w:rPr>
        <w:t xml:space="preserve">A hozamgörbe </w:t>
      </w:r>
      <w:proofErr w:type="spellStart"/>
      <w:r w:rsidRPr="00BB3D72">
        <w:rPr>
          <w:rFonts w:ascii="Arial" w:hAnsi="Arial" w:cs="Arial"/>
          <w:sz w:val="20"/>
          <w:szCs w:val="20"/>
        </w:rPr>
        <w:t>inverzségének</w:t>
      </w:r>
      <w:proofErr w:type="spellEnd"/>
      <w:r w:rsidRPr="00BB3D72">
        <w:rPr>
          <w:rFonts w:ascii="Arial" w:hAnsi="Arial" w:cs="Arial"/>
          <w:sz w:val="20"/>
          <w:szCs w:val="20"/>
        </w:rPr>
        <w:t xml:space="preserve"> jeleit </w:t>
      </w:r>
      <w:r w:rsidR="00964353" w:rsidRPr="00BB3D72">
        <w:rPr>
          <w:rFonts w:ascii="Arial" w:hAnsi="Arial" w:cs="Arial"/>
          <w:sz w:val="20"/>
          <w:szCs w:val="20"/>
        </w:rPr>
        <w:t>továbbra is mutatja a német görbe</w:t>
      </w:r>
      <w:r w:rsidR="005C518C" w:rsidRPr="00BB3D72">
        <w:rPr>
          <w:rFonts w:ascii="Arial" w:hAnsi="Arial" w:cs="Arial"/>
          <w:sz w:val="20"/>
          <w:szCs w:val="20"/>
        </w:rPr>
        <w:t xml:space="preserve">, a közép-hosszú hozamok </w:t>
      </w:r>
      <w:r w:rsidRPr="00BB3D72">
        <w:rPr>
          <w:rFonts w:ascii="Arial" w:hAnsi="Arial" w:cs="Arial"/>
          <w:sz w:val="20"/>
          <w:szCs w:val="20"/>
        </w:rPr>
        <w:t xml:space="preserve">minimálisan </w:t>
      </w:r>
      <w:r w:rsidR="005C518C" w:rsidRPr="00BB3D72">
        <w:rPr>
          <w:rFonts w:ascii="Arial" w:hAnsi="Arial" w:cs="Arial"/>
          <w:sz w:val="20"/>
          <w:szCs w:val="20"/>
        </w:rPr>
        <w:t>a rövid</w:t>
      </w:r>
      <w:r w:rsidR="00964353" w:rsidRPr="00BB3D72">
        <w:rPr>
          <w:rFonts w:ascii="Arial" w:hAnsi="Arial" w:cs="Arial"/>
          <w:sz w:val="20"/>
          <w:szCs w:val="20"/>
        </w:rPr>
        <w:t>ek alatt állnak még mindig</w:t>
      </w:r>
      <w:r w:rsidR="005C518C" w:rsidRPr="00BB3D72">
        <w:rPr>
          <w:rFonts w:ascii="Arial" w:hAnsi="Arial" w:cs="Arial"/>
          <w:sz w:val="20"/>
          <w:szCs w:val="20"/>
        </w:rPr>
        <w:t>, de mivel ez egy negatívban lévő, mesterséges, QE és a globális tőke menedékkeresése által befolyásolt hozamkörnyezet, így nem feltétlen érdemes valós jelentéstartalommal felruházni a jelenlegi hel</w:t>
      </w:r>
      <w:r w:rsidR="00237C8E" w:rsidRPr="00BB3D72">
        <w:rPr>
          <w:rFonts w:ascii="Arial" w:hAnsi="Arial" w:cs="Arial"/>
          <w:sz w:val="20"/>
          <w:szCs w:val="20"/>
        </w:rPr>
        <w:t xml:space="preserve">yzetet. Az EKB kötvényvásárlása </w:t>
      </w:r>
      <w:r w:rsidR="005C518C" w:rsidRPr="00BB3D72">
        <w:rPr>
          <w:rFonts w:ascii="Arial" w:hAnsi="Arial" w:cs="Arial"/>
          <w:sz w:val="20"/>
          <w:szCs w:val="20"/>
        </w:rPr>
        <w:t>láthatóan szorítja lefelé az államadósság (re)finanszírozási költségeket</w:t>
      </w:r>
      <w:r w:rsidR="00237C8E" w:rsidRPr="00BB3D72">
        <w:rPr>
          <w:rFonts w:ascii="Arial" w:hAnsi="Arial" w:cs="Arial"/>
          <w:sz w:val="20"/>
          <w:szCs w:val="20"/>
        </w:rPr>
        <w:t xml:space="preserve"> Európa-szerte</w:t>
      </w:r>
      <w:r w:rsidRPr="00BB3D72">
        <w:rPr>
          <w:rFonts w:ascii="Arial" w:hAnsi="Arial" w:cs="Arial"/>
          <w:sz w:val="20"/>
          <w:szCs w:val="20"/>
        </w:rPr>
        <w:t>, például a súlyosan</w:t>
      </w:r>
      <w:r w:rsidR="005C518C" w:rsidRPr="00BB3D72">
        <w:rPr>
          <w:rFonts w:ascii="Arial" w:hAnsi="Arial" w:cs="Arial"/>
          <w:sz w:val="20"/>
          <w:szCs w:val="20"/>
        </w:rPr>
        <w:t xml:space="preserve"> </w:t>
      </w:r>
      <w:r w:rsidRPr="00BB3D72">
        <w:rPr>
          <w:rFonts w:ascii="Arial" w:hAnsi="Arial" w:cs="Arial"/>
          <w:sz w:val="20"/>
          <w:szCs w:val="20"/>
        </w:rPr>
        <w:t xml:space="preserve">eladósodott </w:t>
      </w:r>
      <w:r w:rsidR="005C518C" w:rsidRPr="00BB3D72">
        <w:rPr>
          <w:rFonts w:ascii="Arial" w:hAnsi="Arial" w:cs="Arial"/>
          <w:sz w:val="20"/>
          <w:szCs w:val="20"/>
        </w:rPr>
        <w:t xml:space="preserve">olasz 10 éves referenciahozam </w:t>
      </w:r>
      <w:r w:rsidRPr="00BB3D72">
        <w:rPr>
          <w:rFonts w:ascii="Arial" w:hAnsi="Arial" w:cs="Arial"/>
          <w:sz w:val="20"/>
          <w:szCs w:val="20"/>
        </w:rPr>
        <w:t>kevesebb, mint két éve</w:t>
      </w:r>
      <w:r w:rsidR="0044664F" w:rsidRPr="00BB3D72">
        <w:rPr>
          <w:rFonts w:ascii="Arial" w:hAnsi="Arial" w:cs="Arial"/>
          <w:sz w:val="20"/>
          <w:szCs w:val="20"/>
        </w:rPr>
        <w:t xml:space="preserve"> még</w:t>
      </w:r>
      <w:r w:rsidRPr="00BB3D72">
        <w:rPr>
          <w:rFonts w:ascii="Arial" w:hAnsi="Arial" w:cs="Arial"/>
          <w:sz w:val="20"/>
          <w:szCs w:val="20"/>
        </w:rPr>
        <w:t xml:space="preserve"> 2.6%-</w:t>
      </w:r>
      <w:proofErr w:type="spellStart"/>
      <w:r w:rsidRPr="00BB3D72">
        <w:rPr>
          <w:rFonts w:ascii="Arial" w:hAnsi="Arial" w:cs="Arial"/>
          <w:sz w:val="20"/>
          <w:szCs w:val="20"/>
        </w:rPr>
        <w:t>on</w:t>
      </w:r>
      <w:proofErr w:type="spellEnd"/>
      <w:r w:rsidRPr="00BB3D72">
        <w:rPr>
          <w:rFonts w:ascii="Arial" w:hAnsi="Arial" w:cs="Arial"/>
          <w:sz w:val="20"/>
          <w:szCs w:val="20"/>
        </w:rPr>
        <w:t xml:space="preserve"> állt, míg jelenleg továbbra is csupán 0.82</w:t>
      </w:r>
      <w:r w:rsidR="005C518C" w:rsidRPr="00BB3D72">
        <w:rPr>
          <w:rFonts w:ascii="Arial" w:hAnsi="Arial" w:cs="Arial"/>
          <w:sz w:val="20"/>
          <w:szCs w:val="20"/>
        </w:rPr>
        <w:t>%</w:t>
      </w:r>
      <w:r w:rsidR="00237C8E" w:rsidRPr="00BB3D72">
        <w:rPr>
          <w:rFonts w:ascii="Arial" w:hAnsi="Arial" w:cs="Arial"/>
          <w:sz w:val="20"/>
          <w:szCs w:val="20"/>
        </w:rPr>
        <w:t xml:space="preserve"> az világszerte erősödő inflációs félelmek</w:t>
      </w:r>
      <w:r w:rsidRPr="00BB3D72">
        <w:rPr>
          <w:rFonts w:ascii="Arial" w:hAnsi="Arial" w:cs="Arial"/>
          <w:sz w:val="20"/>
          <w:szCs w:val="20"/>
        </w:rPr>
        <w:t xml:space="preserve"> és kamatemelések</w:t>
      </w:r>
      <w:r w:rsidR="00237C8E" w:rsidRPr="00BB3D72">
        <w:rPr>
          <w:rFonts w:ascii="Arial" w:hAnsi="Arial" w:cs="Arial"/>
          <w:sz w:val="20"/>
          <w:szCs w:val="20"/>
        </w:rPr>
        <w:t xml:space="preserve"> ellenére is</w:t>
      </w:r>
      <w:r w:rsidR="005C518C" w:rsidRPr="00BB3D72">
        <w:rPr>
          <w:rFonts w:ascii="Arial" w:hAnsi="Arial" w:cs="Arial"/>
          <w:sz w:val="20"/>
          <w:szCs w:val="20"/>
        </w:rPr>
        <w:t xml:space="preserve">, így nem indokolatlan a </w:t>
      </w:r>
      <w:r w:rsidR="00E966A5" w:rsidRPr="00BB3D72">
        <w:rPr>
          <w:rFonts w:ascii="Arial" w:hAnsi="Arial" w:cs="Arial"/>
          <w:sz w:val="20"/>
          <w:szCs w:val="20"/>
        </w:rPr>
        <w:t>megállapítás</w:t>
      </w:r>
      <w:r w:rsidR="005C518C" w:rsidRPr="00BB3D72">
        <w:rPr>
          <w:rFonts w:ascii="Arial" w:hAnsi="Arial" w:cs="Arial"/>
          <w:sz w:val="20"/>
          <w:szCs w:val="20"/>
        </w:rPr>
        <w:t>,</w:t>
      </w:r>
      <w:r w:rsidR="0044664F" w:rsidRPr="00BB3D72">
        <w:rPr>
          <w:rFonts w:ascii="Arial" w:hAnsi="Arial" w:cs="Arial"/>
          <w:sz w:val="20"/>
          <w:szCs w:val="20"/>
        </w:rPr>
        <w:t xml:space="preserve"> hogy </w:t>
      </w:r>
      <w:r w:rsidR="0044664F" w:rsidRPr="00BB3D72">
        <w:rPr>
          <w:rFonts w:ascii="Arial" w:hAnsi="Arial" w:cs="Arial"/>
          <w:sz w:val="20"/>
          <w:szCs w:val="20"/>
        </w:rPr>
        <w:lastRenderedPageBreak/>
        <w:t xml:space="preserve">az EKB tartja </w:t>
      </w:r>
      <w:r w:rsidR="0041778C" w:rsidRPr="00BB3D72">
        <w:rPr>
          <w:rFonts w:ascii="Arial" w:hAnsi="Arial" w:cs="Arial"/>
          <w:sz w:val="20"/>
          <w:szCs w:val="20"/>
        </w:rPr>
        <w:t>lélegeztető gépen</w:t>
      </w:r>
      <w:r w:rsidR="005C518C" w:rsidRPr="00BB3D72">
        <w:rPr>
          <w:rFonts w:ascii="Arial" w:hAnsi="Arial" w:cs="Arial"/>
          <w:sz w:val="20"/>
          <w:szCs w:val="20"/>
        </w:rPr>
        <w:t xml:space="preserve"> az európai adóssághegyek egy </w:t>
      </w:r>
      <w:r w:rsidR="00466FD8" w:rsidRPr="00BB3D72">
        <w:rPr>
          <w:rFonts w:ascii="Arial" w:hAnsi="Arial" w:cs="Arial"/>
          <w:sz w:val="20"/>
          <w:szCs w:val="20"/>
        </w:rPr>
        <w:t>részét.</w:t>
      </w:r>
      <w:r w:rsidR="00237C8E" w:rsidRPr="00BB3D72">
        <w:rPr>
          <w:rFonts w:ascii="Arial" w:hAnsi="Arial" w:cs="Arial"/>
          <w:sz w:val="20"/>
          <w:szCs w:val="20"/>
        </w:rPr>
        <w:t xml:space="preserve"> </w:t>
      </w:r>
      <w:r w:rsidR="00466FD8" w:rsidRPr="00BB3D72">
        <w:rPr>
          <w:rFonts w:ascii="Arial" w:hAnsi="Arial" w:cs="Arial"/>
          <w:sz w:val="20"/>
          <w:szCs w:val="20"/>
        </w:rPr>
        <w:t>Erre</w:t>
      </w:r>
      <w:r w:rsidR="00237C8E" w:rsidRPr="00BB3D72">
        <w:rPr>
          <w:rFonts w:ascii="Arial" w:hAnsi="Arial" w:cs="Arial"/>
          <w:sz w:val="20"/>
          <w:szCs w:val="20"/>
        </w:rPr>
        <w:t xml:space="preserve"> </w:t>
      </w:r>
      <w:r w:rsidR="00466FD8" w:rsidRPr="00BB3D72">
        <w:rPr>
          <w:rFonts w:ascii="Arial" w:hAnsi="Arial" w:cs="Arial"/>
          <w:sz w:val="20"/>
          <w:szCs w:val="20"/>
        </w:rPr>
        <w:t>vélhetően</w:t>
      </w:r>
      <w:r w:rsidR="00237C8E" w:rsidRPr="00BB3D72">
        <w:rPr>
          <w:rFonts w:ascii="Arial" w:hAnsi="Arial" w:cs="Arial"/>
          <w:sz w:val="20"/>
          <w:szCs w:val="20"/>
        </w:rPr>
        <w:t xml:space="preserve"> a </w:t>
      </w:r>
      <w:proofErr w:type="spellStart"/>
      <w:r w:rsidR="00237C8E" w:rsidRPr="00BB3D72">
        <w:rPr>
          <w:rFonts w:ascii="Arial" w:hAnsi="Arial" w:cs="Arial"/>
          <w:sz w:val="20"/>
          <w:szCs w:val="20"/>
        </w:rPr>
        <w:t>pandémia</w:t>
      </w:r>
      <w:proofErr w:type="spellEnd"/>
      <w:r w:rsidR="00237C8E" w:rsidRPr="00BB3D72">
        <w:rPr>
          <w:rFonts w:ascii="Arial" w:hAnsi="Arial" w:cs="Arial"/>
          <w:sz w:val="20"/>
          <w:szCs w:val="20"/>
        </w:rPr>
        <w:t xml:space="preserve"> következtében elszabaduló államadósságokat figyelembe véve szükség lesz továbbra is</w:t>
      </w:r>
      <w:r w:rsidR="00466FD8" w:rsidRPr="00BB3D72">
        <w:rPr>
          <w:rFonts w:ascii="Arial" w:hAnsi="Arial" w:cs="Arial"/>
          <w:sz w:val="20"/>
          <w:szCs w:val="20"/>
        </w:rPr>
        <w:t>, ami</w:t>
      </w:r>
      <w:r w:rsidR="0052607E" w:rsidRPr="00BB3D72">
        <w:rPr>
          <w:rFonts w:ascii="Arial" w:hAnsi="Arial" w:cs="Arial"/>
          <w:sz w:val="20"/>
          <w:szCs w:val="20"/>
        </w:rPr>
        <w:t xml:space="preserve"> erősen korlátozza az európai monetáris hatóság mozgásterét</w:t>
      </w:r>
      <w:r w:rsidRPr="00BB3D72">
        <w:rPr>
          <w:rFonts w:ascii="Arial" w:hAnsi="Arial" w:cs="Arial"/>
          <w:sz w:val="20"/>
          <w:szCs w:val="20"/>
        </w:rPr>
        <w:t>, ami meg is jelenik az EKB továbbra is expanzív monetáris kommunikációjában, ami divergens az amerikai társának elmúlt hónapban már lezajlott szigorítást kilátásba helyező fordulatával</w:t>
      </w:r>
      <w:r w:rsidR="005C518C" w:rsidRPr="00BB3D72">
        <w:rPr>
          <w:rFonts w:ascii="Arial" w:hAnsi="Arial" w:cs="Arial"/>
          <w:sz w:val="20"/>
          <w:szCs w:val="20"/>
        </w:rPr>
        <w:t>.</w:t>
      </w:r>
      <w:r w:rsidRPr="00BB3D72">
        <w:rPr>
          <w:rFonts w:ascii="Arial" w:hAnsi="Arial" w:cs="Arial"/>
          <w:sz w:val="20"/>
          <w:szCs w:val="20"/>
        </w:rPr>
        <w:t xml:space="preserve"> Ebben az is szerepet játszhat, hogy a jegybank(ok) jelen helyzetben nem feltétlen bánnák a mandátumukkal ellentétes magasabb inflációt sem, ami segítséget nyújtana az élesen megugró államadósságok reálértékének csökkenésében és így a fina</w:t>
      </w:r>
      <w:r w:rsidR="00A054AA" w:rsidRPr="00BB3D72">
        <w:rPr>
          <w:rFonts w:ascii="Arial" w:hAnsi="Arial" w:cs="Arial"/>
          <w:sz w:val="20"/>
          <w:szCs w:val="20"/>
        </w:rPr>
        <w:t>nszírozási helyzet stabilizálásában</w:t>
      </w:r>
      <w:r w:rsidRPr="00BB3D72">
        <w:rPr>
          <w:rFonts w:ascii="Arial" w:hAnsi="Arial" w:cs="Arial"/>
          <w:sz w:val="20"/>
          <w:szCs w:val="20"/>
        </w:rPr>
        <w:t>.</w:t>
      </w:r>
    </w:p>
    <w:tbl>
      <w:tblPr>
        <w:tblW w:w="10173" w:type="dxa"/>
        <w:tblLook w:val="01E0" w:firstRow="1" w:lastRow="1" w:firstColumn="1" w:lastColumn="1" w:noHBand="0" w:noVBand="0"/>
      </w:tblPr>
      <w:tblGrid>
        <w:gridCol w:w="5066"/>
        <w:gridCol w:w="167"/>
        <w:gridCol w:w="4923"/>
        <w:gridCol w:w="17"/>
      </w:tblGrid>
      <w:tr w:rsidR="005C518C" w:rsidRPr="003536D7" w14:paraId="42752662" w14:textId="77777777" w:rsidTr="00323F59">
        <w:trPr>
          <w:gridAfter w:val="1"/>
          <w:wAfter w:w="17" w:type="dxa"/>
        </w:trPr>
        <w:tc>
          <w:tcPr>
            <w:tcW w:w="5066" w:type="dxa"/>
          </w:tcPr>
          <w:p w14:paraId="5CAD9167" w14:textId="77777777" w:rsidR="005C518C" w:rsidRPr="00711476" w:rsidRDefault="00222D2D" w:rsidP="00013747">
            <w:pPr>
              <w:keepNext/>
              <w:spacing w:after="0"/>
              <w:jc w:val="center"/>
              <w:rPr>
                <w:rFonts w:ascii="Arial" w:hAnsi="Arial" w:cs="Arial"/>
                <w:b/>
                <w:color w:val="FF8500"/>
              </w:rPr>
            </w:pPr>
            <w:r>
              <w:rPr>
                <w:rFonts w:ascii="Arial" w:hAnsi="Arial" w:cs="Arial"/>
                <w:b/>
                <w:color w:val="FF8500"/>
              </w:rPr>
              <w:t>51</w:t>
            </w:r>
            <w:r w:rsidR="005C518C" w:rsidRPr="00711476">
              <w:rPr>
                <w:rFonts w:ascii="Arial" w:hAnsi="Arial" w:cs="Arial"/>
                <w:b/>
                <w:color w:val="FF8500"/>
              </w:rPr>
              <w:t xml:space="preserve">. ábra: </w:t>
            </w:r>
            <w:r w:rsidR="005C518C" w:rsidRPr="0039682E">
              <w:rPr>
                <w:rFonts w:ascii="Arial" w:hAnsi="Arial" w:cs="Arial"/>
                <w:bCs/>
                <w:color w:val="FF8500"/>
              </w:rPr>
              <w:t>A német hozamgörbe alakulása</w:t>
            </w:r>
          </w:p>
        </w:tc>
        <w:tc>
          <w:tcPr>
            <w:tcW w:w="5090" w:type="dxa"/>
            <w:gridSpan w:val="2"/>
          </w:tcPr>
          <w:p w14:paraId="09B0107C" w14:textId="77777777" w:rsidR="005C518C" w:rsidRPr="00711476" w:rsidRDefault="00222D2D" w:rsidP="00013747">
            <w:pPr>
              <w:keepNext/>
              <w:spacing w:after="0"/>
              <w:jc w:val="center"/>
              <w:rPr>
                <w:rFonts w:ascii="Arial" w:hAnsi="Arial" w:cs="Arial"/>
                <w:color w:val="FF8500"/>
                <w:sz w:val="18"/>
                <w:szCs w:val="18"/>
              </w:rPr>
            </w:pPr>
            <w:r>
              <w:rPr>
                <w:rFonts w:ascii="Arial" w:hAnsi="Arial" w:cs="Arial"/>
                <w:b/>
                <w:color w:val="FF8500"/>
              </w:rPr>
              <w:t>52</w:t>
            </w:r>
            <w:r w:rsidR="005C518C" w:rsidRPr="00711476">
              <w:rPr>
                <w:rFonts w:ascii="Arial" w:hAnsi="Arial" w:cs="Arial"/>
                <w:b/>
                <w:color w:val="FF8500"/>
              </w:rPr>
              <w:t xml:space="preserve">. ábra: </w:t>
            </w:r>
            <w:r w:rsidR="005C518C" w:rsidRPr="0039682E">
              <w:rPr>
                <w:rFonts w:ascii="Arial" w:hAnsi="Arial" w:cs="Arial"/>
                <w:bCs/>
                <w:color w:val="FF8500"/>
              </w:rPr>
              <w:t>Az amerikai hozamgörbe alakulása</w:t>
            </w:r>
          </w:p>
        </w:tc>
      </w:tr>
      <w:tr w:rsidR="005C518C" w:rsidRPr="00AE1CCA" w14:paraId="7E375BBA" w14:textId="77777777" w:rsidTr="00323F59">
        <w:tblPrEx>
          <w:tblCellMar>
            <w:left w:w="70" w:type="dxa"/>
            <w:right w:w="70" w:type="dxa"/>
          </w:tblCellMar>
        </w:tblPrEx>
        <w:trPr>
          <w:gridAfter w:val="1"/>
          <w:wAfter w:w="17" w:type="dxa"/>
        </w:trPr>
        <w:tc>
          <w:tcPr>
            <w:tcW w:w="5066" w:type="dxa"/>
          </w:tcPr>
          <w:p w14:paraId="234E666E" w14:textId="77777777" w:rsidR="005C518C" w:rsidRPr="00AE1CCA" w:rsidRDefault="00323F59" w:rsidP="004D7565">
            <w:pPr>
              <w:keepNext/>
              <w:spacing w:after="120"/>
              <w:jc w:val="center"/>
              <w:rPr>
                <w:rFonts w:ascii="Arial" w:hAnsi="Arial" w:cs="Arial"/>
                <w:sz w:val="2"/>
                <w:szCs w:val="2"/>
              </w:rPr>
            </w:pPr>
            <w:r>
              <w:rPr>
                <w:noProof/>
                <w:lang w:eastAsia="hu-HU"/>
              </w:rPr>
              <w:drawing>
                <wp:inline distT="0" distB="0" distL="0" distR="0" wp14:anchorId="08C621E3" wp14:editId="340EB2D8">
                  <wp:extent cx="3128580" cy="1803420"/>
                  <wp:effectExtent l="0" t="0" r="0" b="6350"/>
                  <wp:docPr id="50" name="Diagram 50">
                    <a:extLst xmlns:a="http://schemas.openxmlformats.org/drawingml/2006/main">
                      <a:ext uri="{FF2B5EF4-FFF2-40B4-BE49-F238E27FC236}">
                        <a16:creationId xmlns:a16="http://schemas.microsoft.com/office/drawing/2014/main" id="{00000000-0008-0000-05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5090" w:type="dxa"/>
            <w:gridSpan w:val="2"/>
          </w:tcPr>
          <w:p w14:paraId="11BC41DC" w14:textId="77777777" w:rsidR="005C518C" w:rsidRPr="00AE1CCA" w:rsidRDefault="00323F59" w:rsidP="005C518C">
            <w:pPr>
              <w:keepNext/>
              <w:jc w:val="center"/>
              <w:rPr>
                <w:rFonts w:ascii="Arial" w:hAnsi="Arial" w:cs="Arial"/>
                <w:sz w:val="2"/>
                <w:szCs w:val="2"/>
              </w:rPr>
            </w:pPr>
            <w:r>
              <w:rPr>
                <w:noProof/>
                <w:lang w:eastAsia="hu-HU"/>
              </w:rPr>
              <w:drawing>
                <wp:inline distT="0" distB="0" distL="0" distR="0" wp14:anchorId="32EFD6D8" wp14:editId="3611F629">
                  <wp:extent cx="3136200" cy="1803420"/>
                  <wp:effectExtent l="0" t="0" r="7620" b="6350"/>
                  <wp:docPr id="52" name="Diagram 52">
                    <a:extLst xmlns:a="http://schemas.openxmlformats.org/drawingml/2006/main">
                      <a:ext uri="{FF2B5EF4-FFF2-40B4-BE49-F238E27FC236}">
                        <a16:creationId xmlns:a16="http://schemas.microsoft.com/office/drawing/2014/main" id="{00000000-0008-0000-05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5C518C" w:rsidRPr="003536D7" w14:paraId="44CC29E8" w14:textId="77777777" w:rsidTr="00323F59">
        <w:tc>
          <w:tcPr>
            <w:tcW w:w="5233" w:type="dxa"/>
            <w:gridSpan w:val="2"/>
          </w:tcPr>
          <w:p w14:paraId="2CC6E15D" w14:textId="77777777" w:rsidR="005C518C" w:rsidRPr="00711476" w:rsidRDefault="00222D2D" w:rsidP="00013747">
            <w:pPr>
              <w:spacing w:before="240" w:after="0"/>
              <w:jc w:val="center"/>
              <w:rPr>
                <w:rFonts w:ascii="Arial" w:hAnsi="Arial" w:cs="Arial"/>
                <w:b/>
                <w:color w:val="FF8500"/>
              </w:rPr>
            </w:pPr>
            <w:r>
              <w:rPr>
                <w:rFonts w:ascii="Arial" w:hAnsi="Arial" w:cs="Arial"/>
                <w:b/>
                <w:color w:val="FF8500"/>
              </w:rPr>
              <w:t>53</w:t>
            </w:r>
            <w:r w:rsidR="005C518C" w:rsidRPr="00711476">
              <w:rPr>
                <w:rFonts w:ascii="Arial" w:hAnsi="Arial" w:cs="Arial"/>
                <w:b/>
                <w:color w:val="FF8500"/>
              </w:rPr>
              <w:t xml:space="preserve">. ábra: </w:t>
            </w:r>
            <w:r w:rsidR="005C518C" w:rsidRPr="0039682E">
              <w:rPr>
                <w:rFonts w:ascii="Arial" w:hAnsi="Arial" w:cs="Arial"/>
                <w:bCs/>
                <w:color w:val="FF8500"/>
              </w:rPr>
              <w:t>A magyar hozamgörbe alakulása</w:t>
            </w:r>
          </w:p>
        </w:tc>
        <w:tc>
          <w:tcPr>
            <w:tcW w:w="4940" w:type="dxa"/>
            <w:gridSpan w:val="2"/>
          </w:tcPr>
          <w:p w14:paraId="64C06AC0" w14:textId="77777777" w:rsidR="005C518C" w:rsidRPr="00711476" w:rsidRDefault="00222D2D" w:rsidP="00013747">
            <w:pPr>
              <w:spacing w:before="240" w:after="0"/>
              <w:jc w:val="center"/>
              <w:rPr>
                <w:rFonts w:ascii="Arial" w:hAnsi="Arial" w:cs="Arial"/>
                <w:color w:val="FF8500"/>
                <w:sz w:val="18"/>
                <w:szCs w:val="18"/>
              </w:rPr>
            </w:pPr>
            <w:r>
              <w:rPr>
                <w:rFonts w:ascii="Arial" w:hAnsi="Arial" w:cs="Arial"/>
                <w:b/>
                <w:color w:val="FF8500"/>
              </w:rPr>
              <w:t>54</w:t>
            </w:r>
            <w:r w:rsidR="005C518C" w:rsidRPr="00711476">
              <w:rPr>
                <w:rFonts w:ascii="Arial" w:hAnsi="Arial" w:cs="Arial"/>
                <w:b/>
                <w:color w:val="FF8500"/>
              </w:rPr>
              <w:t xml:space="preserve">. ábra: </w:t>
            </w:r>
            <w:r w:rsidR="005C518C" w:rsidRPr="0039682E">
              <w:rPr>
                <w:rFonts w:ascii="Arial" w:hAnsi="Arial" w:cs="Arial"/>
                <w:bCs/>
                <w:color w:val="FF8500"/>
              </w:rPr>
              <w:t>CEE Eurokötvény-hozamok (5 éves)</w:t>
            </w:r>
          </w:p>
        </w:tc>
      </w:tr>
      <w:tr w:rsidR="005C518C" w:rsidRPr="003536D7" w14:paraId="59F3A20E" w14:textId="77777777" w:rsidTr="00323F59">
        <w:tblPrEx>
          <w:tblCellMar>
            <w:left w:w="70" w:type="dxa"/>
            <w:right w:w="70" w:type="dxa"/>
          </w:tblCellMar>
        </w:tblPrEx>
        <w:tc>
          <w:tcPr>
            <w:tcW w:w="5233" w:type="dxa"/>
            <w:gridSpan w:val="2"/>
          </w:tcPr>
          <w:p w14:paraId="6770812C" w14:textId="77777777" w:rsidR="005C518C" w:rsidRPr="003536D7" w:rsidRDefault="00323F59" w:rsidP="005C518C">
            <w:pPr>
              <w:jc w:val="center"/>
              <w:rPr>
                <w:rFonts w:ascii="Arial" w:hAnsi="Arial" w:cs="Arial"/>
              </w:rPr>
            </w:pPr>
            <w:r>
              <w:rPr>
                <w:noProof/>
                <w:lang w:eastAsia="hu-HU"/>
              </w:rPr>
              <w:drawing>
                <wp:inline distT="0" distB="0" distL="0" distR="0" wp14:anchorId="6A1D46A1" wp14:editId="002B7020">
                  <wp:extent cx="3145725" cy="1803420"/>
                  <wp:effectExtent l="0" t="0" r="0" b="6350"/>
                  <wp:docPr id="54" name="Diagram 54">
                    <a:extLst xmlns:a="http://schemas.openxmlformats.org/drawingml/2006/main">
                      <a:ext uri="{FF2B5EF4-FFF2-40B4-BE49-F238E27FC236}">
                        <a16:creationId xmlns:a16="http://schemas.microsoft.com/office/drawing/2014/main" id="{00000000-0008-0000-05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940" w:type="dxa"/>
            <w:gridSpan w:val="2"/>
          </w:tcPr>
          <w:p w14:paraId="6218514B" w14:textId="77777777" w:rsidR="005C518C" w:rsidRPr="003536D7" w:rsidRDefault="00323F59" w:rsidP="005C518C">
            <w:pPr>
              <w:jc w:val="center"/>
              <w:rPr>
                <w:rFonts w:ascii="Arial" w:hAnsi="Arial" w:cs="Arial"/>
              </w:rPr>
            </w:pPr>
            <w:r>
              <w:rPr>
                <w:noProof/>
                <w:lang w:eastAsia="hu-HU"/>
              </w:rPr>
              <w:drawing>
                <wp:inline distT="0" distB="0" distL="0" distR="0" wp14:anchorId="1D7922BD" wp14:editId="4B367F75">
                  <wp:extent cx="2905125" cy="1828800"/>
                  <wp:effectExtent l="0" t="0" r="0" b="0"/>
                  <wp:docPr id="56" name="Diagram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5C518C" w:rsidRPr="00D8479D" w14:paraId="647F5136" w14:textId="77777777" w:rsidTr="00323F59">
        <w:tc>
          <w:tcPr>
            <w:tcW w:w="5233" w:type="dxa"/>
            <w:gridSpan w:val="2"/>
          </w:tcPr>
          <w:p w14:paraId="729CDDEE" w14:textId="77777777" w:rsidR="005C518C" w:rsidRPr="00711476" w:rsidRDefault="00222D2D" w:rsidP="00013747">
            <w:pPr>
              <w:spacing w:before="120" w:after="0"/>
              <w:jc w:val="center"/>
              <w:rPr>
                <w:rFonts w:ascii="Arial" w:hAnsi="Arial" w:cs="Arial"/>
                <w:b/>
                <w:color w:val="FF8500"/>
              </w:rPr>
            </w:pPr>
            <w:r>
              <w:rPr>
                <w:rFonts w:ascii="Arial" w:hAnsi="Arial" w:cs="Arial"/>
                <w:b/>
                <w:color w:val="FF8500"/>
              </w:rPr>
              <w:t>55</w:t>
            </w:r>
            <w:r w:rsidR="005C518C" w:rsidRPr="00711476">
              <w:rPr>
                <w:rFonts w:ascii="Arial" w:hAnsi="Arial" w:cs="Arial"/>
                <w:b/>
                <w:color w:val="FF8500"/>
              </w:rPr>
              <w:t xml:space="preserve">. ábra: </w:t>
            </w:r>
            <w:r w:rsidR="005C518C" w:rsidRPr="0039682E">
              <w:rPr>
                <w:rFonts w:ascii="Arial" w:hAnsi="Arial" w:cs="Arial"/>
                <w:bCs/>
                <w:color w:val="FF8500"/>
              </w:rPr>
              <w:t>Külföldiek forint állampapír-állománya és a lejárata</w:t>
            </w:r>
          </w:p>
        </w:tc>
        <w:tc>
          <w:tcPr>
            <w:tcW w:w="4940" w:type="dxa"/>
            <w:gridSpan w:val="2"/>
          </w:tcPr>
          <w:p w14:paraId="06FAF46B" w14:textId="77777777" w:rsidR="0039682E" w:rsidRPr="0039682E" w:rsidRDefault="00222D2D" w:rsidP="00013747">
            <w:pPr>
              <w:spacing w:before="120" w:after="0"/>
              <w:jc w:val="center"/>
              <w:rPr>
                <w:rFonts w:ascii="Arial" w:hAnsi="Arial" w:cs="Arial"/>
                <w:bCs/>
                <w:color w:val="FF8500"/>
              </w:rPr>
            </w:pPr>
            <w:r>
              <w:rPr>
                <w:rFonts w:ascii="Arial" w:hAnsi="Arial" w:cs="Arial"/>
                <w:b/>
                <w:color w:val="FF8500"/>
              </w:rPr>
              <w:t>56</w:t>
            </w:r>
            <w:r w:rsidR="005C518C" w:rsidRPr="00711476">
              <w:rPr>
                <w:rFonts w:ascii="Arial" w:hAnsi="Arial" w:cs="Arial"/>
                <w:b/>
                <w:color w:val="FF8500"/>
              </w:rPr>
              <w:t xml:space="preserve">. ábra: </w:t>
            </w:r>
            <w:r w:rsidR="005C518C" w:rsidRPr="0039682E">
              <w:rPr>
                <w:rFonts w:ascii="Arial" w:hAnsi="Arial" w:cs="Arial"/>
                <w:bCs/>
                <w:color w:val="FF8500"/>
              </w:rPr>
              <w:t>BUBOR-ok és a magyar határidős kamatpálya lefutása</w:t>
            </w:r>
          </w:p>
        </w:tc>
      </w:tr>
      <w:tr w:rsidR="005C518C" w:rsidRPr="00D8479D" w14:paraId="4B135C61" w14:textId="77777777" w:rsidTr="00323F59">
        <w:tblPrEx>
          <w:tblCellMar>
            <w:left w:w="70" w:type="dxa"/>
            <w:right w:w="70" w:type="dxa"/>
          </w:tblCellMar>
        </w:tblPrEx>
        <w:tc>
          <w:tcPr>
            <w:tcW w:w="5233" w:type="dxa"/>
            <w:gridSpan w:val="2"/>
          </w:tcPr>
          <w:p w14:paraId="035B6222" w14:textId="77777777" w:rsidR="005C518C" w:rsidRPr="00D8479D" w:rsidRDefault="00323F59" w:rsidP="00174680">
            <w:pPr>
              <w:keepNext/>
              <w:spacing w:after="0"/>
              <w:jc w:val="both"/>
              <w:rPr>
                <w:rFonts w:ascii="Arial" w:hAnsi="Arial" w:cs="Arial"/>
                <w:i/>
                <w:sz w:val="16"/>
                <w:szCs w:val="16"/>
              </w:rPr>
            </w:pPr>
            <w:r>
              <w:rPr>
                <w:noProof/>
                <w:lang w:eastAsia="hu-HU"/>
              </w:rPr>
              <w:lastRenderedPageBreak/>
              <w:drawing>
                <wp:inline distT="0" distB="0" distL="0" distR="0" wp14:anchorId="04C488B8" wp14:editId="02BDACD3">
                  <wp:extent cx="3136200" cy="1795800"/>
                  <wp:effectExtent l="0" t="0" r="7620" b="0"/>
                  <wp:docPr id="63" name="Diagram 63">
                    <a:extLst xmlns:a="http://schemas.openxmlformats.org/drawingml/2006/main">
                      <a:ext uri="{FF2B5EF4-FFF2-40B4-BE49-F238E27FC236}">
                        <a16:creationId xmlns:a16="http://schemas.microsoft.com/office/drawing/2014/main" id="{00000000-0008-0000-05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940" w:type="dxa"/>
            <w:gridSpan w:val="2"/>
          </w:tcPr>
          <w:p w14:paraId="63D059D6" w14:textId="77777777" w:rsidR="005C518C" w:rsidRPr="00D8479D" w:rsidRDefault="00323F59" w:rsidP="00174680">
            <w:pPr>
              <w:keepNext/>
              <w:spacing w:after="0"/>
              <w:jc w:val="both"/>
              <w:rPr>
                <w:rFonts w:ascii="Arial" w:hAnsi="Arial" w:cs="Arial"/>
                <w:i/>
                <w:sz w:val="16"/>
                <w:szCs w:val="16"/>
              </w:rPr>
            </w:pPr>
            <w:r>
              <w:rPr>
                <w:noProof/>
                <w:lang w:eastAsia="hu-HU"/>
              </w:rPr>
              <w:drawing>
                <wp:inline distT="0" distB="0" distL="0" distR="0" wp14:anchorId="419BD40C" wp14:editId="1222AF73">
                  <wp:extent cx="2865120" cy="1825922"/>
                  <wp:effectExtent l="0" t="0" r="0" b="3175"/>
                  <wp:docPr id="640" name="Diagram 6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5C518C" w:rsidRPr="00013747" w14:paraId="566921BC" w14:textId="77777777" w:rsidTr="00323F59">
        <w:tc>
          <w:tcPr>
            <w:tcW w:w="5233" w:type="dxa"/>
            <w:gridSpan w:val="2"/>
            <w:shd w:val="clear" w:color="auto" w:fill="auto"/>
          </w:tcPr>
          <w:p w14:paraId="40CBD5D2" w14:textId="77777777" w:rsidR="005C518C" w:rsidRPr="00013747" w:rsidRDefault="005C518C" w:rsidP="00013747">
            <w:pPr>
              <w:pStyle w:val="Kpalrstbank"/>
              <w:jc w:val="left"/>
              <w:rPr>
                <w:sz w:val="14"/>
              </w:rPr>
            </w:pPr>
            <w:r w:rsidRPr="00013747">
              <w:rPr>
                <w:sz w:val="14"/>
              </w:rPr>
              <w:t xml:space="preserve">Forrás: </w:t>
            </w:r>
            <w:proofErr w:type="spellStart"/>
            <w:r w:rsidRPr="00013747">
              <w:rPr>
                <w:sz w:val="14"/>
              </w:rPr>
              <w:t>Bloomberg</w:t>
            </w:r>
            <w:proofErr w:type="spellEnd"/>
            <w:r w:rsidRPr="00013747">
              <w:rPr>
                <w:sz w:val="14"/>
              </w:rPr>
              <w:t>, ÁKK</w:t>
            </w:r>
          </w:p>
        </w:tc>
        <w:tc>
          <w:tcPr>
            <w:tcW w:w="4940" w:type="dxa"/>
            <w:gridSpan w:val="2"/>
            <w:shd w:val="clear" w:color="auto" w:fill="auto"/>
          </w:tcPr>
          <w:p w14:paraId="66D6B84C" w14:textId="77777777" w:rsidR="005C518C" w:rsidRPr="00013747" w:rsidRDefault="005C518C" w:rsidP="00013747">
            <w:pPr>
              <w:pStyle w:val="Kpalrstbank"/>
              <w:jc w:val="left"/>
              <w:rPr>
                <w:sz w:val="14"/>
              </w:rPr>
            </w:pPr>
            <w:r w:rsidRPr="00013747">
              <w:rPr>
                <w:sz w:val="14"/>
              </w:rPr>
              <w:t xml:space="preserve">Forrás: </w:t>
            </w:r>
            <w:proofErr w:type="spellStart"/>
            <w:r w:rsidRPr="00013747">
              <w:rPr>
                <w:sz w:val="14"/>
              </w:rPr>
              <w:t>Bloomberg</w:t>
            </w:r>
            <w:proofErr w:type="spellEnd"/>
            <w:r w:rsidRPr="00013747">
              <w:rPr>
                <w:sz w:val="14"/>
              </w:rPr>
              <w:t>, MNB</w:t>
            </w:r>
          </w:p>
        </w:tc>
      </w:tr>
    </w:tbl>
    <w:p w14:paraId="1A40193E" w14:textId="77777777" w:rsidR="005C518C" w:rsidRPr="00711476" w:rsidRDefault="005C518C" w:rsidP="00711476">
      <w:pPr>
        <w:spacing w:after="120" w:line="360" w:lineRule="auto"/>
        <w:jc w:val="both"/>
        <w:rPr>
          <w:rFonts w:ascii="Arial" w:hAnsi="Arial" w:cs="Arial"/>
          <w:b/>
          <w:sz w:val="20"/>
          <w:szCs w:val="20"/>
        </w:rPr>
      </w:pPr>
      <w:r w:rsidRPr="00C70813">
        <w:rPr>
          <w:rFonts w:ascii="Arial" w:hAnsi="Arial" w:cs="Arial"/>
          <w:sz w:val="20"/>
          <w:szCs w:val="20"/>
        </w:rPr>
        <w:t>A magyar állampapír-piac finanszírozás</w:t>
      </w:r>
      <w:r w:rsidR="00F82364" w:rsidRPr="00C70813">
        <w:rPr>
          <w:rFonts w:ascii="Arial" w:hAnsi="Arial" w:cs="Arial"/>
          <w:sz w:val="20"/>
          <w:szCs w:val="20"/>
        </w:rPr>
        <w:t>i helyzete továbbra is stabil</w:t>
      </w:r>
      <w:r w:rsidRPr="00C70813">
        <w:rPr>
          <w:rFonts w:ascii="Arial" w:hAnsi="Arial" w:cs="Arial"/>
          <w:sz w:val="20"/>
          <w:szCs w:val="20"/>
        </w:rPr>
        <w:t>, az ÁKK rendszeres aukcióin elégséges kereslet látszik minden lejáraton</w:t>
      </w:r>
      <w:r w:rsidR="00237C8E" w:rsidRPr="00C70813">
        <w:rPr>
          <w:rFonts w:ascii="Arial" w:hAnsi="Arial" w:cs="Arial"/>
          <w:sz w:val="20"/>
          <w:szCs w:val="20"/>
        </w:rPr>
        <w:t xml:space="preserve">, kiegészítve az MNB </w:t>
      </w:r>
      <w:r w:rsidR="00F82364" w:rsidRPr="00C70813">
        <w:rPr>
          <w:rFonts w:ascii="Arial" w:hAnsi="Arial" w:cs="Arial"/>
          <w:sz w:val="20"/>
          <w:szCs w:val="20"/>
        </w:rPr>
        <w:t xml:space="preserve">– csökkentett - </w:t>
      </w:r>
      <w:r w:rsidR="0041778C" w:rsidRPr="00C70813">
        <w:rPr>
          <w:rFonts w:ascii="Arial" w:hAnsi="Arial" w:cs="Arial"/>
          <w:sz w:val="20"/>
          <w:szCs w:val="20"/>
        </w:rPr>
        <w:t>vásárlásaival,</w:t>
      </w:r>
      <w:r w:rsidR="00237C8E" w:rsidRPr="00C70813">
        <w:rPr>
          <w:rFonts w:ascii="Arial" w:hAnsi="Arial" w:cs="Arial"/>
          <w:sz w:val="20"/>
          <w:szCs w:val="20"/>
        </w:rPr>
        <w:t xml:space="preserve"> amik igyekeznek a hosszabb oldalt kontroll alatt tartani.</w:t>
      </w:r>
      <w:r w:rsidRPr="00C70813">
        <w:rPr>
          <w:rFonts w:ascii="Arial" w:hAnsi="Arial" w:cs="Arial"/>
          <w:sz w:val="20"/>
          <w:szCs w:val="20"/>
        </w:rPr>
        <w:t xml:space="preserve"> </w:t>
      </w:r>
      <w:r w:rsidR="00237C8E" w:rsidRPr="00C70813">
        <w:rPr>
          <w:rFonts w:ascii="Arial" w:hAnsi="Arial" w:cs="Arial"/>
          <w:sz w:val="20"/>
          <w:szCs w:val="20"/>
        </w:rPr>
        <w:t>A</w:t>
      </w:r>
      <w:r w:rsidR="0044664F" w:rsidRPr="00C70813">
        <w:rPr>
          <w:rFonts w:ascii="Arial" w:hAnsi="Arial" w:cs="Arial"/>
          <w:sz w:val="20"/>
          <w:szCs w:val="20"/>
        </w:rPr>
        <w:t xml:space="preserve"> külföldiek </w:t>
      </w:r>
      <w:r w:rsidR="00237C8E" w:rsidRPr="00C70813">
        <w:rPr>
          <w:rFonts w:ascii="Arial" w:hAnsi="Arial" w:cs="Arial"/>
          <w:sz w:val="20"/>
          <w:szCs w:val="20"/>
        </w:rPr>
        <w:t xml:space="preserve">továbbra is stabilan keresik a magyar állampapírokat, </w:t>
      </w:r>
      <w:r w:rsidR="00F82364" w:rsidRPr="00C70813">
        <w:rPr>
          <w:rFonts w:ascii="Arial" w:hAnsi="Arial" w:cs="Arial"/>
          <w:sz w:val="20"/>
          <w:szCs w:val="20"/>
        </w:rPr>
        <w:t>4800 milliárd forint körül áll az állományuk</w:t>
      </w:r>
      <w:r w:rsidRPr="00C70813">
        <w:rPr>
          <w:rFonts w:ascii="Arial" w:hAnsi="Arial" w:cs="Arial"/>
          <w:sz w:val="20"/>
          <w:szCs w:val="20"/>
        </w:rPr>
        <w:t xml:space="preserve">, a </w:t>
      </w:r>
      <w:r w:rsidR="004B2A5D" w:rsidRPr="00C70813">
        <w:rPr>
          <w:rFonts w:ascii="Arial" w:hAnsi="Arial" w:cs="Arial"/>
          <w:sz w:val="20"/>
          <w:szCs w:val="20"/>
        </w:rPr>
        <w:t>háztartások</w:t>
      </w:r>
      <w:r w:rsidRPr="00C70813">
        <w:rPr>
          <w:rFonts w:ascii="Arial" w:hAnsi="Arial" w:cs="Arial"/>
          <w:sz w:val="20"/>
          <w:szCs w:val="20"/>
        </w:rPr>
        <w:t xml:space="preserve"> pedig aktívan veszi</w:t>
      </w:r>
      <w:r w:rsidR="004B2A5D" w:rsidRPr="00C70813">
        <w:rPr>
          <w:rFonts w:ascii="Arial" w:hAnsi="Arial" w:cs="Arial"/>
          <w:sz w:val="20"/>
          <w:szCs w:val="20"/>
        </w:rPr>
        <w:t>k</w:t>
      </w:r>
      <w:r w:rsidRPr="00C70813">
        <w:rPr>
          <w:rFonts w:ascii="Arial" w:hAnsi="Arial" w:cs="Arial"/>
          <w:sz w:val="20"/>
          <w:szCs w:val="20"/>
        </w:rPr>
        <w:t xml:space="preserve"> a lakossági kötvényeket, elsősorban a MÁP Pluszt</w:t>
      </w:r>
      <w:r w:rsidR="00F82364" w:rsidRPr="00C70813">
        <w:rPr>
          <w:rFonts w:ascii="Arial" w:hAnsi="Arial" w:cs="Arial"/>
          <w:sz w:val="20"/>
          <w:szCs w:val="20"/>
        </w:rPr>
        <w:t xml:space="preserve">, így a háztartások kezében </w:t>
      </w:r>
      <w:r w:rsidR="00804C26" w:rsidRPr="00C70813">
        <w:rPr>
          <w:rFonts w:ascii="Arial" w:hAnsi="Arial" w:cs="Arial"/>
          <w:sz w:val="20"/>
          <w:szCs w:val="20"/>
        </w:rPr>
        <w:t>a teljes</w:t>
      </w:r>
      <w:r w:rsidR="00237C8E" w:rsidRPr="00C70813">
        <w:rPr>
          <w:rFonts w:ascii="Arial" w:hAnsi="Arial" w:cs="Arial"/>
          <w:sz w:val="20"/>
          <w:szCs w:val="20"/>
        </w:rPr>
        <w:t xml:space="preserve">, </w:t>
      </w:r>
      <w:r w:rsidR="00FF755A" w:rsidRPr="00C70813">
        <w:rPr>
          <w:rFonts w:ascii="Arial" w:hAnsi="Arial" w:cs="Arial"/>
          <w:sz w:val="20"/>
          <w:szCs w:val="20"/>
        </w:rPr>
        <w:t xml:space="preserve">37 </w:t>
      </w:r>
      <w:r w:rsidR="00F82364" w:rsidRPr="00C70813">
        <w:rPr>
          <w:rFonts w:ascii="Arial" w:hAnsi="Arial" w:cs="Arial"/>
          <w:sz w:val="20"/>
          <w:szCs w:val="20"/>
        </w:rPr>
        <w:t>744</w:t>
      </w:r>
      <w:r w:rsidR="00237C8E" w:rsidRPr="00C70813">
        <w:rPr>
          <w:rFonts w:ascii="Arial" w:hAnsi="Arial" w:cs="Arial"/>
          <w:sz w:val="20"/>
          <w:szCs w:val="20"/>
        </w:rPr>
        <w:t xml:space="preserve"> milliárdos</w:t>
      </w:r>
      <w:r w:rsidR="00804C26" w:rsidRPr="00C70813">
        <w:rPr>
          <w:rFonts w:ascii="Arial" w:hAnsi="Arial" w:cs="Arial"/>
          <w:sz w:val="20"/>
          <w:szCs w:val="20"/>
        </w:rPr>
        <w:t xml:space="preserve"> állomány 26</w:t>
      </w:r>
      <w:r w:rsidRPr="00C70813">
        <w:rPr>
          <w:rFonts w:ascii="Arial" w:hAnsi="Arial" w:cs="Arial"/>
          <w:sz w:val="20"/>
          <w:szCs w:val="20"/>
        </w:rPr>
        <w:t>%-a</w:t>
      </w:r>
      <w:r w:rsidR="00804C26" w:rsidRPr="00C70813">
        <w:rPr>
          <w:rFonts w:ascii="Arial" w:hAnsi="Arial" w:cs="Arial"/>
          <w:sz w:val="20"/>
          <w:szCs w:val="20"/>
        </w:rPr>
        <w:t xml:space="preserve"> van jelenleg</w:t>
      </w:r>
      <w:r w:rsidRPr="00C70813">
        <w:rPr>
          <w:rFonts w:ascii="Arial" w:hAnsi="Arial" w:cs="Arial"/>
          <w:sz w:val="20"/>
          <w:szCs w:val="20"/>
        </w:rPr>
        <w:t>.</w:t>
      </w:r>
      <w:r w:rsidRPr="00711476">
        <w:rPr>
          <w:rFonts w:ascii="Arial" w:hAnsi="Arial" w:cs="Arial"/>
          <w:sz w:val="20"/>
          <w:szCs w:val="20"/>
        </w:rPr>
        <w:t xml:space="preserve"> </w:t>
      </w:r>
      <w:r w:rsidR="00F82364">
        <w:rPr>
          <w:rFonts w:ascii="Arial" w:hAnsi="Arial" w:cs="Arial"/>
          <w:sz w:val="20"/>
          <w:szCs w:val="20"/>
        </w:rPr>
        <w:t>A</w:t>
      </w:r>
      <w:r w:rsidR="00804C26">
        <w:rPr>
          <w:rFonts w:ascii="Arial" w:hAnsi="Arial" w:cs="Arial"/>
          <w:sz w:val="20"/>
          <w:szCs w:val="20"/>
        </w:rPr>
        <w:t xml:space="preserve"> teljes </w:t>
      </w:r>
      <w:r w:rsidR="00237C8E">
        <w:rPr>
          <w:rFonts w:ascii="Arial" w:hAnsi="Arial" w:cs="Arial"/>
          <w:sz w:val="20"/>
          <w:szCs w:val="20"/>
        </w:rPr>
        <w:t>állományon belüli</w:t>
      </w:r>
      <w:r w:rsidR="00804C26">
        <w:rPr>
          <w:rFonts w:ascii="Arial" w:hAnsi="Arial" w:cs="Arial"/>
          <w:sz w:val="20"/>
          <w:szCs w:val="20"/>
        </w:rPr>
        <w:t xml:space="preserve"> egyharmados </w:t>
      </w:r>
      <w:r w:rsidR="00237C8E">
        <w:rPr>
          <w:rFonts w:ascii="Arial" w:hAnsi="Arial" w:cs="Arial"/>
          <w:sz w:val="20"/>
          <w:szCs w:val="20"/>
        </w:rPr>
        <w:t xml:space="preserve">kormányzati </w:t>
      </w:r>
      <w:r w:rsidRPr="00711476">
        <w:rPr>
          <w:rFonts w:ascii="Arial" w:hAnsi="Arial" w:cs="Arial"/>
          <w:sz w:val="20"/>
          <w:szCs w:val="20"/>
        </w:rPr>
        <w:t xml:space="preserve">célszint minden bizonnyal belátható időn belül elérhetőnek tűnik, köszönhetően a kiemelkedően magas fix </w:t>
      </w:r>
      <w:proofErr w:type="gramStart"/>
      <w:r w:rsidRPr="00711476">
        <w:rPr>
          <w:rFonts w:ascii="Arial" w:hAnsi="Arial" w:cs="Arial"/>
          <w:sz w:val="20"/>
          <w:szCs w:val="20"/>
        </w:rPr>
        <w:t>kamatnak</w:t>
      </w:r>
      <w:proofErr w:type="gramEnd"/>
      <w:r w:rsidRPr="00711476">
        <w:rPr>
          <w:rFonts w:ascii="Arial" w:hAnsi="Arial" w:cs="Arial"/>
          <w:sz w:val="20"/>
          <w:szCs w:val="20"/>
        </w:rPr>
        <w:t xml:space="preserve"> illetve a hozam adómentességének, </w:t>
      </w:r>
      <w:r w:rsidR="00F82364">
        <w:rPr>
          <w:rFonts w:ascii="Arial" w:hAnsi="Arial" w:cs="Arial"/>
          <w:sz w:val="20"/>
          <w:szCs w:val="20"/>
        </w:rPr>
        <w:t>de</w:t>
      </w:r>
      <w:r w:rsidRPr="00711476">
        <w:rPr>
          <w:rFonts w:ascii="Arial" w:hAnsi="Arial" w:cs="Arial"/>
          <w:sz w:val="20"/>
          <w:szCs w:val="20"/>
        </w:rPr>
        <w:t xml:space="preserve"> amennyiben a hazai infláció </w:t>
      </w:r>
      <w:r w:rsidR="00F82364">
        <w:rPr>
          <w:rFonts w:ascii="Arial" w:hAnsi="Arial" w:cs="Arial"/>
          <w:sz w:val="20"/>
          <w:szCs w:val="20"/>
        </w:rPr>
        <w:t>a jelenlegi szint környékén stabilizálódik</w:t>
      </w:r>
      <w:r w:rsidRPr="00711476">
        <w:rPr>
          <w:rFonts w:ascii="Arial" w:hAnsi="Arial" w:cs="Arial"/>
          <w:sz w:val="20"/>
          <w:szCs w:val="20"/>
        </w:rPr>
        <w:t>, akkor az inflációkövető PMÁP vonzóbb lehetőséggé válhat a fix kamatú papírokkal szemben</w:t>
      </w:r>
      <w:r w:rsidR="00E966A5">
        <w:rPr>
          <w:rFonts w:ascii="Arial" w:hAnsi="Arial" w:cs="Arial"/>
          <w:sz w:val="20"/>
          <w:szCs w:val="20"/>
        </w:rPr>
        <w:t xml:space="preserve">, igaz az 5 éves futamidő esetében az infláció feletti kamatfelár </w:t>
      </w:r>
      <w:r w:rsidR="00F82364">
        <w:rPr>
          <w:rFonts w:ascii="Arial" w:hAnsi="Arial" w:cs="Arial"/>
          <w:sz w:val="20"/>
          <w:szCs w:val="20"/>
        </w:rPr>
        <w:t xml:space="preserve">már </w:t>
      </w:r>
      <w:r w:rsidR="00E966A5">
        <w:rPr>
          <w:rFonts w:ascii="Arial" w:hAnsi="Arial" w:cs="Arial"/>
          <w:sz w:val="20"/>
          <w:szCs w:val="20"/>
        </w:rPr>
        <w:t>1.25%-</w:t>
      </w:r>
      <w:proofErr w:type="spellStart"/>
      <w:r w:rsidR="00E966A5">
        <w:rPr>
          <w:rFonts w:ascii="Arial" w:hAnsi="Arial" w:cs="Arial"/>
          <w:sz w:val="20"/>
          <w:szCs w:val="20"/>
        </w:rPr>
        <w:t>ra</w:t>
      </w:r>
      <w:proofErr w:type="spellEnd"/>
      <w:r w:rsidR="00E966A5">
        <w:rPr>
          <w:rFonts w:ascii="Arial" w:hAnsi="Arial" w:cs="Arial"/>
          <w:sz w:val="20"/>
          <w:szCs w:val="20"/>
        </w:rPr>
        <w:t xml:space="preserve"> </w:t>
      </w:r>
      <w:r w:rsidR="00237C8E">
        <w:rPr>
          <w:rFonts w:ascii="Arial" w:hAnsi="Arial" w:cs="Arial"/>
          <w:sz w:val="20"/>
          <w:szCs w:val="20"/>
        </w:rPr>
        <w:t>csökkent legutóbb</w:t>
      </w:r>
      <w:r w:rsidRPr="00711476">
        <w:rPr>
          <w:rFonts w:ascii="Arial" w:hAnsi="Arial" w:cs="Arial"/>
          <w:sz w:val="20"/>
          <w:szCs w:val="20"/>
        </w:rPr>
        <w:t>.</w:t>
      </w:r>
    </w:p>
    <w:p w14:paraId="2815213D" w14:textId="77777777" w:rsidR="005C518C" w:rsidRPr="002D6EC7" w:rsidRDefault="005C518C" w:rsidP="00711476">
      <w:pPr>
        <w:spacing w:after="120" w:line="360" w:lineRule="auto"/>
        <w:jc w:val="both"/>
        <w:rPr>
          <w:rFonts w:ascii="Arial" w:hAnsi="Arial" w:cs="Arial"/>
          <w:b/>
          <w:sz w:val="20"/>
          <w:szCs w:val="20"/>
        </w:rPr>
      </w:pPr>
      <w:r w:rsidRPr="00C70813">
        <w:rPr>
          <w:rFonts w:ascii="Arial" w:hAnsi="Arial" w:cs="Arial"/>
          <w:sz w:val="20"/>
          <w:szCs w:val="20"/>
        </w:rPr>
        <w:t>A teljes államadósságon belül</w:t>
      </w:r>
      <w:r w:rsidRPr="00711476">
        <w:rPr>
          <w:rFonts w:ascii="Arial" w:hAnsi="Arial" w:cs="Arial"/>
          <w:b/>
          <w:sz w:val="20"/>
          <w:szCs w:val="20"/>
        </w:rPr>
        <w:t xml:space="preserve"> az adósság devizaaránya </w:t>
      </w:r>
      <w:r w:rsidR="002D6EC7">
        <w:rPr>
          <w:rFonts w:ascii="Arial" w:hAnsi="Arial" w:cs="Arial"/>
          <w:b/>
          <w:sz w:val="20"/>
          <w:szCs w:val="20"/>
        </w:rPr>
        <w:t xml:space="preserve">17% volt </w:t>
      </w:r>
      <w:r w:rsidR="002D6EC7" w:rsidRPr="00C70813">
        <w:rPr>
          <w:rFonts w:ascii="Arial" w:hAnsi="Arial" w:cs="Arial"/>
          <w:sz w:val="20"/>
          <w:szCs w:val="20"/>
        </w:rPr>
        <w:t>a negyedév végén, a korábbi negyedévhez hasonlóan</w:t>
      </w:r>
      <w:r w:rsidRPr="00711476">
        <w:rPr>
          <w:rFonts w:ascii="Arial" w:hAnsi="Arial" w:cs="Arial"/>
          <w:b/>
          <w:sz w:val="20"/>
          <w:szCs w:val="20"/>
        </w:rPr>
        <w:t xml:space="preserve">. </w:t>
      </w:r>
      <w:r w:rsidR="00724B0A">
        <w:rPr>
          <w:rFonts w:ascii="Arial" w:hAnsi="Arial" w:cs="Arial"/>
          <w:sz w:val="20"/>
          <w:szCs w:val="20"/>
        </w:rPr>
        <w:t>Bár a</w:t>
      </w:r>
      <w:r w:rsidR="002D6EC7">
        <w:rPr>
          <w:rFonts w:ascii="Arial" w:hAnsi="Arial" w:cs="Arial"/>
          <w:sz w:val="20"/>
          <w:szCs w:val="20"/>
        </w:rPr>
        <w:t>z eddigi</w:t>
      </w:r>
      <w:r w:rsidR="00724B0A">
        <w:rPr>
          <w:rFonts w:ascii="Arial" w:hAnsi="Arial" w:cs="Arial"/>
          <w:sz w:val="20"/>
          <w:szCs w:val="20"/>
        </w:rPr>
        <w:t xml:space="preserve"> </w:t>
      </w:r>
      <w:r w:rsidR="002D6EC7">
        <w:rPr>
          <w:rFonts w:ascii="Arial" w:hAnsi="Arial" w:cs="Arial"/>
          <w:sz w:val="20"/>
          <w:szCs w:val="20"/>
        </w:rPr>
        <w:t>kormányzati</w:t>
      </w:r>
      <w:r w:rsidRPr="00711476">
        <w:rPr>
          <w:rFonts w:ascii="Arial" w:hAnsi="Arial" w:cs="Arial"/>
          <w:sz w:val="20"/>
          <w:szCs w:val="20"/>
        </w:rPr>
        <w:t xml:space="preserve"> kommunikáció alapján továbbra sem cél </w:t>
      </w:r>
      <w:r w:rsidR="00724B0A">
        <w:rPr>
          <w:rFonts w:ascii="Arial" w:hAnsi="Arial" w:cs="Arial"/>
          <w:sz w:val="20"/>
          <w:szCs w:val="20"/>
        </w:rPr>
        <w:t xml:space="preserve">kifejezetten </w:t>
      </w:r>
      <w:r w:rsidRPr="00711476">
        <w:rPr>
          <w:rFonts w:ascii="Arial" w:hAnsi="Arial" w:cs="Arial"/>
          <w:sz w:val="20"/>
          <w:szCs w:val="20"/>
        </w:rPr>
        <w:t>a devizakötvény kibocsátás és a devizaarány növelése</w:t>
      </w:r>
      <w:r w:rsidRPr="00711476">
        <w:rPr>
          <w:rFonts w:ascii="Arial" w:hAnsi="Arial" w:cs="Arial"/>
          <w:b/>
          <w:sz w:val="20"/>
          <w:szCs w:val="20"/>
        </w:rPr>
        <w:t xml:space="preserve">, </w:t>
      </w:r>
      <w:r w:rsidR="002D6EC7" w:rsidRPr="00C70813">
        <w:rPr>
          <w:rFonts w:ascii="Arial" w:hAnsi="Arial" w:cs="Arial"/>
          <w:sz w:val="20"/>
          <w:szCs w:val="20"/>
        </w:rPr>
        <w:t xml:space="preserve">szeptemberben 10 éves dollárkötvényből 2,25 milliárd dollárnyit, 30 évesből pedig 2 milliárd dollárnyit bocsátott ki az ÁKK nemzetközi devizaötvény tenderen, a hozamszint az előbbi esetében 2.29%, utóbbi esetében pedig 3.36% volt. Ezt követően pedig euróban is bocsájtott ki kötvényt Magyarország, méghozzá 1 milliárd eurónyi összeget, 7 éves futamidővel, négy és félszeres túljegyzés mellett, kiugróan alacsony, 32 bázispontos hozamszinttel. </w:t>
      </w:r>
      <w:r w:rsidR="00C6301F" w:rsidRPr="00C70813">
        <w:rPr>
          <w:rFonts w:ascii="Arial" w:hAnsi="Arial" w:cs="Arial"/>
          <w:sz w:val="20"/>
          <w:szCs w:val="20"/>
        </w:rPr>
        <w:t>A „hirtelen” kibocsájtás indokai közt szerepel a jelenleg még rendkívül kedvező nemzetközi finanszírozási környezet, ami jól látszik a kialakult hozamszinteken is, így ésszerű refinanszírozási forrást jelent, illetve az EU-s források folyósításának késlekedése is indokolttá teheti.</w:t>
      </w:r>
      <w:r w:rsidR="00C6301F">
        <w:rPr>
          <w:rFonts w:ascii="Arial" w:hAnsi="Arial" w:cs="Arial"/>
          <w:b/>
          <w:sz w:val="20"/>
          <w:szCs w:val="20"/>
        </w:rPr>
        <w:t xml:space="preserve"> </w:t>
      </w:r>
      <w:r w:rsidRPr="00711476">
        <w:rPr>
          <w:rFonts w:ascii="Arial" w:hAnsi="Arial" w:cs="Arial"/>
          <w:sz w:val="20"/>
          <w:szCs w:val="20"/>
        </w:rPr>
        <w:t xml:space="preserve">Az ÁKK stratégiája szerint a fő cél, hogy továbbra is </w:t>
      </w:r>
      <w:r w:rsidRPr="00711476">
        <w:rPr>
          <w:rFonts w:ascii="Arial" w:hAnsi="Arial" w:cs="Arial"/>
          <w:b/>
          <w:sz w:val="20"/>
          <w:szCs w:val="20"/>
        </w:rPr>
        <w:t xml:space="preserve">20% alatt maradjon a teljes adósságállomány devizaaránya </w:t>
      </w:r>
      <w:r w:rsidRPr="00711476">
        <w:rPr>
          <w:rFonts w:ascii="Arial" w:hAnsi="Arial" w:cs="Arial"/>
          <w:sz w:val="20"/>
          <w:szCs w:val="20"/>
        </w:rPr>
        <w:t>és az ehhez szükséges mértékben kész aktívan menedzselni az adósságot visszavásárlásokkal, és ha a hozamszint indokolja</w:t>
      </w:r>
      <w:r w:rsidR="00FD1A76">
        <w:rPr>
          <w:rFonts w:ascii="Arial" w:hAnsi="Arial" w:cs="Arial"/>
          <w:sz w:val="20"/>
          <w:szCs w:val="20"/>
        </w:rPr>
        <w:t>,</w:t>
      </w:r>
      <w:r w:rsidRPr="00711476">
        <w:rPr>
          <w:rFonts w:ascii="Arial" w:hAnsi="Arial" w:cs="Arial"/>
          <w:sz w:val="20"/>
          <w:szCs w:val="20"/>
        </w:rPr>
        <w:t xml:space="preserve"> új kibocsátásokkal.</w:t>
      </w:r>
    </w:p>
    <w:p w14:paraId="4DA8E019" w14:textId="77777777" w:rsidR="002738BA" w:rsidRPr="00711476" w:rsidRDefault="00DF1BA9" w:rsidP="00711476">
      <w:pPr>
        <w:spacing w:line="360" w:lineRule="auto"/>
        <w:jc w:val="both"/>
        <w:rPr>
          <w:rFonts w:ascii="Arial" w:hAnsi="Arial" w:cs="Arial"/>
          <w:sz w:val="20"/>
          <w:szCs w:val="20"/>
        </w:rPr>
      </w:pPr>
      <w:r w:rsidRPr="00032998">
        <w:rPr>
          <w:rFonts w:ascii="Arial" w:hAnsi="Arial" w:cs="Arial"/>
          <w:sz w:val="20"/>
          <w:szCs w:val="20"/>
        </w:rPr>
        <w:t>Az 56. ábrán látható</w:t>
      </w:r>
      <w:r w:rsidRPr="00DF1BA9">
        <w:rPr>
          <w:rFonts w:ascii="Arial" w:hAnsi="Arial" w:cs="Arial"/>
          <w:b/>
          <w:sz w:val="20"/>
          <w:szCs w:val="20"/>
        </w:rPr>
        <w:t xml:space="preserve"> bankközi határidős kamatlábak meredeksége tovább emelkedett </w:t>
      </w:r>
      <w:r w:rsidRPr="00032998">
        <w:rPr>
          <w:rFonts w:ascii="Arial" w:hAnsi="Arial" w:cs="Arial"/>
          <w:sz w:val="20"/>
          <w:szCs w:val="20"/>
        </w:rPr>
        <w:t>a korábbi negyedévhez képest és az elkezdett kamatemelési ciklushoz idomulva látványos emelkedést mutat, bár a meredeksége – mint általában - túlzó,</w:t>
      </w:r>
      <w:r w:rsidRPr="00DF1BA9">
        <w:rPr>
          <w:rFonts w:ascii="Arial" w:hAnsi="Arial" w:cs="Arial"/>
          <w:b/>
          <w:sz w:val="20"/>
          <w:szCs w:val="20"/>
        </w:rPr>
        <w:t xml:space="preserve"> igen valószínűtlen, hogy ezen az időtávon 3%-</w:t>
      </w:r>
      <w:proofErr w:type="spellStart"/>
      <w:r w:rsidRPr="00DF1BA9">
        <w:rPr>
          <w:rFonts w:ascii="Arial" w:hAnsi="Arial" w:cs="Arial"/>
          <w:b/>
          <w:sz w:val="20"/>
          <w:szCs w:val="20"/>
        </w:rPr>
        <w:t>ig</w:t>
      </w:r>
      <w:proofErr w:type="spellEnd"/>
      <w:r w:rsidRPr="00DF1BA9">
        <w:rPr>
          <w:rFonts w:ascii="Arial" w:hAnsi="Arial" w:cs="Arial"/>
          <w:b/>
          <w:sz w:val="20"/>
          <w:szCs w:val="20"/>
        </w:rPr>
        <w:t xml:space="preserve"> emelkedik a kamatszint.</w:t>
      </w:r>
      <w:r w:rsidRPr="00DF1BA9">
        <w:rPr>
          <w:rFonts w:ascii="Arial" w:hAnsi="Arial" w:cs="Arial"/>
          <w:sz w:val="20"/>
          <w:szCs w:val="20"/>
        </w:rPr>
        <w:t xml:space="preserve"> A hazai gazdaság megtakarítási többlete, a továbbra is fennmaradó külső finanszírozási többlet, a költségvetés megugró hiánya mellett is stabil finanszírozási helyzete, a nagy jegybankok egyelőre zéró szinten </w:t>
      </w:r>
      <w:r w:rsidRPr="00DF1BA9">
        <w:rPr>
          <w:rFonts w:ascii="Arial" w:hAnsi="Arial" w:cs="Arial"/>
          <w:sz w:val="20"/>
          <w:szCs w:val="20"/>
        </w:rPr>
        <w:lastRenderedPageBreak/>
        <w:t xml:space="preserve">maradó irányadó rátái egyaránt támogatóak a hazai immár óvatosan szigorító monetáris politikát illetően, és segítenek a hazai jegybanknak, hogy némi „(reál)kamatelőnyt” szerezzen a hazai devizának, erősítve ezzel, hogy némileg fékezze az importált inflációt. Idén év elejéig úgy tűnt, hogy még némi dezinflációs segítséget is kapnak a jegybankok a laza monetáris politikához, mivel a </w:t>
      </w:r>
      <w:proofErr w:type="spellStart"/>
      <w:r w:rsidRPr="00DF1BA9">
        <w:rPr>
          <w:rFonts w:ascii="Arial" w:hAnsi="Arial" w:cs="Arial"/>
          <w:sz w:val="20"/>
          <w:szCs w:val="20"/>
        </w:rPr>
        <w:t>pandémia</w:t>
      </w:r>
      <w:proofErr w:type="spellEnd"/>
      <w:r w:rsidRPr="00DF1BA9">
        <w:rPr>
          <w:rFonts w:ascii="Arial" w:hAnsi="Arial" w:cs="Arial"/>
          <w:sz w:val="20"/>
          <w:szCs w:val="20"/>
        </w:rPr>
        <w:t xml:space="preserve"> miatt csökkenő aggregált kereslet és kényszer megtakarítások visszafogják a fogyasztást/árakat, de az aktív </w:t>
      </w:r>
      <w:proofErr w:type="spellStart"/>
      <w:r w:rsidRPr="00DF1BA9">
        <w:rPr>
          <w:rFonts w:ascii="Arial" w:hAnsi="Arial" w:cs="Arial"/>
          <w:sz w:val="20"/>
          <w:szCs w:val="20"/>
        </w:rPr>
        <w:t>újraindulás</w:t>
      </w:r>
      <w:proofErr w:type="spellEnd"/>
      <w:r w:rsidRPr="00DF1BA9">
        <w:rPr>
          <w:rFonts w:ascii="Arial" w:hAnsi="Arial" w:cs="Arial"/>
          <w:sz w:val="20"/>
          <w:szCs w:val="20"/>
        </w:rPr>
        <w:t xml:space="preserve"> óta ennek stabilan az ellenkezője látszik és elkezdett megjelenni a pénznyomtatások következménye a makrogazdasági/inflációs folyamat szintjén is az eszközár felfúvódások után, ami előbb-utóbb reakcióra késztetni a monetáris politikai irányítóit is.</w:t>
      </w:r>
    </w:p>
    <w:p w14:paraId="62AA0F19" w14:textId="77777777" w:rsidR="005C518C" w:rsidRPr="00711476" w:rsidRDefault="00BB3D72" w:rsidP="0039682E">
      <w:pPr>
        <w:pStyle w:val="Alcmtbank"/>
      </w:pPr>
      <w:r>
        <w:t>Részvénypiaci helyzetkép</w:t>
      </w:r>
    </w:p>
    <w:p w14:paraId="31122121" w14:textId="77777777" w:rsidR="0039682E" w:rsidRPr="00711476" w:rsidRDefault="00DF1BA9" w:rsidP="00711476">
      <w:pPr>
        <w:spacing w:after="120" w:line="360" w:lineRule="auto"/>
        <w:jc w:val="both"/>
        <w:rPr>
          <w:rFonts w:ascii="Arial" w:hAnsi="Arial" w:cs="Arial"/>
          <w:sz w:val="20"/>
          <w:szCs w:val="20"/>
        </w:rPr>
      </w:pPr>
      <w:r w:rsidRPr="00DF1BA9">
        <w:rPr>
          <w:rFonts w:ascii="Arial" w:hAnsi="Arial" w:cs="Arial"/>
          <w:sz w:val="20"/>
          <w:szCs w:val="20"/>
        </w:rPr>
        <w:t xml:space="preserve">A tavaly tavaszi beszakadás óta töretlenül folytatódott a részvénypiaci emelkedés, az elmúlt negyedév volt az első, hogy korrekciót láthattunk, többek közt a várt monetáris szigor </w:t>
      </w:r>
      <w:proofErr w:type="gramStart"/>
      <w:r w:rsidRPr="00DF1BA9">
        <w:rPr>
          <w:rFonts w:ascii="Arial" w:hAnsi="Arial" w:cs="Arial"/>
          <w:sz w:val="20"/>
          <w:szCs w:val="20"/>
        </w:rPr>
        <w:t>miatt</w:t>
      </w:r>
      <w:proofErr w:type="gramEnd"/>
      <w:r w:rsidRPr="00DF1BA9">
        <w:rPr>
          <w:rFonts w:ascii="Arial" w:hAnsi="Arial" w:cs="Arial"/>
          <w:sz w:val="20"/>
          <w:szCs w:val="20"/>
        </w:rPr>
        <w:t xml:space="preserve"> illetve a kínai ingatlanpiacon megjelenő adósságproblémák is ráijesztettek a hangulatra. De továbbra is igaz, hogy az emelkedés – főként az amerikai piacok esetében - legnagyobb részt a masszív pénznyomtatásból eredő likviditást összegyűjtő </w:t>
      </w:r>
      <w:proofErr w:type="spellStart"/>
      <w:r w:rsidRPr="00DF1BA9">
        <w:rPr>
          <w:rFonts w:ascii="Arial" w:hAnsi="Arial" w:cs="Arial"/>
          <w:sz w:val="20"/>
          <w:szCs w:val="20"/>
        </w:rPr>
        <w:t>tech</w:t>
      </w:r>
      <w:proofErr w:type="spellEnd"/>
      <w:r w:rsidRPr="00DF1BA9">
        <w:rPr>
          <w:rFonts w:ascii="Arial" w:hAnsi="Arial" w:cs="Arial"/>
          <w:sz w:val="20"/>
          <w:szCs w:val="20"/>
        </w:rPr>
        <w:t xml:space="preserve"> papíroknak volt köszönhető, igaz a kötvényhozamok emelkedésével látványos korrekciót mutat be a technológiai </w:t>
      </w:r>
      <w:proofErr w:type="spellStart"/>
      <w:r w:rsidRPr="00DF1BA9">
        <w:rPr>
          <w:rFonts w:ascii="Arial" w:hAnsi="Arial" w:cs="Arial"/>
          <w:sz w:val="20"/>
          <w:szCs w:val="20"/>
        </w:rPr>
        <w:t>Nasdaq</w:t>
      </w:r>
      <w:proofErr w:type="spellEnd"/>
      <w:r w:rsidRPr="00DF1BA9">
        <w:rPr>
          <w:rFonts w:ascii="Arial" w:hAnsi="Arial" w:cs="Arial"/>
          <w:sz w:val="20"/>
          <w:szCs w:val="20"/>
        </w:rPr>
        <w:t xml:space="preserve">, miután a növekedési </w:t>
      </w:r>
      <w:proofErr w:type="spellStart"/>
      <w:r w:rsidRPr="00DF1BA9">
        <w:rPr>
          <w:rFonts w:ascii="Arial" w:hAnsi="Arial" w:cs="Arial"/>
          <w:sz w:val="20"/>
          <w:szCs w:val="20"/>
        </w:rPr>
        <w:t>tech</w:t>
      </w:r>
      <w:proofErr w:type="spellEnd"/>
      <w:r w:rsidRPr="00DF1BA9">
        <w:rPr>
          <w:rFonts w:ascii="Arial" w:hAnsi="Arial" w:cs="Arial"/>
          <w:sz w:val="20"/>
          <w:szCs w:val="20"/>
        </w:rPr>
        <w:t xml:space="preserve"> részvények legnagyobb „ellensége” a magasabb jövőbeli diszkontráta, ami így egyre növekszik.</w:t>
      </w:r>
    </w:p>
    <w:tbl>
      <w:tblPr>
        <w:tblW w:w="9747" w:type="dxa"/>
        <w:tblInd w:w="108" w:type="dxa"/>
        <w:tblLook w:val="01E0" w:firstRow="1" w:lastRow="1" w:firstColumn="1" w:lastColumn="1" w:noHBand="0" w:noVBand="0"/>
      </w:tblPr>
      <w:tblGrid>
        <w:gridCol w:w="4731"/>
        <w:gridCol w:w="5016"/>
      </w:tblGrid>
      <w:tr w:rsidR="005C518C" w:rsidRPr="007A0BB4" w14:paraId="6DB88097" w14:textId="77777777" w:rsidTr="005C518C">
        <w:tc>
          <w:tcPr>
            <w:tcW w:w="4731" w:type="dxa"/>
            <w:shd w:val="clear" w:color="auto" w:fill="auto"/>
          </w:tcPr>
          <w:p w14:paraId="1F8DA9CF" w14:textId="77777777" w:rsidR="005C518C" w:rsidRPr="00711476" w:rsidRDefault="00222D2D" w:rsidP="00BE6543">
            <w:pPr>
              <w:spacing w:after="120"/>
              <w:jc w:val="center"/>
              <w:rPr>
                <w:rFonts w:ascii="Arial" w:hAnsi="Arial" w:cs="Arial"/>
                <w:b/>
                <w:color w:val="FF8500"/>
              </w:rPr>
            </w:pPr>
            <w:r>
              <w:rPr>
                <w:rFonts w:ascii="Arial" w:hAnsi="Arial" w:cs="Arial"/>
                <w:b/>
                <w:color w:val="FF8500"/>
              </w:rPr>
              <w:t>57</w:t>
            </w:r>
            <w:r w:rsidR="005C518C" w:rsidRPr="00711476">
              <w:rPr>
                <w:rFonts w:ascii="Arial" w:hAnsi="Arial" w:cs="Arial"/>
                <w:b/>
                <w:color w:val="FF8500"/>
              </w:rPr>
              <w:t xml:space="preserve">. ábra: </w:t>
            </w:r>
            <w:r w:rsidR="005C518C" w:rsidRPr="0039682E">
              <w:rPr>
                <w:rFonts w:ascii="Arial" w:hAnsi="Arial" w:cs="Arial"/>
                <w:bCs/>
                <w:color w:val="FF8500"/>
              </w:rPr>
              <w:t>A Dow Jones és a DAX alakulása az elmúlt egy évben</w:t>
            </w:r>
          </w:p>
        </w:tc>
        <w:tc>
          <w:tcPr>
            <w:tcW w:w="5016" w:type="dxa"/>
            <w:shd w:val="clear" w:color="auto" w:fill="auto"/>
          </w:tcPr>
          <w:p w14:paraId="18B8343B" w14:textId="77777777" w:rsidR="005C518C" w:rsidRPr="00711476" w:rsidRDefault="00222D2D" w:rsidP="00C2637F">
            <w:pPr>
              <w:spacing w:after="120"/>
              <w:jc w:val="center"/>
              <w:rPr>
                <w:rFonts w:ascii="Arial" w:hAnsi="Arial" w:cs="Arial"/>
                <w:b/>
                <w:color w:val="FF8500"/>
              </w:rPr>
            </w:pPr>
            <w:r>
              <w:rPr>
                <w:rFonts w:ascii="Arial" w:hAnsi="Arial" w:cs="Arial"/>
                <w:b/>
                <w:color w:val="FF8500"/>
              </w:rPr>
              <w:t>58</w:t>
            </w:r>
            <w:r w:rsidR="005C518C" w:rsidRPr="00711476">
              <w:rPr>
                <w:rFonts w:ascii="Arial" w:hAnsi="Arial" w:cs="Arial"/>
                <w:b/>
                <w:color w:val="FF8500"/>
              </w:rPr>
              <w:t xml:space="preserve">. ábra: </w:t>
            </w:r>
            <w:r w:rsidR="00C2637F">
              <w:rPr>
                <w:rFonts w:ascii="Arial" w:hAnsi="Arial" w:cs="Arial"/>
                <w:bCs/>
                <w:color w:val="FF8500"/>
              </w:rPr>
              <w:t xml:space="preserve">A </w:t>
            </w:r>
            <w:proofErr w:type="spellStart"/>
            <w:r w:rsidR="00C2637F">
              <w:rPr>
                <w:rFonts w:ascii="Arial" w:hAnsi="Arial" w:cs="Arial"/>
                <w:bCs/>
                <w:color w:val="FF8500"/>
              </w:rPr>
              <w:t>Nasdaq</w:t>
            </w:r>
            <w:proofErr w:type="spellEnd"/>
            <w:r w:rsidR="00C2637F">
              <w:rPr>
                <w:rFonts w:ascii="Arial" w:hAnsi="Arial" w:cs="Arial"/>
                <w:bCs/>
                <w:color w:val="FF8500"/>
              </w:rPr>
              <w:t>, mint a technológiai és egyben a legnagyobb vállalatok indikátora</w:t>
            </w:r>
          </w:p>
        </w:tc>
      </w:tr>
      <w:tr w:rsidR="005C518C" w:rsidRPr="007A0BB4" w14:paraId="71D81DBE" w14:textId="77777777" w:rsidTr="00B30F8F">
        <w:tblPrEx>
          <w:tblCellMar>
            <w:left w:w="70" w:type="dxa"/>
            <w:right w:w="70" w:type="dxa"/>
          </w:tblCellMar>
        </w:tblPrEx>
        <w:tc>
          <w:tcPr>
            <w:tcW w:w="4731" w:type="dxa"/>
            <w:shd w:val="clear" w:color="auto" w:fill="auto"/>
          </w:tcPr>
          <w:p w14:paraId="5A2A13CB" w14:textId="77777777" w:rsidR="005C518C" w:rsidRPr="007A0BB4" w:rsidRDefault="00B30F8F" w:rsidP="005C518C">
            <w:pPr>
              <w:jc w:val="center"/>
              <w:rPr>
                <w:rFonts w:ascii="Arial" w:hAnsi="Arial" w:cs="Arial"/>
                <w:b/>
              </w:rPr>
            </w:pPr>
            <w:r>
              <w:rPr>
                <w:noProof/>
                <w:lang w:eastAsia="hu-HU"/>
              </w:rPr>
              <w:drawing>
                <wp:inline distT="0" distB="0" distL="0" distR="0" wp14:anchorId="57B18626" wp14:editId="5074428F">
                  <wp:extent cx="2592000" cy="1595040"/>
                  <wp:effectExtent l="0" t="0" r="0" b="5715"/>
                  <wp:docPr id="641" name="Diagram 6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5016" w:type="dxa"/>
            <w:shd w:val="clear" w:color="auto" w:fill="auto"/>
          </w:tcPr>
          <w:p w14:paraId="1B46452A" w14:textId="77777777" w:rsidR="005C518C" w:rsidRPr="007A0BB4" w:rsidRDefault="00B30F8F" w:rsidP="005C518C">
            <w:pPr>
              <w:jc w:val="center"/>
              <w:rPr>
                <w:rFonts w:ascii="Arial" w:hAnsi="Arial" w:cs="Arial"/>
                <w:b/>
              </w:rPr>
            </w:pPr>
            <w:r>
              <w:rPr>
                <w:noProof/>
                <w:lang w:eastAsia="hu-HU"/>
              </w:rPr>
              <w:drawing>
                <wp:inline distT="0" distB="0" distL="0" distR="0" wp14:anchorId="172A513A" wp14:editId="4D7AD96A">
                  <wp:extent cx="2769870" cy="1593040"/>
                  <wp:effectExtent l="0" t="0" r="0" b="7620"/>
                  <wp:docPr id="643" name="Diagram 643">
                    <a:extLst xmlns:a="http://schemas.openxmlformats.org/drawingml/2006/main">
                      <a:ext uri="{FF2B5EF4-FFF2-40B4-BE49-F238E27FC236}">
                        <a16:creationId xmlns:a16="http://schemas.microsoft.com/office/drawing/2014/main" id="{00000000-0008-0000-06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5C518C" w:rsidRPr="00295324" w14:paraId="32CA0D1D" w14:textId="77777777" w:rsidTr="005C518C">
        <w:trPr>
          <w:trHeight w:val="672"/>
        </w:trPr>
        <w:tc>
          <w:tcPr>
            <w:tcW w:w="9747" w:type="dxa"/>
            <w:gridSpan w:val="2"/>
            <w:shd w:val="clear" w:color="auto" w:fill="auto"/>
          </w:tcPr>
          <w:p w14:paraId="0AF9F8CA" w14:textId="77777777" w:rsidR="005C518C" w:rsidRPr="00711476" w:rsidRDefault="00DF1BA9" w:rsidP="001D76E7">
            <w:pPr>
              <w:spacing w:after="120" w:line="360" w:lineRule="auto"/>
              <w:ind w:left="-108"/>
              <w:jc w:val="both"/>
              <w:rPr>
                <w:rFonts w:ascii="Arial" w:hAnsi="Arial" w:cs="Arial"/>
                <w:sz w:val="20"/>
                <w:szCs w:val="20"/>
              </w:rPr>
            </w:pPr>
            <w:r w:rsidRPr="00DF1BA9">
              <w:rPr>
                <w:rFonts w:ascii="Arial" w:hAnsi="Arial" w:cs="Arial"/>
                <w:sz w:val="20"/>
                <w:szCs w:val="20"/>
              </w:rPr>
              <w:t xml:space="preserve">Az amerikai és európai részvénypiac </w:t>
            </w:r>
            <w:proofErr w:type="spellStart"/>
            <w:r w:rsidRPr="00DF1BA9">
              <w:rPr>
                <w:rFonts w:ascii="Arial" w:hAnsi="Arial" w:cs="Arial"/>
                <w:sz w:val="20"/>
                <w:szCs w:val="20"/>
              </w:rPr>
              <w:t>együttmozgása</w:t>
            </w:r>
            <w:proofErr w:type="spellEnd"/>
            <w:r w:rsidRPr="00DF1BA9">
              <w:rPr>
                <w:rFonts w:ascii="Arial" w:hAnsi="Arial" w:cs="Arial"/>
                <w:sz w:val="20"/>
                <w:szCs w:val="20"/>
              </w:rPr>
              <w:t xml:space="preserve"> – az elmúlt 12 hónap horizontján - továbbra is szinte teljes korrelációt mutat, a VIX index pedig kisebb átmeneti „</w:t>
            </w:r>
            <w:proofErr w:type="spellStart"/>
            <w:r w:rsidRPr="00DF1BA9">
              <w:rPr>
                <w:rFonts w:ascii="Arial" w:hAnsi="Arial" w:cs="Arial"/>
                <w:sz w:val="20"/>
                <w:szCs w:val="20"/>
              </w:rPr>
              <w:t>Evergrande</w:t>
            </w:r>
            <w:proofErr w:type="spellEnd"/>
            <w:r w:rsidRPr="00DF1BA9">
              <w:rPr>
                <w:rFonts w:ascii="Arial" w:hAnsi="Arial" w:cs="Arial"/>
                <w:sz w:val="20"/>
                <w:szCs w:val="20"/>
              </w:rPr>
              <w:t xml:space="preserve">-megugrást” követően visszatért 20 pont alá, bár a legutóbbi napokban ismét növekvő 30 napos </w:t>
            </w:r>
            <w:proofErr w:type="spellStart"/>
            <w:r w:rsidRPr="00DF1BA9">
              <w:rPr>
                <w:rFonts w:ascii="Arial" w:hAnsi="Arial" w:cs="Arial"/>
                <w:sz w:val="20"/>
                <w:szCs w:val="20"/>
              </w:rPr>
              <w:t>előretekintő</w:t>
            </w:r>
            <w:proofErr w:type="spellEnd"/>
            <w:r w:rsidRPr="00DF1BA9">
              <w:rPr>
                <w:rFonts w:ascii="Arial" w:hAnsi="Arial" w:cs="Arial"/>
                <w:sz w:val="20"/>
                <w:szCs w:val="20"/>
              </w:rPr>
              <w:t xml:space="preserve"> volatilitást jelez. </w:t>
            </w:r>
            <w:r w:rsidRPr="006D16ED">
              <w:rPr>
                <w:rFonts w:ascii="Arial" w:hAnsi="Arial" w:cs="Arial"/>
                <w:sz w:val="20"/>
                <w:szCs w:val="20"/>
              </w:rPr>
              <w:t xml:space="preserve">A világ legértékesebb tőzsdei vállalatainak rangsorában 2021 harmadik negyedévében továbbra is négy darab ezermilliárd dollár feletti </w:t>
            </w:r>
            <w:proofErr w:type="spellStart"/>
            <w:r w:rsidRPr="006D16ED">
              <w:rPr>
                <w:rFonts w:ascii="Arial" w:hAnsi="Arial" w:cs="Arial"/>
                <w:sz w:val="20"/>
                <w:szCs w:val="20"/>
              </w:rPr>
              <w:t>kapitalizációt</w:t>
            </w:r>
            <w:proofErr w:type="spellEnd"/>
            <w:r w:rsidRPr="006D16ED">
              <w:rPr>
                <w:rFonts w:ascii="Arial" w:hAnsi="Arial" w:cs="Arial"/>
                <w:sz w:val="20"/>
                <w:szCs w:val="20"/>
              </w:rPr>
              <w:t xml:space="preserve"> köszönthettünk és továbbra is jól látszik az eszközár infláció a </w:t>
            </w:r>
            <w:proofErr w:type="spellStart"/>
            <w:r w:rsidRPr="006D16ED">
              <w:rPr>
                <w:rFonts w:ascii="Arial" w:hAnsi="Arial" w:cs="Arial"/>
                <w:sz w:val="20"/>
                <w:szCs w:val="20"/>
              </w:rPr>
              <w:t>tech</w:t>
            </w:r>
            <w:proofErr w:type="spellEnd"/>
            <w:r w:rsidRPr="006D16ED">
              <w:rPr>
                <w:rFonts w:ascii="Arial" w:hAnsi="Arial" w:cs="Arial"/>
                <w:sz w:val="20"/>
                <w:szCs w:val="20"/>
              </w:rPr>
              <w:t xml:space="preserve"> papírok esetében, további közel 10%-kal emelkedtek az árfolyamok az előző negyedévhez képest.</w:t>
            </w:r>
            <w:r w:rsidRPr="00DF1BA9">
              <w:rPr>
                <w:rFonts w:ascii="Arial" w:hAnsi="Arial" w:cs="Arial"/>
                <w:sz w:val="20"/>
                <w:szCs w:val="20"/>
              </w:rPr>
              <w:t xml:space="preserve"> A legértékesebb cégek között az – amerikai – technológiai vállalatok egyeduralkodó túlsúlyát jelzi, hogy az első ismét az Apple lett, tovább emelkedve és elérve a 2382 milliárd dolláros értéket, ami továbbra is erősen elrugaszkodott a cég valós fundamentumaihoz és igencsak eltűnőben lévő innovációs potenciáljához képest. </w:t>
            </w:r>
            <w:r w:rsidRPr="00DF1BA9">
              <w:rPr>
                <w:rFonts w:ascii="Arial" w:hAnsi="Arial" w:cs="Arial"/>
                <w:sz w:val="20"/>
                <w:szCs w:val="20"/>
              </w:rPr>
              <w:lastRenderedPageBreak/>
              <w:t xml:space="preserve">A második a Microsoft 2211 milliárdos értékkel, ami szintén erős túlértékeltséget jelez, de ebben az esetben legalább valós, stabil, minőségi fundamentumok és termékek állnak a háttérben. A harmadik és negyedik helyen is természetesen FAANG papír található, a harmadik az </w:t>
            </w:r>
            <w:proofErr w:type="spellStart"/>
            <w:r w:rsidRPr="00DF1BA9">
              <w:rPr>
                <w:rFonts w:ascii="Arial" w:hAnsi="Arial" w:cs="Arial"/>
                <w:sz w:val="20"/>
                <w:szCs w:val="20"/>
              </w:rPr>
              <w:t>Alphabet</w:t>
            </w:r>
            <w:proofErr w:type="spellEnd"/>
            <w:r w:rsidRPr="00DF1BA9">
              <w:rPr>
                <w:rFonts w:ascii="Arial" w:hAnsi="Arial" w:cs="Arial"/>
                <w:sz w:val="20"/>
                <w:szCs w:val="20"/>
              </w:rPr>
              <w:t xml:space="preserve"> (Google) 1874 milliárdos értékkel, a negyedik az Amazon 1694 milliárdos számmal, az ötödik helyen ismét a Facebook található 982 milliárdos értékkel, a hatodik a lufi csúcstartó Tesla 768 milliárd dollárral, az első nem amerikai cégig pedig a 8. helyig kell mennünk, érdemi csökkenés után 572 milliárd dollárt ér az itt található </w:t>
            </w:r>
            <w:proofErr w:type="spellStart"/>
            <w:r w:rsidRPr="00DF1BA9">
              <w:rPr>
                <w:rFonts w:ascii="Arial" w:hAnsi="Arial" w:cs="Arial"/>
                <w:sz w:val="20"/>
                <w:szCs w:val="20"/>
              </w:rPr>
              <w:t>Tencent</w:t>
            </w:r>
            <w:proofErr w:type="spellEnd"/>
            <w:r w:rsidRPr="00DF1BA9">
              <w:rPr>
                <w:rFonts w:ascii="Arial" w:hAnsi="Arial" w:cs="Arial"/>
                <w:sz w:val="20"/>
                <w:szCs w:val="20"/>
              </w:rPr>
              <w:t>.</w:t>
            </w:r>
          </w:p>
        </w:tc>
      </w:tr>
      <w:tr w:rsidR="005C518C" w:rsidRPr="00295324" w14:paraId="41B7C5C2" w14:textId="77777777" w:rsidTr="005C518C">
        <w:tblPrEx>
          <w:tblCellMar>
            <w:left w:w="70" w:type="dxa"/>
            <w:right w:w="70" w:type="dxa"/>
          </w:tblCellMar>
        </w:tblPrEx>
        <w:tc>
          <w:tcPr>
            <w:tcW w:w="4731" w:type="dxa"/>
            <w:shd w:val="clear" w:color="auto" w:fill="auto"/>
          </w:tcPr>
          <w:p w14:paraId="0C65E010" w14:textId="77777777" w:rsidR="005C518C" w:rsidRPr="00711476" w:rsidRDefault="00222D2D" w:rsidP="0041778C">
            <w:pPr>
              <w:keepNext/>
              <w:spacing w:after="0"/>
              <w:jc w:val="center"/>
              <w:rPr>
                <w:rFonts w:ascii="Arial" w:hAnsi="Arial" w:cs="Arial"/>
                <w:b/>
                <w:color w:val="FF8500"/>
              </w:rPr>
            </w:pPr>
            <w:r>
              <w:rPr>
                <w:rFonts w:ascii="Arial" w:hAnsi="Arial" w:cs="Arial"/>
                <w:b/>
                <w:color w:val="FF8500"/>
              </w:rPr>
              <w:lastRenderedPageBreak/>
              <w:t>59</w:t>
            </w:r>
            <w:r w:rsidR="005C518C" w:rsidRPr="00711476">
              <w:rPr>
                <w:rFonts w:ascii="Arial" w:hAnsi="Arial" w:cs="Arial"/>
                <w:b/>
                <w:color w:val="FF8500"/>
              </w:rPr>
              <w:t xml:space="preserve">. ábra: </w:t>
            </w:r>
            <w:r w:rsidR="005C518C" w:rsidRPr="0039682E">
              <w:rPr>
                <w:rFonts w:ascii="Arial" w:hAnsi="Arial" w:cs="Arial"/>
                <w:bCs/>
                <w:color w:val="FF8500"/>
              </w:rPr>
              <w:t xml:space="preserve">A BUX alakulása </w:t>
            </w:r>
            <w:r w:rsidR="00711476" w:rsidRPr="0039682E">
              <w:rPr>
                <w:rFonts w:ascii="Arial" w:hAnsi="Arial" w:cs="Arial"/>
                <w:bCs/>
                <w:color w:val="FF8500"/>
              </w:rPr>
              <w:br/>
            </w:r>
            <w:r w:rsidR="005C518C" w:rsidRPr="0039682E">
              <w:rPr>
                <w:rFonts w:ascii="Arial" w:hAnsi="Arial" w:cs="Arial"/>
                <w:bCs/>
                <w:color w:val="FF8500"/>
              </w:rPr>
              <w:t>az elmúlt egy évben</w:t>
            </w:r>
          </w:p>
        </w:tc>
        <w:tc>
          <w:tcPr>
            <w:tcW w:w="5016" w:type="dxa"/>
            <w:shd w:val="clear" w:color="auto" w:fill="auto"/>
          </w:tcPr>
          <w:p w14:paraId="3B518713" w14:textId="77777777" w:rsidR="005C518C" w:rsidRPr="00711476" w:rsidRDefault="00222D2D" w:rsidP="00C2637F">
            <w:pPr>
              <w:keepNext/>
              <w:spacing w:after="0"/>
              <w:jc w:val="center"/>
              <w:rPr>
                <w:rFonts w:ascii="Arial" w:hAnsi="Arial" w:cs="Arial"/>
                <w:b/>
                <w:color w:val="FF8500"/>
              </w:rPr>
            </w:pPr>
            <w:r>
              <w:rPr>
                <w:rFonts w:ascii="Arial" w:hAnsi="Arial" w:cs="Arial"/>
                <w:b/>
                <w:color w:val="FF8500"/>
              </w:rPr>
              <w:t>60</w:t>
            </w:r>
            <w:r w:rsidR="005C518C" w:rsidRPr="00711476">
              <w:rPr>
                <w:rFonts w:ascii="Arial" w:hAnsi="Arial" w:cs="Arial"/>
                <w:b/>
                <w:color w:val="FF8500"/>
              </w:rPr>
              <w:t xml:space="preserve">. ábra: </w:t>
            </w:r>
            <w:r w:rsidR="00C2637F" w:rsidRPr="0039682E">
              <w:rPr>
                <w:rFonts w:ascii="Arial" w:hAnsi="Arial" w:cs="Arial"/>
                <w:bCs/>
                <w:color w:val="FF8500"/>
              </w:rPr>
              <w:t xml:space="preserve">A VIX, </w:t>
            </w:r>
            <w:proofErr w:type="spellStart"/>
            <w:r w:rsidR="00C2637F" w:rsidRPr="0039682E">
              <w:rPr>
                <w:rFonts w:ascii="Arial" w:hAnsi="Arial" w:cs="Arial"/>
                <w:bCs/>
                <w:color w:val="FF8500"/>
              </w:rPr>
              <w:t>tőkepia</w:t>
            </w:r>
            <w:r w:rsidR="00C2637F">
              <w:rPr>
                <w:rFonts w:ascii="Arial" w:hAnsi="Arial" w:cs="Arial"/>
                <w:bCs/>
                <w:color w:val="FF8500"/>
              </w:rPr>
              <w:t>ci</w:t>
            </w:r>
            <w:proofErr w:type="spellEnd"/>
            <w:r w:rsidR="00C2637F">
              <w:rPr>
                <w:rFonts w:ascii="Arial" w:hAnsi="Arial" w:cs="Arial"/>
                <w:bCs/>
                <w:color w:val="FF8500"/>
              </w:rPr>
              <w:t xml:space="preserve"> volatilitást jelző, „félelem</w:t>
            </w:r>
            <w:r w:rsidR="00C2637F" w:rsidRPr="0039682E">
              <w:rPr>
                <w:rFonts w:ascii="Arial" w:hAnsi="Arial" w:cs="Arial"/>
                <w:bCs/>
                <w:color w:val="FF8500"/>
              </w:rPr>
              <w:t xml:space="preserve"> index</w:t>
            </w:r>
            <w:r w:rsidR="00C2637F">
              <w:rPr>
                <w:rFonts w:ascii="Arial" w:hAnsi="Arial" w:cs="Arial"/>
                <w:bCs/>
                <w:color w:val="FF8500"/>
              </w:rPr>
              <w:t>”</w:t>
            </w:r>
            <w:r w:rsidR="00C2637F" w:rsidRPr="0039682E">
              <w:rPr>
                <w:rFonts w:ascii="Arial" w:hAnsi="Arial" w:cs="Arial"/>
                <w:bCs/>
                <w:color w:val="FF8500"/>
              </w:rPr>
              <w:t xml:space="preserve"> alakulása</w:t>
            </w:r>
          </w:p>
        </w:tc>
      </w:tr>
      <w:tr w:rsidR="005C518C" w:rsidRPr="003536D7" w14:paraId="577FE602" w14:textId="77777777" w:rsidTr="008A59FB">
        <w:tblPrEx>
          <w:tblCellMar>
            <w:left w:w="70" w:type="dxa"/>
            <w:right w:w="70" w:type="dxa"/>
          </w:tblCellMar>
        </w:tblPrEx>
        <w:tc>
          <w:tcPr>
            <w:tcW w:w="4731" w:type="dxa"/>
            <w:shd w:val="clear" w:color="auto" w:fill="auto"/>
          </w:tcPr>
          <w:p w14:paraId="422A85DC" w14:textId="77777777" w:rsidR="005C518C" w:rsidRPr="003536D7" w:rsidRDefault="008A59FB" w:rsidP="0041778C">
            <w:pPr>
              <w:spacing w:after="120"/>
              <w:jc w:val="center"/>
              <w:rPr>
                <w:rFonts w:ascii="Arial" w:hAnsi="Arial" w:cs="Arial"/>
                <w:color w:val="FF0000"/>
              </w:rPr>
            </w:pPr>
            <w:r>
              <w:rPr>
                <w:noProof/>
                <w:lang w:eastAsia="hu-HU"/>
              </w:rPr>
              <w:drawing>
                <wp:inline distT="0" distB="0" distL="0" distR="0" wp14:anchorId="7CF38BF3" wp14:editId="264CDE51">
                  <wp:extent cx="2592000" cy="1595040"/>
                  <wp:effectExtent l="0" t="0" r="0" b="5715"/>
                  <wp:docPr id="657" name="Diagram 6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5016" w:type="dxa"/>
            <w:shd w:val="clear" w:color="auto" w:fill="auto"/>
          </w:tcPr>
          <w:p w14:paraId="745E0F5A" w14:textId="77777777" w:rsidR="005C518C" w:rsidRPr="003536D7" w:rsidRDefault="008A59FB" w:rsidP="002C7BD0">
            <w:pPr>
              <w:spacing w:after="0"/>
              <w:jc w:val="center"/>
              <w:rPr>
                <w:rFonts w:ascii="Arial" w:hAnsi="Arial" w:cs="Arial"/>
                <w:color w:val="FF0000"/>
              </w:rPr>
            </w:pPr>
            <w:r>
              <w:rPr>
                <w:noProof/>
                <w:lang w:eastAsia="hu-HU"/>
              </w:rPr>
              <w:drawing>
                <wp:inline distT="0" distB="0" distL="0" distR="0" wp14:anchorId="6DF998C6" wp14:editId="1B66CB7C">
                  <wp:extent cx="2713920" cy="1595040"/>
                  <wp:effectExtent l="0" t="0" r="0" b="5715"/>
                  <wp:docPr id="658" name="Diagram 6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14:paraId="60A7AD5F" w14:textId="77777777" w:rsidR="00DF1BA9" w:rsidRPr="00DF1BA9" w:rsidRDefault="00DF1BA9" w:rsidP="00DF1BA9">
      <w:pPr>
        <w:spacing w:after="120" w:line="360" w:lineRule="auto"/>
        <w:ind w:left="-108"/>
        <w:jc w:val="both"/>
        <w:rPr>
          <w:rFonts w:ascii="Arial" w:hAnsi="Arial" w:cs="Arial"/>
          <w:sz w:val="20"/>
          <w:szCs w:val="20"/>
        </w:rPr>
      </w:pPr>
      <w:r w:rsidRPr="00DF1BA9">
        <w:rPr>
          <w:rFonts w:ascii="Arial" w:hAnsi="Arial" w:cs="Arial"/>
          <w:sz w:val="20"/>
          <w:szCs w:val="20"/>
        </w:rPr>
        <w:t xml:space="preserve">A budapesti tőzsde a nyár közepén ismét elkapta az emelkedő hullámot és 52 ezer pont fölé emelkedett, ezzel felülteljesítve az oldalazó nemzetközi mezőnyt, amit az OTP és a MOL erős </w:t>
      </w:r>
      <w:proofErr w:type="gramStart"/>
      <w:r w:rsidRPr="00DF1BA9">
        <w:rPr>
          <w:rFonts w:ascii="Arial" w:hAnsi="Arial" w:cs="Arial"/>
          <w:sz w:val="20"/>
          <w:szCs w:val="20"/>
        </w:rPr>
        <w:t>eredményei</w:t>
      </w:r>
      <w:proofErr w:type="gramEnd"/>
      <w:r w:rsidRPr="00DF1BA9">
        <w:rPr>
          <w:rFonts w:ascii="Arial" w:hAnsi="Arial" w:cs="Arial"/>
          <w:sz w:val="20"/>
          <w:szCs w:val="20"/>
        </w:rPr>
        <w:t xml:space="preserve"> illetve előbbi szlovén bankvásárlása is segített, míg a MOL-t a látványos olajár növekedés </w:t>
      </w:r>
      <w:r w:rsidR="006D16ED">
        <w:rPr>
          <w:rFonts w:ascii="Arial" w:hAnsi="Arial" w:cs="Arial"/>
          <w:sz w:val="20"/>
          <w:szCs w:val="20"/>
        </w:rPr>
        <w:t>támogatja</w:t>
      </w:r>
      <w:r w:rsidRPr="00DF1BA9">
        <w:rPr>
          <w:rFonts w:ascii="Arial" w:hAnsi="Arial" w:cs="Arial"/>
          <w:sz w:val="20"/>
          <w:szCs w:val="20"/>
        </w:rPr>
        <w:t xml:space="preserve">. A hazai tőzsdére általában elsősorban a globális piaci tendenciák hatnak, mivel a BÉT befektetői körének 60%-a nemzetközi intézményi szereplő, azon belül is globális alapok, melyek jelentős részben figyelmen kívül hagyják a kisebb lokális eseményeket és </w:t>
      </w:r>
      <w:proofErr w:type="spellStart"/>
      <w:r w:rsidRPr="00DF1BA9">
        <w:rPr>
          <w:rFonts w:ascii="Arial" w:hAnsi="Arial" w:cs="Arial"/>
          <w:sz w:val="20"/>
          <w:szCs w:val="20"/>
        </w:rPr>
        <w:t>makrorégiók</w:t>
      </w:r>
      <w:proofErr w:type="spellEnd"/>
      <w:r w:rsidRPr="00DF1BA9">
        <w:rPr>
          <w:rFonts w:ascii="Arial" w:hAnsi="Arial" w:cs="Arial"/>
          <w:sz w:val="20"/>
          <w:szCs w:val="20"/>
        </w:rPr>
        <w:t xml:space="preserve"> alapján módosítják befektetési </w:t>
      </w:r>
      <w:proofErr w:type="spellStart"/>
      <w:r w:rsidRPr="00DF1BA9">
        <w:rPr>
          <w:rFonts w:ascii="Arial" w:hAnsi="Arial" w:cs="Arial"/>
          <w:sz w:val="20"/>
          <w:szCs w:val="20"/>
        </w:rPr>
        <w:t>politkájukat</w:t>
      </w:r>
      <w:proofErr w:type="spellEnd"/>
      <w:r w:rsidRPr="00DF1BA9">
        <w:rPr>
          <w:rFonts w:ascii="Arial" w:hAnsi="Arial" w:cs="Arial"/>
          <w:sz w:val="20"/>
          <w:szCs w:val="20"/>
        </w:rPr>
        <w:t xml:space="preserve"> és ez pontosan látszik a régiós tőzsdeindexek </w:t>
      </w:r>
      <w:proofErr w:type="spellStart"/>
      <w:r w:rsidRPr="00DF1BA9">
        <w:rPr>
          <w:rFonts w:ascii="Arial" w:hAnsi="Arial" w:cs="Arial"/>
          <w:sz w:val="20"/>
          <w:szCs w:val="20"/>
        </w:rPr>
        <w:t>együttmozgásán</w:t>
      </w:r>
      <w:proofErr w:type="spellEnd"/>
      <w:r w:rsidRPr="00DF1BA9">
        <w:rPr>
          <w:rFonts w:ascii="Arial" w:hAnsi="Arial" w:cs="Arial"/>
          <w:sz w:val="20"/>
          <w:szCs w:val="20"/>
        </w:rPr>
        <w:t xml:space="preserve"> is. A hazai </w:t>
      </w:r>
      <w:proofErr w:type="spellStart"/>
      <w:r w:rsidRPr="00DF1BA9">
        <w:rPr>
          <w:rFonts w:ascii="Arial" w:hAnsi="Arial" w:cs="Arial"/>
          <w:sz w:val="20"/>
          <w:szCs w:val="20"/>
        </w:rPr>
        <w:t>blue</w:t>
      </w:r>
      <w:proofErr w:type="spellEnd"/>
      <w:r w:rsidRPr="00DF1BA9">
        <w:rPr>
          <w:rFonts w:ascii="Arial" w:hAnsi="Arial" w:cs="Arial"/>
          <w:sz w:val="20"/>
          <w:szCs w:val="20"/>
        </w:rPr>
        <w:t xml:space="preserve"> chipek közül a MOL ledolgozta a leginkább lemaradó papír szerepét és jelenleg éves csúcsán áll, amit az erős gyorsjelentése és a masszívan növekvő olajárak is segítenek, és a globális nyitásokból eredő növekvő olajkereslet középtávon is alapvetően jót jelez a MOL árfolyamával kapcsolatban. A korábbi kiugró Richter visszavett a lendületből, immár „csak” 29%-os éves pluszban tartózkodik, de egyre több </w:t>
      </w:r>
      <w:proofErr w:type="gramStart"/>
      <w:r w:rsidRPr="00DF1BA9">
        <w:rPr>
          <w:rFonts w:ascii="Arial" w:hAnsi="Arial" w:cs="Arial"/>
          <w:sz w:val="20"/>
          <w:szCs w:val="20"/>
        </w:rPr>
        <w:t>készítménnyel</w:t>
      </w:r>
      <w:proofErr w:type="gramEnd"/>
      <w:r w:rsidRPr="00DF1BA9">
        <w:rPr>
          <w:rFonts w:ascii="Arial" w:hAnsi="Arial" w:cs="Arial"/>
          <w:sz w:val="20"/>
          <w:szCs w:val="20"/>
        </w:rPr>
        <w:t xml:space="preserve"> illetve licenccel sikerül betörnie a globális piacokra a hazai gyógyszercégnek, amik továbbra is javítják a középtávú fundamentumait, illetve a meglevő értékesítési csatornák is stabilnak tűnnek. A defenzív </w:t>
      </w:r>
      <w:proofErr w:type="spellStart"/>
      <w:r w:rsidRPr="00DF1BA9">
        <w:rPr>
          <w:rFonts w:ascii="Arial" w:hAnsi="Arial" w:cs="Arial"/>
          <w:sz w:val="20"/>
          <w:szCs w:val="20"/>
        </w:rPr>
        <w:t>MTelekom</w:t>
      </w:r>
      <w:proofErr w:type="spellEnd"/>
      <w:r w:rsidRPr="00DF1BA9">
        <w:rPr>
          <w:rFonts w:ascii="Arial" w:hAnsi="Arial" w:cs="Arial"/>
          <w:sz w:val="20"/>
          <w:szCs w:val="20"/>
        </w:rPr>
        <w:t xml:space="preserve"> ismét a legkevésbé mozgalmas papír, de a folyamatosan erősödő a digitalizáció stabil felfelé mutató kockázatot jelent a cég számára, és így is a harmadik helyen áll az éves árfolyam-teljesítményt tekintve. Az OTP némi korrekciót szenvedett el az utóbbi hetekben, de az éves teljesítménye így is 91%-os (!) </w:t>
      </w:r>
      <w:r w:rsidR="00732A70">
        <w:rPr>
          <w:rFonts w:ascii="Arial" w:hAnsi="Arial" w:cs="Arial"/>
          <w:sz w:val="20"/>
          <w:szCs w:val="20"/>
        </w:rPr>
        <w:t>nyereséget</w:t>
      </w:r>
      <w:r w:rsidRPr="00DF1BA9">
        <w:rPr>
          <w:rFonts w:ascii="Arial" w:hAnsi="Arial" w:cs="Arial"/>
          <w:sz w:val="20"/>
          <w:szCs w:val="20"/>
        </w:rPr>
        <w:t xml:space="preserve"> mutat, a korábbi, hosszú ideig agyonnyomott kamatokat váró piaci hangulat némileg fordult az inflációs félelmek, és az ebből következő emelkedő kamatok miatt, ami segíti a banki </w:t>
      </w:r>
      <w:proofErr w:type="spellStart"/>
      <w:r w:rsidRPr="00DF1BA9">
        <w:rPr>
          <w:rFonts w:ascii="Arial" w:hAnsi="Arial" w:cs="Arial"/>
          <w:sz w:val="20"/>
          <w:szCs w:val="20"/>
        </w:rPr>
        <w:t>marzsokat</w:t>
      </w:r>
      <w:proofErr w:type="spellEnd"/>
      <w:r w:rsidRPr="00DF1BA9">
        <w:rPr>
          <w:rFonts w:ascii="Arial" w:hAnsi="Arial" w:cs="Arial"/>
          <w:sz w:val="20"/>
          <w:szCs w:val="20"/>
        </w:rPr>
        <w:t xml:space="preserve">, de az újabb sikeres bankvásárlási hírek, és ebből következően masszívan növekvő mérlegfőösszeg és eredményesség is segítik a legnagyobb hazai pénzintézetet, így indokoltnak tekinthető a jelenlegi emelkedés. A fejlett piaci rallyval összevetve sikerült nagyjából ledolgozni a lemaradásukat a hazai – és a régiós papíroknak -, de továbbra is látható diszkont mutatkozik a régió javára, annak ellenére, hogy a vírus utáni nyitás a hazai </w:t>
      </w:r>
      <w:r w:rsidRPr="00DF1BA9">
        <w:rPr>
          <w:rFonts w:ascii="Arial" w:hAnsi="Arial" w:cs="Arial"/>
          <w:sz w:val="20"/>
          <w:szCs w:val="20"/>
        </w:rPr>
        <w:lastRenderedPageBreak/>
        <w:t xml:space="preserve">gazdaságban kezdődött meg az egyik leghamarabb, sőt hitelminősítők szerint is nálunk lehet a legstabilabb helyreállás, így akár továbbra is jó beszállókat kínálhatnak a jelenlegi értékeltségi szintek a hazai piacon a legtöbb papír esetében. </w:t>
      </w:r>
    </w:p>
    <w:p w14:paraId="1BB2FCC4" w14:textId="77777777" w:rsidR="00A00383" w:rsidRPr="00A11F63" w:rsidRDefault="00635932" w:rsidP="00A11F63">
      <w:pPr>
        <w:spacing w:after="120" w:line="360" w:lineRule="auto"/>
        <w:jc w:val="both"/>
        <w:rPr>
          <w:rFonts w:ascii="Arial" w:hAnsi="Arial" w:cs="Arial"/>
          <w:sz w:val="20"/>
          <w:szCs w:val="20"/>
        </w:rPr>
      </w:pPr>
      <w:r>
        <w:rPr>
          <w:rFonts w:ascii="Arial" w:hAnsi="Arial" w:cs="Arial"/>
          <w:sz w:val="20"/>
          <w:szCs w:val="20"/>
        </w:rPr>
        <w:t xml:space="preserve"> </w:t>
      </w:r>
    </w:p>
    <w:sectPr w:rsidR="00A00383" w:rsidRPr="00A11F63" w:rsidSect="0071642B">
      <w:headerReference w:type="default" r:id="rId68"/>
      <w:footerReference w:type="default" r:id="rId69"/>
      <w:pgSz w:w="11909" w:h="16834" w:code="9"/>
      <w:pgMar w:top="3062" w:right="1021" w:bottom="907" w:left="102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CF7F4" w14:textId="77777777" w:rsidR="00BC5AA1" w:rsidRDefault="00BC5AA1" w:rsidP="00B0556D">
      <w:pPr>
        <w:spacing w:after="0" w:line="240" w:lineRule="auto"/>
      </w:pPr>
      <w:r>
        <w:separator/>
      </w:r>
    </w:p>
  </w:endnote>
  <w:endnote w:type="continuationSeparator" w:id="0">
    <w:p w14:paraId="54A8998F" w14:textId="77777777" w:rsidR="00BC5AA1" w:rsidRDefault="00BC5AA1" w:rsidP="00B05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inion Pro">
    <w:panose1 w:val="00000000000000000000"/>
    <w:charset w:val="00"/>
    <w:family w:val="roman"/>
    <w:notTrueType/>
    <w:pitch w:val="variable"/>
    <w:sig w:usb0="20000287" w:usb1="00000001" w:usb2="00000000" w:usb3="00000000" w:csb0="0000019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4579097"/>
      <w:docPartObj>
        <w:docPartGallery w:val="Page Numbers (Bottom of Page)"/>
        <w:docPartUnique/>
      </w:docPartObj>
    </w:sdtPr>
    <w:sdtEndPr>
      <w:rPr>
        <w:rFonts w:ascii="Arial" w:hAnsi="Arial" w:cs="Arial"/>
        <w:b/>
        <w:bCs/>
        <w:color w:val="1D428A"/>
      </w:rPr>
    </w:sdtEndPr>
    <w:sdtContent>
      <w:p w14:paraId="0402B838" w14:textId="77777777" w:rsidR="00BC5AA1" w:rsidRPr="00E345CE" w:rsidRDefault="00BC5AA1" w:rsidP="00E345CE">
        <w:pPr>
          <w:pStyle w:val="llb"/>
          <w:rPr>
            <w:sz w:val="18"/>
            <w:szCs w:val="18"/>
          </w:rPr>
        </w:pPr>
      </w:p>
      <w:p w14:paraId="7761DCB6" w14:textId="77777777" w:rsidR="00BC5AA1" w:rsidRPr="007A7A26" w:rsidRDefault="00BC5AA1" w:rsidP="007A7A26">
        <w:pPr>
          <w:pStyle w:val="llb"/>
          <w:jc w:val="center"/>
        </w:pPr>
        <w:r w:rsidRPr="007A7A26">
          <w:rPr>
            <w:rFonts w:ascii="Arial" w:hAnsi="Arial" w:cs="Arial"/>
            <w:b/>
            <w:bCs/>
            <w:color w:val="1D428A"/>
          </w:rPr>
          <w:fldChar w:fldCharType="begin"/>
        </w:r>
        <w:r w:rsidRPr="007A7A26">
          <w:rPr>
            <w:rFonts w:ascii="Arial" w:hAnsi="Arial" w:cs="Arial"/>
            <w:b/>
            <w:bCs/>
            <w:color w:val="1D428A"/>
          </w:rPr>
          <w:instrText>PAGE   \* MERGEFORMAT</w:instrText>
        </w:r>
        <w:r w:rsidRPr="007A7A26">
          <w:rPr>
            <w:rFonts w:ascii="Arial" w:hAnsi="Arial" w:cs="Arial"/>
            <w:b/>
            <w:bCs/>
            <w:color w:val="1D428A"/>
          </w:rPr>
          <w:fldChar w:fldCharType="separate"/>
        </w:r>
        <w:r w:rsidR="002631FA">
          <w:rPr>
            <w:rFonts w:ascii="Arial" w:hAnsi="Arial" w:cs="Arial"/>
            <w:b/>
            <w:bCs/>
            <w:noProof/>
            <w:color w:val="1D428A"/>
          </w:rPr>
          <w:t>43</w:t>
        </w:r>
        <w:r w:rsidRPr="007A7A26">
          <w:rPr>
            <w:rFonts w:ascii="Arial" w:hAnsi="Arial" w:cs="Arial"/>
            <w:b/>
            <w:bCs/>
            <w:color w:val="1D428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06F47" w14:textId="77777777" w:rsidR="00BC5AA1" w:rsidRDefault="00BC5AA1" w:rsidP="00B0556D">
      <w:pPr>
        <w:spacing w:after="0" w:line="240" w:lineRule="auto"/>
      </w:pPr>
      <w:r>
        <w:separator/>
      </w:r>
    </w:p>
  </w:footnote>
  <w:footnote w:type="continuationSeparator" w:id="0">
    <w:p w14:paraId="2C42148A" w14:textId="77777777" w:rsidR="00BC5AA1" w:rsidRDefault="00BC5AA1" w:rsidP="00B05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5B450" w14:textId="77777777" w:rsidR="00BC5AA1" w:rsidRDefault="00BC5AA1" w:rsidP="00B0556D">
    <w:pPr>
      <w:tabs>
        <w:tab w:val="left" w:pos="3956"/>
      </w:tabs>
    </w:pPr>
    <w:r>
      <w:rPr>
        <w:noProof/>
        <w:lang w:eastAsia="hu-HU"/>
      </w:rPr>
      <w:drawing>
        <wp:anchor distT="0" distB="0" distL="114300" distR="114300" simplePos="0" relativeHeight="251660288" behindDoc="0" locked="0" layoutInCell="1" allowOverlap="1" wp14:anchorId="6787F6DE" wp14:editId="6616884E">
          <wp:simplePos x="0" y="0"/>
          <wp:positionH relativeFrom="column">
            <wp:posOffset>-384810</wp:posOffset>
          </wp:positionH>
          <wp:positionV relativeFrom="paragraph">
            <wp:posOffset>91440</wp:posOffset>
          </wp:positionV>
          <wp:extent cx="2291080" cy="651510"/>
          <wp:effectExtent l="0" t="0" r="0" b="0"/>
          <wp:wrapNone/>
          <wp:docPr id="33"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karekbank-logo-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91080" cy="651510"/>
                  </a:xfrm>
                  <a:prstGeom prst="rect">
                    <a:avLst/>
                  </a:prstGeom>
                </pic:spPr>
              </pic:pic>
            </a:graphicData>
          </a:graphic>
          <wp14:sizeRelH relativeFrom="margin">
            <wp14:pctWidth>0</wp14:pctWidth>
          </wp14:sizeRelH>
          <wp14:sizeRelV relativeFrom="margin">
            <wp14:pctHeight>0</wp14:pctHeight>
          </wp14:sizeRelV>
        </wp:anchor>
      </w:drawing>
    </w:r>
    <w:r>
      <w:rPr>
        <w:noProof/>
        <w:lang w:eastAsia="hu-HU"/>
      </w:rPr>
      <w:drawing>
        <wp:anchor distT="0" distB="0" distL="114300" distR="114300" simplePos="0" relativeHeight="251661312" behindDoc="1" locked="0" layoutInCell="1" allowOverlap="1" wp14:anchorId="09780CB4" wp14:editId="5D8C0C3D">
          <wp:simplePos x="0" y="0"/>
          <wp:positionH relativeFrom="column">
            <wp:posOffset>4170680</wp:posOffset>
          </wp:positionH>
          <wp:positionV relativeFrom="paragraph">
            <wp:posOffset>-414655</wp:posOffset>
          </wp:positionV>
          <wp:extent cx="2611755" cy="1962150"/>
          <wp:effectExtent l="0" t="0" r="0" b="0"/>
          <wp:wrapNone/>
          <wp:docPr id="22"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KAREKBANK-Levelpapir-fejlec.jpg"/>
                  <pic:cNvPicPr/>
                </pic:nvPicPr>
                <pic:blipFill>
                  <a:blip r:embed="rId3">
                    <a:extLst>
                      <a:ext uri="{28A0092B-C50C-407E-A947-70E740481C1C}">
                        <a14:useLocalDpi xmlns:a14="http://schemas.microsoft.com/office/drawing/2010/main" val="0"/>
                      </a:ext>
                    </a:extLst>
                  </a:blip>
                  <a:stretch>
                    <a:fillRect/>
                  </a:stretch>
                </pic:blipFill>
                <pic:spPr>
                  <a:xfrm>
                    <a:off x="0" y="0"/>
                    <a:ext cx="2611755" cy="1962150"/>
                  </a:xfrm>
                  <a:prstGeom prst="rect">
                    <a:avLst/>
                  </a:prstGeom>
                </pic:spPr>
              </pic:pic>
            </a:graphicData>
          </a:graphic>
          <wp14:sizeRelH relativeFrom="margin">
            <wp14:pctWidth>0</wp14:pctWidth>
          </wp14:sizeRelH>
          <wp14:sizeRelV relativeFrom="margin">
            <wp14:pctHeight>0</wp14:pctHeight>
          </wp14:sizeRelV>
        </wp:anchor>
      </w:drawing>
    </w:r>
    <w:r>
      <w:tab/>
    </w:r>
  </w:p>
  <w:p w14:paraId="09A33104" w14:textId="77777777" w:rsidR="00BC5AA1" w:rsidRDefault="00BC5AA1" w:rsidP="00B0556D">
    <w:pPr>
      <w:tabs>
        <w:tab w:val="left" w:pos="3956"/>
      </w:tabs>
    </w:pPr>
  </w:p>
  <w:p w14:paraId="549C12A9" w14:textId="77777777" w:rsidR="00BC5AA1" w:rsidRDefault="00BC5AA1" w:rsidP="0071642B">
    <w:pPr>
      <w:tabs>
        <w:tab w:val="left" w:pos="7275"/>
      </w:tabs>
    </w:pPr>
    <w:r>
      <w:rPr>
        <w:rFonts w:ascii="Arial" w:hAnsi="Arial" w:cs="Arial"/>
        <w:b/>
        <w:bCs/>
        <w:noProof/>
        <w:color w:val="FF8200"/>
        <w:sz w:val="28"/>
        <w:szCs w:val="28"/>
        <w:lang w:eastAsia="hu-HU"/>
      </w:rPr>
      <w:drawing>
        <wp:anchor distT="0" distB="0" distL="114300" distR="114300" simplePos="0" relativeHeight="251663360" behindDoc="1" locked="0" layoutInCell="1" allowOverlap="1" wp14:anchorId="60BE5880" wp14:editId="01560643">
          <wp:simplePos x="0" y="0"/>
          <wp:positionH relativeFrom="column">
            <wp:posOffset>-1025525</wp:posOffset>
          </wp:positionH>
          <wp:positionV relativeFrom="topMargin">
            <wp:posOffset>895985</wp:posOffset>
          </wp:positionV>
          <wp:extent cx="4246880" cy="899795"/>
          <wp:effectExtent l="0" t="0" r="1270" b="0"/>
          <wp:wrapNone/>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jlecbe.png"/>
                  <pic:cNvPicPr/>
                </pic:nvPicPr>
                <pic:blipFill>
                  <a:blip r:embed="rId4">
                    <a:alphaModFix amt="50000"/>
                    <a:extLst>
                      <a:ext uri="{28A0092B-C50C-407E-A947-70E740481C1C}">
                        <a14:useLocalDpi xmlns:a14="http://schemas.microsoft.com/office/drawing/2010/main" val="0"/>
                      </a:ext>
                    </a:extLst>
                  </a:blip>
                  <a:stretch>
                    <a:fillRect/>
                  </a:stretch>
                </pic:blipFill>
                <pic:spPr>
                  <a:xfrm>
                    <a:off x="0" y="0"/>
                    <a:ext cx="4246880" cy="899795"/>
                  </a:xfrm>
                  <a:prstGeom prst="rect">
                    <a:avLst/>
                  </a:prstGeom>
                </pic:spPr>
              </pic:pic>
            </a:graphicData>
          </a:graphic>
          <wp14:sizeRelH relativeFrom="margin">
            <wp14:pctWidth>0</wp14:pctWidth>
          </wp14:sizeRelH>
          <wp14:sizeRelV relativeFrom="margin">
            <wp14:pctHeight>0</wp14:pctHeight>
          </wp14:sizeRelV>
        </wp:anchor>
      </w:drawing>
    </w:r>
    <w:r>
      <w:tab/>
    </w:r>
  </w:p>
  <w:p w14:paraId="0284BDAE" w14:textId="77777777" w:rsidR="00BC5AA1" w:rsidRDefault="00BC5AA1" w:rsidP="00624807">
    <w:pPr>
      <w:tabs>
        <w:tab w:val="left" w:pos="4333"/>
      </w:tabs>
    </w:pPr>
    <w:r>
      <w:tab/>
    </w:r>
  </w:p>
  <w:p w14:paraId="396D7F59" w14:textId="77777777" w:rsidR="00BC5AA1" w:rsidRPr="00A4053D" w:rsidRDefault="00BC5AA1" w:rsidP="00083B86">
    <w:pPr>
      <w:tabs>
        <w:tab w:val="left" w:pos="3956"/>
      </w:tabs>
      <w:rPr>
        <w:rFonts w:ascii="Arial" w:hAnsi="Arial" w:cs="Arial"/>
        <w:b/>
        <w:bCs/>
        <w:color w:val="FFFFFF" w:themeColor="background1"/>
        <w:sz w:val="26"/>
        <w:szCs w:val="26"/>
      </w:rPr>
    </w:pPr>
    <w:r w:rsidRPr="00A4053D">
      <w:rPr>
        <w:rFonts w:ascii="Arial" w:hAnsi="Arial" w:cs="Arial"/>
        <w:b/>
        <w:bCs/>
        <w:color w:val="FFFFFF" w:themeColor="background1"/>
        <w:sz w:val="26"/>
        <w:szCs w:val="26"/>
      </w:rPr>
      <w:t>Negyedéves áttekintés - Reálgazdaság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1pt;height:306pt" o:bullet="t">
        <v:imagedata r:id="rId1" o:title="kek-rombusz"/>
      </v:shape>
    </w:pict>
  </w:numPicBullet>
  <w:abstractNum w:abstractNumId="0" w15:restartNumberingAfterBreak="0">
    <w:nsid w:val="16212BFF"/>
    <w:multiLevelType w:val="hybridMultilevel"/>
    <w:tmpl w:val="CDD4F552"/>
    <w:lvl w:ilvl="0" w:tplc="FC362DD6">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2A3B5777"/>
    <w:multiLevelType w:val="hybridMultilevel"/>
    <w:tmpl w:val="77ECF5EC"/>
    <w:lvl w:ilvl="0" w:tplc="0409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469753EA"/>
    <w:multiLevelType w:val="hybridMultilevel"/>
    <w:tmpl w:val="ADB8F5B8"/>
    <w:lvl w:ilvl="0" w:tplc="F45CF6DC">
      <w:start w:val="1"/>
      <w:numFmt w:val="bullet"/>
      <w:lvlText w:val=""/>
      <w:lvlPicBulletId w:val="0"/>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4D230AE5"/>
    <w:multiLevelType w:val="hybridMultilevel"/>
    <w:tmpl w:val="013A8EBE"/>
    <w:lvl w:ilvl="0" w:tplc="1D9C2F7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6CE32087"/>
    <w:multiLevelType w:val="hybridMultilevel"/>
    <w:tmpl w:val="14185A3A"/>
    <w:lvl w:ilvl="0" w:tplc="A4B66426">
      <w:start w:val="1"/>
      <w:numFmt w:val="bullet"/>
      <w:lvlText w:val=""/>
      <w:lvlJc w:val="left"/>
      <w:pPr>
        <w:ind w:left="720" w:hanging="360"/>
      </w:pPr>
      <w:rPr>
        <w:rFonts w:ascii="Wingdings" w:hAnsi="Wingdings"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56D"/>
    <w:rsid w:val="00000405"/>
    <w:rsid w:val="00000C93"/>
    <w:rsid w:val="00000D91"/>
    <w:rsid w:val="000011DC"/>
    <w:rsid w:val="000013C7"/>
    <w:rsid w:val="00002C71"/>
    <w:rsid w:val="0000368C"/>
    <w:rsid w:val="0000438F"/>
    <w:rsid w:val="00005120"/>
    <w:rsid w:val="00005F94"/>
    <w:rsid w:val="00007505"/>
    <w:rsid w:val="0001238E"/>
    <w:rsid w:val="00013747"/>
    <w:rsid w:val="0001581B"/>
    <w:rsid w:val="00015A5E"/>
    <w:rsid w:val="00021906"/>
    <w:rsid w:val="00022C29"/>
    <w:rsid w:val="00022D4F"/>
    <w:rsid w:val="00024FDF"/>
    <w:rsid w:val="00025F96"/>
    <w:rsid w:val="00031BFB"/>
    <w:rsid w:val="00031BFE"/>
    <w:rsid w:val="00031E48"/>
    <w:rsid w:val="00032998"/>
    <w:rsid w:val="00033A80"/>
    <w:rsid w:val="00034D0E"/>
    <w:rsid w:val="000354EA"/>
    <w:rsid w:val="0003669F"/>
    <w:rsid w:val="00043E8C"/>
    <w:rsid w:val="000444AC"/>
    <w:rsid w:val="000444CE"/>
    <w:rsid w:val="00045137"/>
    <w:rsid w:val="000466F8"/>
    <w:rsid w:val="000469EA"/>
    <w:rsid w:val="0005029C"/>
    <w:rsid w:val="00050306"/>
    <w:rsid w:val="0005130E"/>
    <w:rsid w:val="000564FB"/>
    <w:rsid w:val="00057BC6"/>
    <w:rsid w:val="0006058B"/>
    <w:rsid w:val="00062334"/>
    <w:rsid w:val="00062C59"/>
    <w:rsid w:val="00066044"/>
    <w:rsid w:val="00066C4A"/>
    <w:rsid w:val="0006793D"/>
    <w:rsid w:val="00067AF6"/>
    <w:rsid w:val="00071401"/>
    <w:rsid w:val="00072C94"/>
    <w:rsid w:val="0007453B"/>
    <w:rsid w:val="00075E23"/>
    <w:rsid w:val="000765A6"/>
    <w:rsid w:val="000800EF"/>
    <w:rsid w:val="0008338D"/>
    <w:rsid w:val="00083B86"/>
    <w:rsid w:val="00085A96"/>
    <w:rsid w:val="000877CF"/>
    <w:rsid w:val="00087A49"/>
    <w:rsid w:val="00091D2A"/>
    <w:rsid w:val="00092563"/>
    <w:rsid w:val="0009296B"/>
    <w:rsid w:val="000937CC"/>
    <w:rsid w:val="000A100E"/>
    <w:rsid w:val="000A2F33"/>
    <w:rsid w:val="000A323E"/>
    <w:rsid w:val="000A3DCB"/>
    <w:rsid w:val="000A486D"/>
    <w:rsid w:val="000A619B"/>
    <w:rsid w:val="000A6E32"/>
    <w:rsid w:val="000A6EDE"/>
    <w:rsid w:val="000B160D"/>
    <w:rsid w:val="000B1CF8"/>
    <w:rsid w:val="000B21E5"/>
    <w:rsid w:val="000B39AD"/>
    <w:rsid w:val="000B7207"/>
    <w:rsid w:val="000B792A"/>
    <w:rsid w:val="000B7D83"/>
    <w:rsid w:val="000B7DB3"/>
    <w:rsid w:val="000C4085"/>
    <w:rsid w:val="000C4E06"/>
    <w:rsid w:val="000C668D"/>
    <w:rsid w:val="000C6B16"/>
    <w:rsid w:val="000C76C4"/>
    <w:rsid w:val="000C7E87"/>
    <w:rsid w:val="000D1818"/>
    <w:rsid w:val="000D6E17"/>
    <w:rsid w:val="000E08F7"/>
    <w:rsid w:val="000E0DC0"/>
    <w:rsid w:val="000E1AB0"/>
    <w:rsid w:val="000E22C1"/>
    <w:rsid w:val="000E6CD5"/>
    <w:rsid w:val="000E6E05"/>
    <w:rsid w:val="000F132A"/>
    <w:rsid w:val="000F28E3"/>
    <w:rsid w:val="000F3E41"/>
    <w:rsid w:val="000F6366"/>
    <w:rsid w:val="00100A93"/>
    <w:rsid w:val="001035CD"/>
    <w:rsid w:val="0010462A"/>
    <w:rsid w:val="00104791"/>
    <w:rsid w:val="00111AD9"/>
    <w:rsid w:val="00113FEE"/>
    <w:rsid w:val="00114B4B"/>
    <w:rsid w:val="00117537"/>
    <w:rsid w:val="0012035A"/>
    <w:rsid w:val="00120594"/>
    <w:rsid w:val="00120E6D"/>
    <w:rsid w:val="0012397A"/>
    <w:rsid w:val="0012561B"/>
    <w:rsid w:val="00126E9E"/>
    <w:rsid w:val="0013152B"/>
    <w:rsid w:val="0013589C"/>
    <w:rsid w:val="001359A8"/>
    <w:rsid w:val="0013678F"/>
    <w:rsid w:val="00137F95"/>
    <w:rsid w:val="0014279B"/>
    <w:rsid w:val="00142F24"/>
    <w:rsid w:val="00144393"/>
    <w:rsid w:val="0014482D"/>
    <w:rsid w:val="00147CEB"/>
    <w:rsid w:val="001513D7"/>
    <w:rsid w:val="001546F2"/>
    <w:rsid w:val="001565E8"/>
    <w:rsid w:val="001572F0"/>
    <w:rsid w:val="00160FF0"/>
    <w:rsid w:val="001614B0"/>
    <w:rsid w:val="00162FA0"/>
    <w:rsid w:val="0016634D"/>
    <w:rsid w:val="001707D3"/>
    <w:rsid w:val="00170900"/>
    <w:rsid w:val="0017294C"/>
    <w:rsid w:val="00174680"/>
    <w:rsid w:val="00176A6A"/>
    <w:rsid w:val="0017741A"/>
    <w:rsid w:val="00177F73"/>
    <w:rsid w:val="00180748"/>
    <w:rsid w:val="00182019"/>
    <w:rsid w:val="001825B1"/>
    <w:rsid w:val="00183003"/>
    <w:rsid w:val="0018400A"/>
    <w:rsid w:val="0018447B"/>
    <w:rsid w:val="00184C13"/>
    <w:rsid w:val="00190D95"/>
    <w:rsid w:val="00193418"/>
    <w:rsid w:val="00196B30"/>
    <w:rsid w:val="00196BBA"/>
    <w:rsid w:val="00197F74"/>
    <w:rsid w:val="001A5F0C"/>
    <w:rsid w:val="001A6BF7"/>
    <w:rsid w:val="001B0085"/>
    <w:rsid w:val="001B017D"/>
    <w:rsid w:val="001B0AC1"/>
    <w:rsid w:val="001B568D"/>
    <w:rsid w:val="001B65E1"/>
    <w:rsid w:val="001B69CA"/>
    <w:rsid w:val="001B7865"/>
    <w:rsid w:val="001C1A78"/>
    <w:rsid w:val="001C204B"/>
    <w:rsid w:val="001C4191"/>
    <w:rsid w:val="001D0AC9"/>
    <w:rsid w:val="001D40E1"/>
    <w:rsid w:val="001D435A"/>
    <w:rsid w:val="001D510E"/>
    <w:rsid w:val="001D65D5"/>
    <w:rsid w:val="001D76E7"/>
    <w:rsid w:val="001E2031"/>
    <w:rsid w:val="001E763E"/>
    <w:rsid w:val="001F066E"/>
    <w:rsid w:val="001F0FB1"/>
    <w:rsid w:val="001F2A5F"/>
    <w:rsid w:val="001F2D22"/>
    <w:rsid w:val="001F413C"/>
    <w:rsid w:val="001F425C"/>
    <w:rsid w:val="001F5159"/>
    <w:rsid w:val="001F59C2"/>
    <w:rsid w:val="001F72BA"/>
    <w:rsid w:val="001F76D2"/>
    <w:rsid w:val="00200A0C"/>
    <w:rsid w:val="002024F4"/>
    <w:rsid w:val="00204718"/>
    <w:rsid w:val="00206580"/>
    <w:rsid w:val="0020785B"/>
    <w:rsid w:val="002105EE"/>
    <w:rsid w:val="002126EF"/>
    <w:rsid w:val="002151AA"/>
    <w:rsid w:val="0021644D"/>
    <w:rsid w:val="002206CB"/>
    <w:rsid w:val="00221D93"/>
    <w:rsid w:val="00222501"/>
    <w:rsid w:val="00222542"/>
    <w:rsid w:val="00222D2D"/>
    <w:rsid w:val="0022388E"/>
    <w:rsid w:val="00227BF3"/>
    <w:rsid w:val="002323B4"/>
    <w:rsid w:val="002335B4"/>
    <w:rsid w:val="00233729"/>
    <w:rsid w:val="00235608"/>
    <w:rsid w:val="00235CD8"/>
    <w:rsid w:val="00236412"/>
    <w:rsid w:val="00236ED3"/>
    <w:rsid w:val="00237A33"/>
    <w:rsid w:val="00237C7A"/>
    <w:rsid w:val="00237C8E"/>
    <w:rsid w:val="002416AA"/>
    <w:rsid w:val="00244AE0"/>
    <w:rsid w:val="00245924"/>
    <w:rsid w:val="00246880"/>
    <w:rsid w:val="00252FA9"/>
    <w:rsid w:val="00256EA7"/>
    <w:rsid w:val="002575C3"/>
    <w:rsid w:val="00257DD4"/>
    <w:rsid w:val="00260FAC"/>
    <w:rsid w:val="00262BC7"/>
    <w:rsid w:val="002631FA"/>
    <w:rsid w:val="0026555C"/>
    <w:rsid w:val="00265F84"/>
    <w:rsid w:val="002661A6"/>
    <w:rsid w:val="0027047C"/>
    <w:rsid w:val="00271818"/>
    <w:rsid w:val="002738BA"/>
    <w:rsid w:val="002752AF"/>
    <w:rsid w:val="0027542A"/>
    <w:rsid w:val="00276205"/>
    <w:rsid w:val="00276214"/>
    <w:rsid w:val="002766E5"/>
    <w:rsid w:val="00280AB9"/>
    <w:rsid w:val="00282B54"/>
    <w:rsid w:val="002835FF"/>
    <w:rsid w:val="0028598E"/>
    <w:rsid w:val="00294EDE"/>
    <w:rsid w:val="00295F2C"/>
    <w:rsid w:val="002A1CC9"/>
    <w:rsid w:val="002A5694"/>
    <w:rsid w:val="002A6C25"/>
    <w:rsid w:val="002A7C8F"/>
    <w:rsid w:val="002B0836"/>
    <w:rsid w:val="002B18B4"/>
    <w:rsid w:val="002B507C"/>
    <w:rsid w:val="002C0FFB"/>
    <w:rsid w:val="002C1993"/>
    <w:rsid w:val="002C2CB3"/>
    <w:rsid w:val="002C444C"/>
    <w:rsid w:val="002C678D"/>
    <w:rsid w:val="002C7BD0"/>
    <w:rsid w:val="002C7DFF"/>
    <w:rsid w:val="002D00E1"/>
    <w:rsid w:val="002D2B43"/>
    <w:rsid w:val="002D3CA0"/>
    <w:rsid w:val="002D4187"/>
    <w:rsid w:val="002D5607"/>
    <w:rsid w:val="002D5714"/>
    <w:rsid w:val="002D602E"/>
    <w:rsid w:val="002D628E"/>
    <w:rsid w:val="002D6EC7"/>
    <w:rsid w:val="002E05C9"/>
    <w:rsid w:val="002E2E8A"/>
    <w:rsid w:val="002E37E6"/>
    <w:rsid w:val="002E5E1E"/>
    <w:rsid w:val="002E5E99"/>
    <w:rsid w:val="002F2009"/>
    <w:rsid w:val="002F2805"/>
    <w:rsid w:val="002F3677"/>
    <w:rsid w:val="002F37E8"/>
    <w:rsid w:val="002F3F93"/>
    <w:rsid w:val="002F42D6"/>
    <w:rsid w:val="002F7497"/>
    <w:rsid w:val="00301134"/>
    <w:rsid w:val="003017B0"/>
    <w:rsid w:val="00304CE0"/>
    <w:rsid w:val="0030506D"/>
    <w:rsid w:val="003054D4"/>
    <w:rsid w:val="00310A33"/>
    <w:rsid w:val="00313BC1"/>
    <w:rsid w:val="00316464"/>
    <w:rsid w:val="00317924"/>
    <w:rsid w:val="003204A8"/>
    <w:rsid w:val="00323141"/>
    <w:rsid w:val="00323325"/>
    <w:rsid w:val="00323F59"/>
    <w:rsid w:val="00324316"/>
    <w:rsid w:val="00327593"/>
    <w:rsid w:val="0033136E"/>
    <w:rsid w:val="00332605"/>
    <w:rsid w:val="003334FB"/>
    <w:rsid w:val="00335260"/>
    <w:rsid w:val="00340052"/>
    <w:rsid w:val="00340667"/>
    <w:rsid w:val="003416F5"/>
    <w:rsid w:val="0034260F"/>
    <w:rsid w:val="00344829"/>
    <w:rsid w:val="00344847"/>
    <w:rsid w:val="00351212"/>
    <w:rsid w:val="0035495B"/>
    <w:rsid w:val="0035575F"/>
    <w:rsid w:val="003567E8"/>
    <w:rsid w:val="00361C0C"/>
    <w:rsid w:val="003627F7"/>
    <w:rsid w:val="0036282E"/>
    <w:rsid w:val="003628BA"/>
    <w:rsid w:val="003636B3"/>
    <w:rsid w:val="00364E26"/>
    <w:rsid w:val="00364FE6"/>
    <w:rsid w:val="0036631B"/>
    <w:rsid w:val="003664E8"/>
    <w:rsid w:val="00367531"/>
    <w:rsid w:val="00371046"/>
    <w:rsid w:val="003740BA"/>
    <w:rsid w:val="00381612"/>
    <w:rsid w:val="00381C0D"/>
    <w:rsid w:val="00383854"/>
    <w:rsid w:val="00383DFD"/>
    <w:rsid w:val="003856CE"/>
    <w:rsid w:val="0039208A"/>
    <w:rsid w:val="003927C8"/>
    <w:rsid w:val="0039682E"/>
    <w:rsid w:val="00396FA9"/>
    <w:rsid w:val="003A468F"/>
    <w:rsid w:val="003A79C4"/>
    <w:rsid w:val="003B00BE"/>
    <w:rsid w:val="003B0A38"/>
    <w:rsid w:val="003B2CE7"/>
    <w:rsid w:val="003B4013"/>
    <w:rsid w:val="003C1238"/>
    <w:rsid w:val="003C2D7A"/>
    <w:rsid w:val="003C2F4D"/>
    <w:rsid w:val="003C41FE"/>
    <w:rsid w:val="003D1551"/>
    <w:rsid w:val="003D22BA"/>
    <w:rsid w:val="003D3D75"/>
    <w:rsid w:val="003D69B2"/>
    <w:rsid w:val="003D79E5"/>
    <w:rsid w:val="003E1AAE"/>
    <w:rsid w:val="003E1B71"/>
    <w:rsid w:val="003E3ECE"/>
    <w:rsid w:val="003E411B"/>
    <w:rsid w:val="003E4377"/>
    <w:rsid w:val="003E5E8B"/>
    <w:rsid w:val="003F364C"/>
    <w:rsid w:val="003F37AB"/>
    <w:rsid w:val="003F3AB4"/>
    <w:rsid w:val="00401E6F"/>
    <w:rsid w:val="00404BC3"/>
    <w:rsid w:val="00406046"/>
    <w:rsid w:val="0040696B"/>
    <w:rsid w:val="0041025D"/>
    <w:rsid w:val="00411747"/>
    <w:rsid w:val="00412A55"/>
    <w:rsid w:val="00413C58"/>
    <w:rsid w:val="0041597F"/>
    <w:rsid w:val="0041778C"/>
    <w:rsid w:val="00417D59"/>
    <w:rsid w:val="00420041"/>
    <w:rsid w:val="004208E9"/>
    <w:rsid w:val="00421CC6"/>
    <w:rsid w:val="0042219E"/>
    <w:rsid w:val="00422246"/>
    <w:rsid w:val="00422FEB"/>
    <w:rsid w:val="004243F9"/>
    <w:rsid w:val="004248D0"/>
    <w:rsid w:val="00424A92"/>
    <w:rsid w:val="00426384"/>
    <w:rsid w:val="00430E0D"/>
    <w:rsid w:val="00432850"/>
    <w:rsid w:val="00437A6A"/>
    <w:rsid w:val="00443D96"/>
    <w:rsid w:val="004440BC"/>
    <w:rsid w:val="00444D49"/>
    <w:rsid w:val="0044664F"/>
    <w:rsid w:val="004500F8"/>
    <w:rsid w:val="0045100C"/>
    <w:rsid w:val="004522AF"/>
    <w:rsid w:val="004552C3"/>
    <w:rsid w:val="00460A2D"/>
    <w:rsid w:val="0046203E"/>
    <w:rsid w:val="00462464"/>
    <w:rsid w:val="004627A3"/>
    <w:rsid w:val="00463F83"/>
    <w:rsid w:val="00466FD8"/>
    <w:rsid w:val="004675F5"/>
    <w:rsid w:val="00470194"/>
    <w:rsid w:val="00471B9D"/>
    <w:rsid w:val="00473C4B"/>
    <w:rsid w:val="00475F84"/>
    <w:rsid w:val="00476235"/>
    <w:rsid w:val="004763E3"/>
    <w:rsid w:val="00476BA3"/>
    <w:rsid w:val="00476E36"/>
    <w:rsid w:val="00480BC6"/>
    <w:rsid w:val="00481E69"/>
    <w:rsid w:val="004829D5"/>
    <w:rsid w:val="00486DAC"/>
    <w:rsid w:val="004906C3"/>
    <w:rsid w:val="00490D93"/>
    <w:rsid w:val="00490EC7"/>
    <w:rsid w:val="0049108B"/>
    <w:rsid w:val="004910F1"/>
    <w:rsid w:val="00491FF5"/>
    <w:rsid w:val="004947BB"/>
    <w:rsid w:val="00495D2E"/>
    <w:rsid w:val="004A0150"/>
    <w:rsid w:val="004A16DE"/>
    <w:rsid w:val="004A27CA"/>
    <w:rsid w:val="004A504A"/>
    <w:rsid w:val="004A52AA"/>
    <w:rsid w:val="004A60EE"/>
    <w:rsid w:val="004A715B"/>
    <w:rsid w:val="004B2A5D"/>
    <w:rsid w:val="004B36CF"/>
    <w:rsid w:val="004B3C89"/>
    <w:rsid w:val="004B3D9D"/>
    <w:rsid w:val="004C49A3"/>
    <w:rsid w:val="004C5134"/>
    <w:rsid w:val="004C54C3"/>
    <w:rsid w:val="004D036B"/>
    <w:rsid w:val="004D202F"/>
    <w:rsid w:val="004D41C0"/>
    <w:rsid w:val="004D7565"/>
    <w:rsid w:val="004E02A0"/>
    <w:rsid w:val="004E09A0"/>
    <w:rsid w:val="004E189D"/>
    <w:rsid w:val="004E22E2"/>
    <w:rsid w:val="004E4001"/>
    <w:rsid w:val="004E4584"/>
    <w:rsid w:val="004E4B04"/>
    <w:rsid w:val="004E6AD0"/>
    <w:rsid w:val="004E6CE9"/>
    <w:rsid w:val="004F2D54"/>
    <w:rsid w:val="004F3448"/>
    <w:rsid w:val="004F3B2B"/>
    <w:rsid w:val="004F5260"/>
    <w:rsid w:val="004F549C"/>
    <w:rsid w:val="004F7555"/>
    <w:rsid w:val="00500AF5"/>
    <w:rsid w:val="00500BAF"/>
    <w:rsid w:val="00503106"/>
    <w:rsid w:val="00503D43"/>
    <w:rsid w:val="00505360"/>
    <w:rsid w:val="005055F7"/>
    <w:rsid w:val="00505827"/>
    <w:rsid w:val="005107A7"/>
    <w:rsid w:val="00514EB0"/>
    <w:rsid w:val="005153BF"/>
    <w:rsid w:val="00516DAA"/>
    <w:rsid w:val="0051787D"/>
    <w:rsid w:val="00520CC7"/>
    <w:rsid w:val="00522F6B"/>
    <w:rsid w:val="00523A73"/>
    <w:rsid w:val="0052607E"/>
    <w:rsid w:val="005274ED"/>
    <w:rsid w:val="00531466"/>
    <w:rsid w:val="00532F5F"/>
    <w:rsid w:val="0054106A"/>
    <w:rsid w:val="00541B24"/>
    <w:rsid w:val="00542973"/>
    <w:rsid w:val="0054445E"/>
    <w:rsid w:val="0054457D"/>
    <w:rsid w:val="00547E46"/>
    <w:rsid w:val="00550E89"/>
    <w:rsid w:val="00551C3F"/>
    <w:rsid w:val="005523C6"/>
    <w:rsid w:val="00553220"/>
    <w:rsid w:val="0055348B"/>
    <w:rsid w:val="0055412A"/>
    <w:rsid w:val="00554F91"/>
    <w:rsid w:val="005553B8"/>
    <w:rsid w:val="00556DEA"/>
    <w:rsid w:val="00562F26"/>
    <w:rsid w:val="0056729A"/>
    <w:rsid w:val="0057042A"/>
    <w:rsid w:val="00571B95"/>
    <w:rsid w:val="00571CD0"/>
    <w:rsid w:val="00571FF1"/>
    <w:rsid w:val="00574303"/>
    <w:rsid w:val="0057528E"/>
    <w:rsid w:val="005808F8"/>
    <w:rsid w:val="00581F6C"/>
    <w:rsid w:val="0058260B"/>
    <w:rsid w:val="00584439"/>
    <w:rsid w:val="005866F0"/>
    <w:rsid w:val="0058703F"/>
    <w:rsid w:val="00590164"/>
    <w:rsid w:val="00592373"/>
    <w:rsid w:val="005927A7"/>
    <w:rsid w:val="00596989"/>
    <w:rsid w:val="005A109F"/>
    <w:rsid w:val="005A19FD"/>
    <w:rsid w:val="005A2038"/>
    <w:rsid w:val="005A3A93"/>
    <w:rsid w:val="005A6142"/>
    <w:rsid w:val="005A7BDD"/>
    <w:rsid w:val="005B1DD6"/>
    <w:rsid w:val="005B1FB3"/>
    <w:rsid w:val="005B3CE4"/>
    <w:rsid w:val="005B42EC"/>
    <w:rsid w:val="005B48AC"/>
    <w:rsid w:val="005B55EB"/>
    <w:rsid w:val="005B780B"/>
    <w:rsid w:val="005C393A"/>
    <w:rsid w:val="005C518C"/>
    <w:rsid w:val="005D2570"/>
    <w:rsid w:val="005D27C8"/>
    <w:rsid w:val="005D5301"/>
    <w:rsid w:val="005D674E"/>
    <w:rsid w:val="005D71A6"/>
    <w:rsid w:val="005D7F7D"/>
    <w:rsid w:val="005E07AD"/>
    <w:rsid w:val="005E0F6D"/>
    <w:rsid w:val="005E356F"/>
    <w:rsid w:val="005E3A83"/>
    <w:rsid w:val="005E4BA1"/>
    <w:rsid w:val="005E5AB9"/>
    <w:rsid w:val="005E661E"/>
    <w:rsid w:val="005E6CE9"/>
    <w:rsid w:val="005F0C61"/>
    <w:rsid w:val="005F430B"/>
    <w:rsid w:val="005F6251"/>
    <w:rsid w:val="005F6DF4"/>
    <w:rsid w:val="005F79CA"/>
    <w:rsid w:val="00600873"/>
    <w:rsid w:val="00602E4E"/>
    <w:rsid w:val="00603E10"/>
    <w:rsid w:val="00604699"/>
    <w:rsid w:val="00607129"/>
    <w:rsid w:val="00611B9D"/>
    <w:rsid w:val="00614331"/>
    <w:rsid w:val="006159FE"/>
    <w:rsid w:val="0062275A"/>
    <w:rsid w:val="006242F5"/>
    <w:rsid w:val="00624807"/>
    <w:rsid w:val="006251B8"/>
    <w:rsid w:val="006259A6"/>
    <w:rsid w:val="0062669A"/>
    <w:rsid w:val="006314B3"/>
    <w:rsid w:val="00634116"/>
    <w:rsid w:val="00635712"/>
    <w:rsid w:val="00635932"/>
    <w:rsid w:val="00635EA0"/>
    <w:rsid w:val="006429F2"/>
    <w:rsid w:val="0064403A"/>
    <w:rsid w:val="00645239"/>
    <w:rsid w:val="00646AE0"/>
    <w:rsid w:val="00647362"/>
    <w:rsid w:val="00647C9F"/>
    <w:rsid w:val="006502A3"/>
    <w:rsid w:val="0065084B"/>
    <w:rsid w:val="00653818"/>
    <w:rsid w:val="00653D5D"/>
    <w:rsid w:val="00655AF7"/>
    <w:rsid w:val="006569AB"/>
    <w:rsid w:val="00660513"/>
    <w:rsid w:val="00663251"/>
    <w:rsid w:val="00667F80"/>
    <w:rsid w:val="00670C90"/>
    <w:rsid w:val="00671EB2"/>
    <w:rsid w:val="006725CB"/>
    <w:rsid w:val="00672BD5"/>
    <w:rsid w:val="00676B5E"/>
    <w:rsid w:val="0067749E"/>
    <w:rsid w:val="006826CA"/>
    <w:rsid w:val="006832FC"/>
    <w:rsid w:val="00683B3D"/>
    <w:rsid w:val="00684EB1"/>
    <w:rsid w:val="006923FB"/>
    <w:rsid w:val="0069322D"/>
    <w:rsid w:val="0069404A"/>
    <w:rsid w:val="00697797"/>
    <w:rsid w:val="006A1254"/>
    <w:rsid w:val="006A2547"/>
    <w:rsid w:val="006A4321"/>
    <w:rsid w:val="006A5BC6"/>
    <w:rsid w:val="006A630A"/>
    <w:rsid w:val="006A68E0"/>
    <w:rsid w:val="006B2EF7"/>
    <w:rsid w:val="006B3A16"/>
    <w:rsid w:val="006B6780"/>
    <w:rsid w:val="006C20E8"/>
    <w:rsid w:val="006C33FD"/>
    <w:rsid w:val="006C4674"/>
    <w:rsid w:val="006C46BC"/>
    <w:rsid w:val="006C59E9"/>
    <w:rsid w:val="006C5C83"/>
    <w:rsid w:val="006C6155"/>
    <w:rsid w:val="006C7421"/>
    <w:rsid w:val="006C7C36"/>
    <w:rsid w:val="006D16ED"/>
    <w:rsid w:val="006D18CC"/>
    <w:rsid w:val="006D220C"/>
    <w:rsid w:val="006D2F8D"/>
    <w:rsid w:val="006D467E"/>
    <w:rsid w:val="006D504D"/>
    <w:rsid w:val="006D5587"/>
    <w:rsid w:val="006D61B2"/>
    <w:rsid w:val="006E003E"/>
    <w:rsid w:val="006E0D27"/>
    <w:rsid w:val="006E36DF"/>
    <w:rsid w:val="006E37D1"/>
    <w:rsid w:val="006E3FD4"/>
    <w:rsid w:val="006E599D"/>
    <w:rsid w:val="006F0401"/>
    <w:rsid w:val="006F18E1"/>
    <w:rsid w:val="006F4E50"/>
    <w:rsid w:val="007016B8"/>
    <w:rsid w:val="00704259"/>
    <w:rsid w:val="0070446F"/>
    <w:rsid w:val="00706BFC"/>
    <w:rsid w:val="00707960"/>
    <w:rsid w:val="00711476"/>
    <w:rsid w:val="00713A1E"/>
    <w:rsid w:val="0071642B"/>
    <w:rsid w:val="00717595"/>
    <w:rsid w:val="007177DA"/>
    <w:rsid w:val="00720614"/>
    <w:rsid w:val="007217E9"/>
    <w:rsid w:val="00721B4A"/>
    <w:rsid w:val="0072255C"/>
    <w:rsid w:val="00724B0A"/>
    <w:rsid w:val="00726C3F"/>
    <w:rsid w:val="00727EC3"/>
    <w:rsid w:val="00732A70"/>
    <w:rsid w:val="007331B7"/>
    <w:rsid w:val="007341D8"/>
    <w:rsid w:val="007350F6"/>
    <w:rsid w:val="007351BA"/>
    <w:rsid w:val="007352C2"/>
    <w:rsid w:val="007362D1"/>
    <w:rsid w:val="00736602"/>
    <w:rsid w:val="00737282"/>
    <w:rsid w:val="00737D3B"/>
    <w:rsid w:val="00740403"/>
    <w:rsid w:val="00740EF1"/>
    <w:rsid w:val="00740FFB"/>
    <w:rsid w:val="0074106B"/>
    <w:rsid w:val="0074106C"/>
    <w:rsid w:val="00741920"/>
    <w:rsid w:val="007438EA"/>
    <w:rsid w:val="007440DF"/>
    <w:rsid w:val="00744DD8"/>
    <w:rsid w:val="00746506"/>
    <w:rsid w:val="00746CB3"/>
    <w:rsid w:val="00747DA2"/>
    <w:rsid w:val="007507E9"/>
    <w:rsid w:val="00750CA4"/>
    <w:rsid w:val="007520E4"/>
    <w:rsid w:val="007527FE"/>
    <w:rsid w:val="0075521D"/>
    <w:rsid w:val="0075594A"/>
    <w:rsid w:val="0075659F"/>
    <w:rsid w:val="00756BB9"/>
    <w:rsid w:val="00760FFA"/>
    <w:rsid w:val="007661C6"/>
    <w:rsid w:val="007667B5"/>
    <w:rsid w:val="00766C6C"/>
    <w:rsid w:val="00770B35"/>
    <w:rsid w:val="007716F7"/>
    <w:rsid w:val="007728EE"/>
    <w:rsid w:val="0078074B"/>
    <w:rsid w:val="007864C1"/>
    <w:rsid w:val="0078742E"/>
    <w:rsid w:val="00787B20"/>
    <w:rsid w:val="0079154C"/>
    <w:rsid w:val="00792F84"/>
    <w:rsid w:val="00793DD3"/>
    <w:rsid w:val="00794610"/>
    <w:rsid w:val="00795BB9"/>
    <w:rsid w:val="00796121"/>
    <w:rsid w:val="00796B79"/>
    <w:rsid w:val="00797EEB"/>
    <w:rsid w:val="007A0203"/>
    <w:rsid w:val="007A0A25"/>
    <w:rsid w:val="007A5E1E"/>
    <w:rsid w:val="007A79E5"/>
    <w:rsid w:val="007A7A11"/>
    <w:rsid w:val="007A7A26"/>
    <w:rsid w:val="007A7C98"/>
    <w:rsid w:val="007B05BE"/>
    <w:rsid w:val="007B1CA3"/>
    <w:rsid w:val="007B30EA"/>
    <w:rsid w:val="007B4C4C"/>
    <w:rsid w:val="007B5C49"/>
    <w:rsid w:val="007B6E47"/>
    <w:rsid w:val="007C178D"/>
    <w:rsid w:val="007C1CFE"/>
    <w:rsid w:val="007C3872"/>
    <w:rsid w:val="007C4B75"/>
    <w:rsid w:val="007C7CF6"/>
    <w:rsid w:val="007D0175"/>
    <w:rsid w:val="007D2665"/>
    <w:rsid w:val="007D26AB"/>
    <w:rsid w:val="007D2B09"/>
    <w:rsid w:val="007D3C55"/>
    <w:rsid w:val="007D77D5"/>
    <w:rsid w:val="007D7D26"/>
    <w:rsid w:val="007E2049"/>
    <w:rsid w:val="007E211E"/>
    <w:rsid w:val="007E23F6"/>
    <w:rsid w:val="007E4D83"/>
    <w:rsid w:val="007E653E"/>
    <w:rsid w:val="007E69C4"/>
    <w:rsid w:val="007E6E4E"/>
    <w:rsid w:val="007E7CE1"/>
    <w:rsid w:val="007F7EB3"/>
    <w:rsid w:val="00800380"/>
    <w:rsid w:val="0080386D"/>
    <w:rsid w:val="00803C8A"/>
    <w:rsid w:val="00804819"/>
    <w:rsid w:val="00804C26"/>
    <w:rsid w:val="00807007"/>
    <w:rsid w:val="00807DE3"/>
    <w:rsid w:val="00810A4A"/>
    <w:rsid w:val="00812719"/>
    <w:rsid w:val="00812D62"/>
    <w:rsid w:val="00814FFA"/>
    <w:rsid w:val="00817934"/>
    <w:rsid w:val="00817C0A"/>
    <w:rsid w:val="00823439"/>
    <w:rsid w:val="00830AFF"/>
    <w:rsid w:val="008331D6"/>
    <w:rsid w:val="00834661"/>
    <w:rsid w:val="008367A6"/>
    <w:rsid w:val="00840E6E"/>
    <w:rsid w:val="00842FD5"/>
    <w:rsid w:val="008433A3"/>
    <w:rsid w:val="0084428B"/>
    <w:rsid w:val="0084481A"/>
    <w:rsid w:val="0084487B"/>
    <w:rsid w:val="00844941"/>
    <w:rsid w:val="008465BB"/>
    <w:rsid w:val="00846975"/>
    <w:rsid w:val="00846F30"/>
    <w:rsid w:val="00850FE7"/>
    <w:rsid w:val="008510DF"/>
    <w:rsid w:val="00852104"/>
    <w:rsid w:val="00853ECA"/>
    <w:rsid w:val="00855171"/>
    <w:rsid w:val="00855EFE"/>
    <w:rsid w:val="00856941"/>
    <w:rsid w:val="008623A6"/>
    <w:rsid w:val="00865C63"/>
    <w:rsid w:val="00876451"/>
    <w:rsid w:val="00877761"/>
    <w:rsid w:val="00881583"/>
    <w:rsid w:val="00881DED"/>
    <w:rsid w:val="008825BE"/>
    <w:rsid w:val="00882E54"/>
    <w:rsid w:val="00885707"/>
    <w:rsid w:val="00885AC9"/>
    <w:rsid w:val="00887305"/>
    <w:rsid w:val="008911C3"/>
    <w:rsid w:val="00891544"/>
    <w:rsid w:val="00892C7E"/>
    <w:rsid w:val="00896426"/>
    <w:rsid w:val="008976E6"/>
    <w:rsid w:val="00897CF9"/>
    <w:rsid w:val="00897E45"/>
    <w:rsid w:val="008A14ED"/>
    <w:rsid w:val="008A2A95"/>
    <w:rsid w:val="008A35E1"/>
    <w:rsid w:val="008A3A05"/>
    <w:rsid w:val="008A451C"/>
    <w:rsid w:val="008A4BCB"/>
    <w:rsid w:val="008A4DFD"/>
    <w:rsid w:val="008A59FB"/>
    <w:rsid w:val="008A6A74"/>
    <w:rsid w:val="008A79D4"/>
    <w:rsid w:val="008B06DF"/>
    <w:rsid w:val="008B0FC6"/>
    <w:rsid w:val="008B3F0D"/>
    <w:rsid w:val="008C0839"/>
    <w:rsid w:val="008C17ED"/>
    <w:rsid w:val="008C2153"/>
    <w:rsid w:val="008D1456"/>
    <w:rsid w:val="008D1D2F"/>
    <w:rsid w:val="008D354A"/>
    <w:rsid w:val="008D3B83"/>
    <w:rsid w:val="008E2F32"/>
    <w:rsid w:val="008E34CA"/>
    <w:rsid w:val="008E37AC"/>
    <w:rsid w:val="008F1C1F"/>
    <w:rsid w:val="008F2067"/>
    <w:rsid w:val="008F2099"/>
    <w:rsid w:val="008F2826"/>
    <w:rsid w:val="00900176"/>
    <w:rsid w:val="009070D7"/>
    <w:rsid w:val="00907FE0"/>
    <w:rsid w:val="009123C1"/>
    <w:rsid w:val="009123D0"/>
    <w:rsid w:val="009131F2"/>
    <w:rsid w:val="00913FCF"/>
    <w:rsid w:val="00914FBB"/>
    <w:rsid w:val="00920084"/>
    <w:rsid w:val="0092160C"/>
    <w:rsid w:val="009223F5"/>
    <w:rsid w:val="00922D38"/>
    <w:rsid w:val="00923386"/>
    <w:rsid w:val="009241C6"/>
    <w:rsid w:val="0092480C"/>
    <w:rsid w:val="00924E6D"/>
    <w:rsid w:val="00925BC7"/>
    <w:rsid w:val="00925D6E"/>
    <w:rsid w:val="00926D5A"/>
    <w:rsid w:val="00930E6D"/>
    <w:rsid w:val="00931B13"/>
    <w:rsid w:val="00932245"/>
    <w:rsid w:val="009338C8"/>
    <w:rsid w:val="00937384"/>
    <w:rsid w:val="00940B67"/>
    <w:rsid w:val="00943472"/>
    <w:rsid w:val="00944A77"/>
    <w:rsid w:val="0095058B"/>
    <w:rsid w:val="00950A8E"/>
    <w:rsid w:val="0095710E"/>
    <w:rsid w:val="00957C62"/>
    <w:rsid w:val="00957F14"/>
    <w:rsid w:val="0096136B"/>
    <w:rsid w:val="00963422"/>
    <w:rsid w:val="00964353"/>
    <w:rsid w:val="009728D2"/>
    <w:rsid w:val="00973B95"/>
    <w:rsid w:val="009742AA"/>
    <w:rsid w:val="00974EB2"/>
    <w:rsid w:val="00976DA0"/>
    <w:rsid w:val="00980B72"/>
    <w:rsid w:val="00983B33"/>
    <w:rsid w:val="009860DE"/>
    <w:rsid w:val="00986B5C"/>
    <w:rsid w:val="00986EF8"/>
    <w:rsid w:val="00992D4D"/>
    <w:rsid w:val="0099488F"/>
    <w:rsid w:val="00997F37"/>
    <w:rsid w:val="009A1BC1"/>
    <w:rsid w:val="009A25EF"/>
    <w:rsid w:val="009A2EEF"/>
    <w:rsid w:val="009A519B"/>
    <w:rsid w:val="009A661D"/>
    <w:rsid w:val="009A6BA6"/>
    <w:rsid w:val="009B1ACD"/>
    <w:rsid w:val="009B1BC7"/>
    <w:rsid w:val="009B2AE5"/>
    <w:rsid w:val="009B2BC5"/>
    <w:rsid w:val="009B3BFE"/>
    <w:rsid w:val="009B4DB5"/>
    <w:rsid w:val="009B4E9B"/>
    <w:rsid w:val="009B662F"/>
    <w:rsid w:val="009B7114"/>
    <w:rsid w:val="009C0B8D"/>
    <w:rsid w:val="009C2904"/>
    <w:rsid w:val="009C5053"/>
    <w:rsid w:val="009C6FD5"/>
    <w:rsid w:val="009C7507"/>
    <w:rsid w:val="009D1C02"/>
    <w:rsid w:val="009D2436"/>
    <w:rsid w:val="009D4AAF"/>
    <w:rsid w:val="009E0B17"/>
    <w:rsid w:val="009E2FA3"/>
    <w:rsid w:val="009E376B"/>
    <w:rsid w:val="009E45B8"/>
    <w:rsid w:val="009F2F54"/>
    <w:rsid w:val="00A0033E"/>
    <w:rsid w:val="00A00383"/>
    <w:rsid w:val="00A01F33"/>
    <w:rsid w:val="00A020B8"/>
    <w:rsid w:val="00A02DBB"/>
    <w:rsid w:val="00A03C33"/>
    <w:rsid w:val="00A046AC"/>
    <w:rsid w:val="00A04877"/>
    <w:rsid w:val="00A054AA"/>
    <w:rsid w:val="00A0625C"/>
    <w:rsid w:val="00A0647E"/>
    <w:rsid w:val="00A10369"/>
    <w:rsid w:val="00A10979"/>
    <w:rsid w:val="00A11F63"/>
    <w:rsid w:val="00A127B2"/>
    <w:rsid w:val="00A13160"/>
    <w:rsid w:val="00A131C4"/>
    <w:rsid w:val="00A15B2A"/>
    <w:rsid w:val="00A16025"/>
    <w:rsid w:val="00A16AF4"/>
    <w:rsid w:val="00A176F4"/>
    <w:rsid w:val="00A242EF"/>
    <w:rsid w:val="00A24543"/>
    <w:rsid w:val="00A2626F"/>
    <w:rsid w:val="00A26D8C"/>
    <w:rsid w:val="00A26E4C"/>
    <w:rsid w:val="00A30B9C"/>
    <w:rsid w:val="00A32A41"/>
    <w:rsid w:val="00A32E51"/>
    <w:rsid w:val="00A40007"/>
    <w:rsid w:val="00A4053D"/>
    <w:rsid w:val="00A4132F"/>
    <w:rsid w:val="00A4263E"/>
    <w:rsid w:val="00A4322D"/>
    <w:rsid w:val="00A43B2A"/>
    <w:rsid w:val="00A44DBE"/>
    <w:rsid w:val="00A453CC"/>
    <w:rsid w:val="00A5007E"/>
    <w:rsid w:val="00A544A1"/>
    <w:rsid w:val="00A54543"/>
    <w:rsid w:val="00A54B05"/>
    <w:rsid w:val="00A56347"/>
    <w:rsid w:val="00A6033E"/>
    <w:rsid w:val="00A614F2"/>
    <w:rsid w:val="00A63CB3"/>
    <w:rsid w:val="00A67B4E"/>
    <w:rsid w:val="00A70625"/>
    <w:rsid w:val="00A7592B"/>
    <w:rsid w:val="00A768CB"/>
    <w:rsid w:val="00A77FEF"/>
    <w:rsid w:val="00A80F97"/>
    <w:rsid w:val="00A836E7"/>
    <w:rsid w:val="00A84C0F"/>
    <w:rsid w:val="00A85757"/>
    <w:rsid w:val="00A877CB"/>
    <w:rsid w:val="00A90F66"/>
    <w:rsid w:val="00A940D7"/>
    <w:rsid w:val="00A9751C"/>
    <w:rsid w:val="00A97707"/>
    <w:rsid w:val="00AA074F"/>
    <w:rsid w:val="00AA168D"/>
    <w:rsid w:val="00AA31DA"/>
    <w:rsid w:val="00AB2039"/>
    <w:rsid w:val="00AB2835"/>
    <w:rsid w:val="00AB2E8E"/>
    <w:rsid w:val="00AB3F4A"/>
    <w:rsid w:val="00AB415C"/>
    <w:rsid w:val="00AB634A"/>
    <w:rsid w:val="00AB68C9"/>
    <w:rsid w:val="00AC17DD"/>
    <w:rsid w:val="00AC1AF1"/>
    <w:rsid w:val="00AC377C"/>
    <w:rsid w:val="00AC3BF1"/>
    <w:rsid w:val="00AC5548"/>
    <w:rsid w:val="00AC64D4"/>
    <w:rsid w:val="00AC652C"/>
    <w:rsid w:val="00AC7652"/>
    <w:rsid w:val="00AC7CE3"/>
    <w:rsid w:val="00AD0572"/>
    <w:rsid w:val="00AD071B"/>
    <w:rsid w:val="00AD090E"/>
    <w:rsid w:val="00AD6889"/>
    <w:rsid w:val="00AD6E85"/>
    <w:rsid w:val="00AD7667"/>
    <w:rsid w:val="00AE2E78"/>
    <w:rsid w:val="00AE3EEA"/>
    <w:rsid w:val="00AF3841"/>
    <w:rsid w:val="00AF5511"/>
    <w:rsid w:val="00AF555E"/>
    <w:rsid w:val="00AF5DE1"/>
    <w:rsid w:val="00B00276"/>
    <w:rsid w:val="00B02556"/>
    <w:rsid w:val="00B04163"/>
    <w:rsid w:val="00B0556D"/>
    <w:rsid w:val="00B05E85"/>
    <w:rsid w:val="00B10D39"/>
    <w:rsid w:val="00B111D2"/>
    <w:rsid w:val="00B17A29"/>
    <w:rsid w:val="00B17B4D"/>
    <w:rsid w:val="00B203AA"/>
    <w:rsid w:val="00B22AC6"/>
    <w:rsid w:val="00B23D34"/>
    <w:rsid w:val="00B25C2E"/>
    <w:rsid w:val="00B30F8F"/>
    <w:rsid w:val="00B3432D"/>
    <w:rsid w:val="00B34E89"/>
    <w:rsid w:val="00B4483C"/>
    <w:rsid w:val="00B475EB"/>
    <w:rsid w:val="00B47783"/>
    <w:rsid w:val="00B50754"/>
    <w:rsid w:val="00B51F2E"/>
    <w:rsid w:val="00B54F4A"/>
    <w:rsid w:val="00B61B10"/>
    <w:rsid w:val="00B62C90"/>
    <w:rsid w:val="00B62DEA"/>
    <w:rsid w:val="00B636B7"/>
    <w:rsid w:val="00B64221"/>
    <w:rsid w:val="00B673C3"/>
    <w:rsid w:val="00B71C18"/>
    <w:rsid w:val="00B763B8"/>
    <w:rsid w:val="00B779BD"/>
    <w:rsid w:val="00B80349"/>
    <w:rsid w:val="00B80B9E"/>
    <w:rsid w:val="00B81E77"/>
    <w:rsid w:val="00B825B8"/>
    <w:rsid w:val="00B82892"/>
    <w:rsid w:val="00B84373"/>
    <w:rsid w:val="00B85CD0"/>
    <w:rsid w:val="00B85E2F"/>
    <w:rsid w:val="00B862F7"/>
    <w:rsid w:val="00B870CB"/>
    <w:rsid w:val="00B87539"/>
    <w:rsid w:val="00B879D2"/>
    <w:rsid w:val="00B90927"/>
    <w:rsid w:val="00B912BF"/>
    <w:rsid w:val="00B92DB2"/>
    <w:rsid w:val="00B94102"/>
    <w:rsid w:val="00B9464D"/>
    <w:rsid w:val="00B95254"/>
    <w:rsid w:val="00B95A35"/>
    <w:rsid w:val="00B9782D"/>
    <w:rsid w:val="00B97903"/>
    <w:rsid w:val="00B97D28"/>
    <w:rsid w:val="00BA0192"/>
    <w:rsid w:val="00BA1D66"/>
    <w:rsid w:val="00BA477E"/>
    <w:rsid w:val="00BA75E3"/>
    <w:rsid w:val="00BB096C"/>
    <w:rsid w:val="00BB0CA5"/>
    <w:rsid w:val="00BB0FEB"/>
    <w:rsid w:val="00BB1824"/>
    <w:rsid w:val="00BB3D72"/>
    <w:rsid w:val="00BC0169"/>
    <w:rsid w:val="00BC2823"/>
    <w:rsid w:val="00BC3656"/>
    <w:rsid w:val="00BC3F7E"/>
    <w:rsid w:val="00BC4DBD"/>
    <w:rsid w:val="00BC5AA1"/>
    <w:rsid w:val="00BC5DD1"/>
    <w:rsid w:val="00BD0229"/>
    <w:rsid w:val="00BD2189"/>
    <w:rsid w:val="00BD3765"/>
    <w:rsid w:val="00BD63B3"/>
    <w:rsid w:val="00BD75A3"/>
    <w:rsid w:val="00BE2F61"/>
    <w:rsid w:val="00BE4AC1"/>
    <w:rsid w:val="00BE4B15"/>
    <w:rsid w:val="00BE6543"/>
    <w:rsid w:val="00BE7865"/>
    <w:rsid w:val="00BF0B08"/>
    <w:rsid w:val="00BF3B4E"/>
    <w:rsid w:val="00BF4468"/>
    <w:rsid w:val="00BF51DB"/>
    <w:rsid w:val="00BF52BE"/>
    <w:rsid w:val="00BF5B80"/>
    <w:rsid w:val="00C00932"/>
    <w:rsid w:val="00C0158C"/>
    <w:rsid w:val="00C0199E"/>
    <w:rsid w:val="00C020CA"/>
    <w:rsid w:val="00C0547A"/>
    <w:rsid w:val="00C14ED6"/>
    <w:rsid w:val="00C15DB6"/>
    <w:rsid w:val="00C173A8"/>
    <w:rsid w:val="00C214F5"/>
    <w:rsid w:val="00C21DD1"/>
    <w:rsid w:val="00C25317"/>
    <w:rsid w:val="00C2546C"/>
    <w:rsid w:val="00C257E3"/>
    <w:rsid w:val="00C2589E"/>
    <w:rsid w:val="00C2637F"/>
    <w:rsid w:val="00C2684F"/>
    <w:rsid w:val="00C27F66"/>
    <w:rsid w:val="00C31838"/>
    <w:rsid w:val="00C3583E"/>
    <w:rsid w:val="00C36102"/>
    <w:rsid w:val="00C36440"/>
    <w:rsid w:val="00C3659C"/>
    <w:rsid w:val="00C36AF3"/>
    <w:rsid w:val="00C4101E"/>
    <w:rsid w:val="00C4400A"/>
    <w:rsid w:val="00C46D5E"/>
    <w:rsid w:val="00C474A2"/>
    <w:rsid w:val="00C47DB2"/>
    <w:rsid w:val="00C47FD5"/>
    <w:rsid w:val="00C50FAE"/>
    <w:rsid w:val="00C53A48"/>
    <w:rsid w:val="00C56607"/>
    <w:rsid w:val="00C5719B"/>
    <w:rsid w:val="00C60C31"/>
    <w:rsid w:val="00C6301F"/>
    <w:rsid w:val="00C632A1"/>
    <w:rsid w:val="00C63667"/>
    <w:rsid w:val="00C64BD1"/>
    <w:rsid w:val="00C66E70"/>
    <w:rsid w:val="00C67341"/>
    <w:rsid w:val="00C7058E"/>
    <w:rsid w:val="00C70813"/>
    <w:rsid w:val="00C713A4"/>
    <w:rsid w:val="00C734FF"/>
    <w:rsid w:val="00C754E1"/>
    <w:rsid w:val="00C807BC"/>
    <w:rsid w:val="00C80F69"/>
    <w:rsid w:val="00C84E2F"/>
    <w:rsid w:val="00C858C3"/>
    <w:rsid w:val="00C87EAF"/>
    <w:rsid w:val="00C9081A"/>
    <w:rsid w:val="00C918E8"/>
    <w:rsid w:val="00C92618"/>
    <w:rsid w:val="00C92AC9"/>
    <w:rsid w:val="00C948EC"/>
    <w:rsid w:val="00C965A7"/>
    <w:rsid w:val="00CA4C55"/>
    <w:rsid w:val="00CA72A1"/>
    <w:rsid w:val="00CB1876"/>
    <w:rsid w:val="00CB61C6"/>
    <w:rsid w:val="00CB753C"/>
    <w:rsid w:val="00CB7726"/>
    <w:rsid w:val="00CC0DCD"/>
    <w:rsid w:val="00CC1A21"/>
    <w:rsid w:val="00CC3324"/>
    <w:rsid w:val="00CC38AF"/>
    <w:rsid w:val="00CC3DBA"/>
    <w:rsid w:val="00CC3FFD"/>
    <w:rsid w:val="00CC4EA2"/>
    <w:rsid w:val="00CC565E"/>
    <w:rsid w:val="00CC5CDE"/>
    <w:rsid w:val="00CC6CE5"/>
    <w:rsid w:val="00CC741C"/>
    <w:rsid w:val="00CC758E"/>
    <w:rsid w:val="00CD333B"/>
    <w:rsid w:val="00CD4494"/>
    <w:rsid w:val="00CD6357"/>
    <w:rsid w:val="00CE0B5F"/>
    <w:rsid w:val="00CE4782"/>
    <w:rsid w:val="00CF08F2"/>
    <w:rsid w:val="00CF1367"/>
    <w:rsid w:val="00CF2A73"/>
    <w:rsid w:val="00CF4797"/>
    <w:rsid w:val="00CF54E0"/>
    <w:rsid w:val="00CF5D2B"/>
    <w:rsid w:val="00CF7929"/>
    <w:rsid w:val="00D016F5"/>
    <w:rsid w:val="00D0349E"/>
    <w:rsid w:val="00D040F1"/>
    <w:rsid w:val="00D048A9"/>
    <w:rsid w:val="00D067A5"/>
    <w:rsid w:val="00D12211"/>
    <w:rsid w:val="00D13D28"/>
    <w:rsid w:val="00D1430B"/>
    <w:rsid w:val="00D1567F"/>
    <w:rsid w:val="00D17FCA"/>
    <w:rsid w:val="00D24601"/>
    <w:rsid w:val="00D2497E"/>
    <w:rsid w:val="00D24A91"/>
    <w:rsid w:val="00D2593A"/>
    <w:rsid w:val="00D259CB"/>
    <w:rsid w:val="00D265F5"/>
    <w:rsid w:val="00D345B9"/>
    <w:rsid w:val="00D34EE9"/>
    <w:rsid w:val="00D364A3"/>
    <w:rsid w:val="00D37A97"/>
    <w:rsid w:val="00D41E61"/>
    <w:rsid w:val="00D432C5"/>
    <w:rsid w:val="00D438AA"/>
    <w:rsid w:val="00D44315"/>
    <w:rsid w:val="00D466C7"/>
    <w:rsid w:val="00D47099"/>
    <w:rsid w:val="00D477A0"/>
    <w:rsid w:val="00D51E12"/>
    <w:rsid w:val="00D54A38"/>
    <w:rsid w:val="00D5793F"/>
    <w:rsid w:val="00D57D10"/>
    <w:rsid w:val="00D604AA"/>
    <w:rsid w:val="00D625C0"/>
    <w:rsid w:val="00D629D1"/>
    <w:rsid w:val="00D6344D"/>
    <w:rsid w:val="00D65037"/>
    <w:rsid w:val="00D66F28"/>
    <w:rsid w:val="00D67069"/>
    <w:rsid w:val="00D71E5E"/>
    <w:rsid w:val="00D73352"/>
    <w:rsid w:val="00D7547E"/>
    <w:rsid w:val="00D759A9"/>
    <w:rsid w:val="00D759B8"/>
    <w:rsid w:val="00D75E6E"/>
    <w:rsid w:val="00D81AE8"/>
    <w:rsid w:val="00D821ED"/>
    <w:rsid w:val="00D82674"/>
    <w:rsid w:val="00D827CC"/>
    <w:rsid w:val="00D83A2D"/>
    <w:rsid w:val="00D86106"/>
    <w:rsid w:val="00D91047"/>
    <w:rsid w:val="00D91160"/>
    <w:rsid w:val="00D9241B"/>
    <w:rsid w:val="00D9266F"/>
    <w:rsid w:val="00D932A1"/>
    <w:rsid w:val="00D934DE"/>
    <w:rsid w:val="00DA00DF"/>
    <w:rsid w:val="00DA1E9E"/>
    <w:rsid w:val="00DA3096"/>
    <w:rsid w:val="00DA3FCB"/>
    <w:rsid w:val="00DA4F66"/>
    <w:rsid w:val="00DA5C06"/>
    <w:rsid w:val="00DB10CB"/>
    <w:rsid w:val="00DB2386"/>
    <w:rsid w:val="00DB3631"/>
    <w:rsid w:val="00DB4EC7"/>
    <w:rsid w:val="00DB5C13"/>
    <w:rsid w:val="00DB6A05"/>
    <w:rsid w:val="00DB74EC"/>
    <w:rsid w:val="00DB787D"/>
    <w:rsid w:val="00DB7DF3"/>
    <w:rsid w:val="00DC1C12"/>
    <w:rsid w:val="00DC2506"/>
    <w:rsid w:val="00DC3980"/>
    <w:rsid w:val="00DC4398"/>
    <w:rsid w:val="00DC5F53"/>
    <w:rsid w:val="00DC6D15"/>
    <w:rsid w:val="00DC6D9E"/>
    <w:rsid w:val="00DC79E3"/>
    <w:rsid w:val="00DD33D9"/>
    <w:rsid w:val="00DD3449"/>
    <w:rsid w:val="00DD3A18"/>
    <w:rsid w:val="00DD44F6"/>
    <w:rsid w:val="00DD786B"/>
    <w:rsid w:val="00DE2070"/>
    <w:rsid w:val="00DE2974"/>
    <w:rsid w:val="00DE2BF8"/>
    <w:rsid w:val="00DE6017"/>
    <w:rsid w:val="00DE6BE0"/>
    <w:rsid w:val="00DF0A96"/>
    <w:rsid w:val="00DF1BA9"/>
    <w:rsid w:val="00DF22C3"/>
    <w:rsid w:val="00DF2B8B"/>
    <w:rsid w:val="00DF57F9"/>
    <w:rsid w:val="00DF6241"/>
    <w:rsid w:val="00DF6AE1"/>
    <w:rsid w:val="00E017CF"/>
    <w:rsid w:val="00E01AB2"/>
    <w:rsid w:val="00E02FBE"/>
    <w:rsid w:val="00E068D5"/>
    <w:rsid w:val="00E06969"/>
    <w:rsid w:val="00E070A9"/>
    <w:rsid w:val="00E12C8E"/>
    <w:rsid w:val="00E13734"/>
    <w:rsid w:val="00E13A6D"/>
    <w:rsid w:val="00E15033"/>
    <w:rsid w:val="00E15BFE"/>
    <w:rsid w:val="00E15E58"/>
    <w:rsid w:val="00E1610B"/>
    <w:rsid w:val="00E179BE"/>
    <w:rsid w:val="00E25F1C"/>
    <w:rsid w:val="00E273EE"/>
    <w:rsid w:val="00E31CE2"/>
    <w:rsid w:val="00E332AA"/>
    <w:rsid w:val="00E345CE"/>
    <w:rsid w:val="00E4152B"/>
    <w:rsid w:val="00E4155C"/>
    <w:rsid w:val="00E42536"/>
    <w:rsid w:val="00E429E8"/>
    <w:rsid w:val="00E432AE"/>
    <w:rsid w:val="00E4733C"/>
    <w:rsid w:val="00E51E00"/>
    <w:rsid w:val="00E52DC3"/>
    <w:rsid w:val="00E5399F"/>
    <w:rsid w:val="00E555F6"/>
    <w:rsid w:val="00E556C1"/>
    <w:rsid w:val="00E56B63"/>
    <w:rsid w:val="00E57678"/>
    <w:rsid w:val="00E57F23"/>
    <w:rsid w:val="00E6000A"/>
    <w:rsid w:val="00E63E06"/>
    <w:rsid w:val="00E65013"/>
    <w:rsid w:val="00E65EC5"/>
    <w:rsid w:val="00E70E9D"/>
    <w:rsid w:val="00E73382"/>
    <w:rsid w:val="00E7516C"/>
    <w:rsid w:val="00E81A74"/>
    <w:rsid w:val="00E83D4B"/>
    <w:rsid w:val="00E83DB3"/>
    <w:rsid w:val="00E85005"/>
    <w:rsid w:val="00E85A08"/>
    <w:rsid w:val="00E863EB"/>
    <w:rsid w:val="00E86D4B"/>
    <w:rsid w:val="00E879B4"/>
    <w:rsid w:val="00E900E7"/>
    <w:rsid w:val="00E933E5"/>
    <w:rsid w:val="00E9566B"/>
    <w:rsid w:val="00E95C4F"/>
    <w:rsid w:val="00E966A5"/>
    <w:rsid w:val="00EA2D38"/>
    <w:rsid w:val="00EA65A7"/>
    <w:rsid w:val="00EA6C30"/>
    <w:rsid w:val="00EB0DA2"/>
    <w:rsid w:val="00EB14B5"/>
    <w:rsid w:val="00EB25E7"/>
    <w:rsid w:val="00EB5477"/>
    <w:rsid w:val="00EC0426"/>
    <w:rsid w:val="00EC366B"/>
    <w:rsid w:val="00EC4099"/>
    <w:rsid w:val="00EC4D3F"/>
    <w:rsid w:val="00EC6605"/>
    <w:rsid w:val="00EC77F1"/>
    <w:rsid w:val="00ED0233"/>
    <w:rsid w:val="00ED0301"/>
    <w:rsid w:val="00ED0484"/>
    <w:rsid w:val="00ED3474"/>
    <w:rsid w:val="00ED4F85"/>
    <w:rsid w:val="00ED6C81"/>
    <w:rsid w:val="00EE1EEF"/>
    <w:rsid w:val="00EE291F"/>
    <w:rsid w:val="00EE41C8"/>
    <w:rsid w:val="00EE5836"/>
    <w:rsid w:val="00EF0075"/>
    <w:rsid w:val="00EF0340"/>
    <w:rsid w:val="00EF0933"/>
    <w:rsid w:val="00EF1451"/>
    <w:rsid w:val="00EF4116"/>
    <w:rsid w:val="00EF4896"/>
    <w:rsid w:val="00F022C9"/>
    <w:rsid w:val="00F0302E"/>
    <w:rsid w:val="00F14C02"/>
    <w:rsid w:val="00F15086"/>
    <w:rsid w:val="00F150C0"/>
    <w:rsid w:val="00F15D78"/>
    <w:rsid w:val="00F16187"/>
    <w:rsid w:val="00F16521"/>
    <w:rsid w:val="00F17054"/>
    <w:rsid w:val="00F17131"/>
    <w:rsid w:val="00F17D71"/>
    <w:rsid w:val="00F20753"/>
    <w:rsid w:val="00F21628"/>
    <w:rsid w:val="00F21F7E"/>
    <w:rsid w:val="00F226B7"/>
    <w:rsid w:val="00F226F2"/>
    <w:rsid w:val="00F244DD"/>
    <w:rsid w:val="00F274C3"/>
    <w:rsid w:val="00F3371F"/>
    <w:rsid w:val="00F3735A"/>
    <w:rsid w:val="00F37383"/>
    <w:rsid w:val="00F41177"/>
    <w:rsid w:val="00F417C0"/>
    <w:rsid w:val="00F4244D"/>
    <w:rsid w:val="00F4368D"/>
    <w:rsid w:val="00F45B67"/>
    <w:rsid w:val="00F463A4"/>
    <w:rsid w:val="00F472EE"/>
    <w:rsid w:val="00F47355"/>
    <w:rsid w:val="00F526EA"/>
    <w:rsid w:val="00F53E40"/>
    <w:rsid w:val="00F6165C"/>
    <w:rsid w:val="00F618C4"/>
    <w:rsid w:val="00F629B9"/>
    <w:rsid w:val="00F64A36"/>
    <w:rsid w:val="00F65429"/>
    <w:rsid w:val="00F71CF2"/>
    <w:rsid w:val="00F74228"/>
    <w:rsid w:val="00F7428F"/>
    <w:rsid w:val="00F74F37"/>
    <w:rsid w:val="00F75B32"/>
    <w:rsid w:val="00F75BA7"/>
    <w:rsid w:val="00F8113C"/>
    <w:rsid w:val="00F821D4"/>
    <w:rsid w:val="00F82364"/>
    <w:rsid w:val="00F8492B"/>
    <w:rsid w:val="00F86267"/>
    <w:rsid w:val="00F87412"/>
    <w:rsid w:val="00F87674"/>
    <w:rsid w:val="00F90BB0"/>
    <w:rsid w:val="00F90D64"/>
    <w:rsid w:val="00F92241"/>
    <w:rsid w:val="00F931D2"/>
    <w:rsid w:val="00F93F39"/>
    <w:rsid w:val="00F957A6"/>
    <w:rsid w:val="00F9613F"/>
    <w:rsid w:val="00F96C8D"/>
    <w:rsid w:val="00FA0A7B"/>
    <w:rsid w:val="00FA2C76"/>
    <w:rsid w:val="00FA34E7"/>
    <w:rsid w:val="00FA3539"/>
    <w:rsid w:val="00FA6155"/>
    <w:rsid w:val="00FB4B26"/>
    <w:rsid w:val="00FB5219"/>
    <w:rsid w:val="00FB5806"/>
    <w:rsid w:val="00FB5BC9"/>
    <w:rsid w:val="00FB7E3E"/>
    <w:rsid w:val="00FB7EBB"/>
    <w:rsid w:val="00FC0A0C"/>
    <w:rsid w:val="00FC1630"/>
    <w:rsid w:val="00FC20F3"/>
    <w:rsid w:val="00FC22DD"/>
    <w:rsid w:val="00FC48A2"/>
    <w:rsid w:val="00FC514B"/>
    <w:rsid w:val="00FC6519"/>
    <w:rsid w:val="00FD1A26"/>
    <w:rsid w:val="00FD1A76"/>
    <w:rsid w:val="00FD20BD"/>
    <w:rsid w:val="00FD3C4E"/>
    <w:rsid w:val="00FD658E"/>
    <w:rsid w:val="00FD6B67"/>
    <w:rsid w:val="00FE00B2"/>
    <w:rsid w:val="00FE01EA"/>
    <w:rsid w:val="00FE0B36"/>
    <w:rsid w:val="00FE200D"/>
    <w:rsid w:val="00FE2CB5"/>
    <w:rsid w:val="00FE4C4E"/>
    <w:rsid w:val="00FE4D72"/>
    <w:rsid w:val="00FE5253"/>
    <w:rsid w:val="00FE7C6B"/>
    <w:rsid w:val="00FE7FFB"/>
    <w:rsid w:val="00FF057E"/>
    <w:rsid w:val="00FF0BFA"/>
    <w:rsid w:val="00FF53DB"/>
    <w:rsid w:val="00FF7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192F0"/>
  <w15:docId w15:val="{803C4F5B-33BD-4B7D-9CD5-E1F8DA2B4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aliases w:val="Szöveg_tbank"/>
    <w:qFormat/>
    <w:rsid w:val="00E70E9D"/>
    <w:pPr>
      <w:spacing w:after="200" w:line="276" w:lineRule="auto"/>
    </w:pPr>
    <w:rPr>
      <w:rFonts w:ascii="Century Gothic" w:hAnsi="Century Gothic" w:cstheme="minorHAnsi"/>
      <w:lang w:val="hu-HU"/>
    </w:rPr>
  </w:style>
  <w:style w:type="paragraph" w:styleId="Cmsor1">
    <w:name w:val="heading 1"/>
    <w:basedOn w:val="Norml"/>
    <w:next w:val="Norml"/>
    <w:link w:val="Cmsor1Char"/>
    <w:uiPriority w:val="9"/>
    <w:rsid w:val="00AB63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MegszolitasLOREMIPSUM">
    <w:name w:val="Megszolitas (LOREM IPSUM)"/>
    <w:basedOn w:val="Norml"/>
    <w:link w:val="MegszolitasLOREMIPSUMChar"/>
    <w:uiPriority w:val="99"/>
    <w:rsid w:val="00B0556D"/>
    <w:pPr>
      <w:autoSpaceDE w:val="0"/>
      <w:autoSpaceDN w:val="0"/>
      <w:adjustRightInd w:val="0"/>
      <w:spacing w:after="0" w:line="280" w:lineRule="atLeast"/>
      <w:textAlignment w:val="center"/>
    </w:pPr>
    <w:rPr>
      <w:rFonts w:ascii="Arial" w:hAnsi="Arial" w:cs="Arial"/>
      <w:b/>
      <w:bCs/>
      <w:color w:val="000000"/>
      <w:sz w:val="24"/>
      <w:szCs w:val="24"/>
      <w:lang w:val="en-GB"/>
    </w:rPr>
  </w:style>
  <w:style w:type="paragraph" w:customStyle="1" w:styleId="BasicParagraph">
    <w:name w:val="[Basic Paragraph]"/>
    <w:basedOn w:val="Norml"/>
    <w:uiPriority w:val="99"/>
    <w:rsid w:val="00B0556D"/>
    <w:pPr>
      <w:autoSpaceDE w:val="0"/>
      <w:autoSpaceDN w:val="0"/>
      <w:adjustRightInd w:val="0"/>
      <w:spacing w:after="0" w:line="288" w:lineRule="auto"/>
      <w:textAlignment w:val="center"/>
    </w:pPr>
    <w:rPr>
      <w:rFonts w:ascii="Minion Pro" w:hAnsi="Minion Pro" w:cs="Minion Pro"/>
      <w:color w:val="000000"/>
      <w:sz w:val="24"/>
      <w:szCs w:val="24"/>
      <w:lang w:val="en-GB"/>
    </w:rPr>
  </w:style>
  <w:style w:type="table" w:styleId="Rcsostblzat">
    <w:name w:val="Table Grid"/>
    <w:basedOn w:val="Normltblzat"/>
    <w:uiPriority w:val="59"/>
    <w:rsid w:val="00093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GNEV">
    <w:name w:val="CEGNEV"/>
    <w:basedOn w:val="Norml"/>
    <w:uiPriority w:val="99"/>
    <w:rsid w:val="000937CC"/>
    <w:pPr>
      <w:autoSpaceDE w:val="0"/>
      <w:autoSpaceDN w:val="0"/>
      <w:adjustRightInd w:val="0"/>
      <w:spacing w:after="0" w:line="180" w:lineRule="atLeast"/>
      <w:textAlignment w:val="center"/>
    </w:pPr>
    <w:rPr>
      <w:rFonts w:ascii="Arial" w:hAnsi="Arial" w:cs="Arial"/>
      <w:b/>
      <w:bCs/>
      <w:color w:val="1D428A"/>
      <w:sz w:val="16"/>
      <w:szCs w:val="16"/>
      <w:lang w:val="en-GB"/>
    </w:rPr>
  </w:style>
  <w:style w:type="paragraph" w:customStyle="1" w:styleId="CEGINFO">
    <w:name w:val="CEGINFO"/>
    <w:basedOn w:val="Norml"/>
    <w:uiPriority w:val="99"/>
    <w:rsid w:val="000937CC"/>
    <w:pPr>
      <w:autoSpaceDE w:val="0"/>
      <w:autoSpaceDN w:val="0"/>
      <w:adjustRightInd w:val="0"/>
      <w:spacing w:after="0" w:line="180" w:lineRule="atLeast"/>
      <w:textAlignment w:val="center"/>
    </w:pPr>
    <w:rPr>
      <w:rFonts w:ascii="Arial" w:hAnsi="Arial" w:cs="Arial"/>
      <w:color w:val="1D428A"/>
      <w:sz w:val="12"/>
      <w:szCs w:val="12"/>
      <w:lang w:val="en-GB"/>
    </w:rPr>
  </w:style>
  <w:style w:type="character" w:customStyle="1" w:styleId="Cmsor1Char">
    <w:name w:val="Címsor 1 Char"/>
    <w:basedOn w:val="Bekezdsalapbettpusa"/>
    <w:link w:val="Cmsor1"/>
    <w:uiPriority w:val="9"/>
    <w:rsid w:val="00AB634A"/>
    <w:rPr>
      <w:rFonts w:asciiTheme="majorHAnsi" w:eastAsiaTheme="majorEastAsia" w:hAnsiTheme="majorHAnsi" w:cstheme="majorBidi"/>
      <w:color w:val="2F5496" w:themeColor="accent1" w:themeShade="BF"/>
      <w:sz w:val="32"/>
      <w:szCs w:val="32"/>
    </w:rPr>
  </w:style>
  <w:style w:type="paragraph" w:styleId="Idzet">
    <w:name w:val="Quote"/>
    <w:basedOn w:val="Norml"/>
    <w:next w:val="Norml"/>
    <w:link w:val="IdzetChar"/>
    <w:uiPriority w:val="29"/>
    <w:rsid w:val="00AB634A"/>
    <w:pPr>
      <w:spacing w:before="200"/>
      <w:ind w:left="864" w:right="864"/>
      <w:jc w:val="center"/>
    </w:pPr>
    <w:rPr>
      <w:i/>
      <w:iCs/>
      <w:color w:val="404040" w:themeColor="text1" w:themeTint="BF"/>
    </w:rPr>
  </w:style>
  <w:style w:type="character" w:customStyle="1" w:styleId="IdzetChar">
    <w:name w:val="Idézet Char"/>
    <w:basedOn w:val="Bekezdsalapbettpusa"/>
    <w:link w:val="Idzet"/>
    <w:uiPriority w:val="29"/>
    <w:rsid w:val="00AB634A"/>
    <w:rPr>
      <w:i/>
      <w:iCs/>
      <w:color w:val="404040" w:themeColor="text1" w:themeTint="BF"/>
    </w:rPr>
  </w:style>
  <w:style w:type="paragraph" w:customStyle="1" w:styleId="MEGSZOLITAS">
    <w:name w:val="MEGSZOLITAS"/>
    <w:basedOn w:val="MegszolitasLOREMIPSUM"/>
    <w:link w:val="MEGSZOLITASChar"/>
    <w:rsid w:val="00AB634A"/>
  </w:style>
  <w:style w:type="paragraph" w:customStyle="1" w:styleId="KENYERSZOVEG">
    <w:name w:val="KENYERSZOVEG"/>
    <w:basedOn w:val="Norml"/>
    <w:link w:val="KENYERSZOVEGChar"/>
    <w:rsid w:val="00C15DB6"/>
    <w:pPr>
      <w:autoSpaceDE w:val="0"/>
      <w:autoSpaceDN w:val="0"/>
      <w:adjustRightInd w:val="0"/>
      <w:spacing w:after="0" w:line="320" w:lineRule="atLeast"/>
      <w:textAlignment w:val="center"/>
    </w:pPr>
    <w:rPr>
      <w:rFonts w:ascii="Arial" w:hAnsi="Arial" w:cs="Arial"/>
      <w:color w:val="000000"/>
      <w:sz w:val="20"/>
      <w:szCs w:val="20"/>
      <w:lang w:val="en-GB"/>
    </w:rPr>
  </w:style>
  <w:style w:type="character" w:customStyle="1" w:styleId="MegszolitasLOREMIPSUMChar">
    <w:name w:val="Megszolitas (LOREM IPSUM) Char"/>
    <w:basedOn w:val="Bekezdsalapbettpusa"/>
    <w:link w:val="MegszolitasLOREMIPSUM"/>
    <w:uiPriority w:val="99"/>
    <w:rsid w:val="00AB634A"/>
    <w:rPr>
      <w:rFonts w:ascii="Arial" w:hAnsi="Arial" w:cs="Arial"/>
      <w:b/>
      <w:bCs/>
      <w:color w:val="000000"/>
      <w:sz w:val="24"/>
      <w:szCs w:val="24"/>
      <w:lang w:val="en-GB"/>
    </w:rPr>
  </w:style>
  <w:style w:type="character" w:customStyle="1" w:styleId="MEGSZOLITASChar">
    <w:name w:val="MEGSZOLITAS Char"/>
    <w:basedOn w:val="MegszolitasLOREMIPSUMChar"/>
    <w:link w:val="MEGSZOLITAS"/>
    <w:rsid w:val="00AB634A"/>
    <w:rPr>
      <w:rFonts w:ascii="Arial" w:hAnsi="Arial" w:cs="Arial"/>
      <w:b/>
      <w:bCs/>
      <w:color w:val="000000"/>
      <w:sz w:val="24"/>
      <w:szCs w:val="24"/>
      <w:lang w:val="en-GB"/>
    </w:rPr>
  </w:style>
  <w:style w:type="character" w:customStyle="1" w:styleId="KENYERSZOVEGChar">
    <w:name w:val="KENYERSZOVEG Char"/>
    <w:basedOn w:val="Bekezdsalapbettpusa"/>
    <w:link w:val="KENYERSZOVEG"/>
    <w:rsid w:val="00C15DB6"/>
    <w:rPr>
      <w:rFonts w:ascii="Arial" w:hAnsi="Arial" w:cs="Arial"/>
      <w:color w:val="000000"/>
      <w:sz w:val="20"/>
      <w:szCs w:val="20"/>
      <w:lang w:val="en-GB"/>
    </w:rPr>
  </w:style>
  <w:style w:type="paragraph" w:styleId="lfej">
    <w:name w:val="header"/>
    <w:basedOn w:val="Norml"/>
    <w:link w:val="lfejChar"/>
    <w:uiPriority w:val="99"/>
    <w:unhideWhenUsed/>
    <w:rsid w:val="008B0FC6"/>
    <w:pPr>
      <w:tabs>
        <w:tab w:val="center" w:pos="4680"/>
        <w:tab w:val="right" w:pos="9360"/>
      </w:tabs>
      <w:spacing w:after="0" w:line="240" w:lineRule="auto"/>
    </w:pPr>
  </w:style>
  <w:style w:type="character" w:customStyle="1" w:styleId="lfejChar">
    <w:name w:val="Élőfej Char"/>
    <w:basedOn w:val="Bekezdsalapbettpusa"/>
    <w:link w:val="lfej"/>
    <w:uiPriority w:val="99"/>
    <w:rsid w:val="008B0FC6"/>
  </w:style>
  <w:style w:type="paragraph" w:styleId="llb">
    <w:name w:val="footer"/>
    <w:basedOn w:val="Norml"/>
    <w:link w:val="llbChar"/>
    <w:uiPriority w:val="99"/>
    <w:unhideWhenUsed/>
    <w:rsid w:val="008B0FC6"/>
    <w:pPr>
      <w:tabs>
        <w:tab w:val="center" w:pos="4680"/>
        <w:tab w:val="right" w:pos="9360"/>
      </w:tabs>
      <w:spacing w:after="0" w:line="240" w:lineRule="auto"/>
    </w:pPr>
  </w:style>
  <w:style w:type="character" w:customStyle="1" w:styleId="llbChar">
    <w:name w:val="Élőláb Char"/>
    <w:basedOn w:val="Bekezdsalapbettpusa"/>
    <w:link w:val="llb"/>
    <w:uiPriority w:val="99"/>
    <w:rsid w:val="008B0FC6"/>
  </w:style>
  <w:style w:type="character" w:styleId="Hiperhivatkozs">
    <w:name w:val="Hyperlink"/>
    <w:basedOn w:val="Bekezdsalapbettpusa"/>
    <w:uiPriority w:val="99"/>
    <w:unhideWhenUsed/>
    <w:rsid w:val="00E70E9D"/>
    <w:rPr>
      <w:color w:val="0563C1" w:themeColor="hyperlink"/>
      <w:u w:val="single"/>
    </w:rPr>
  </w:style>
  <w:style w:type="paragraph" w:styleId="Listaszerbekezds">
    <w:name w:val="List Paragraph"/>
    <w:basedOn w:val="Norml"/>
    <w:link w:val="ListaszerbekezdsChar"/>
    <w:uiPriority w:val="34"/>
    <w:rsid w:val="00E70E9D"/>
    <w:pPr>
      <w:ind w:left="720"/>
      <w:contextualSpacing/>
    </w:pPr>
  </w:style>
  <w:style w:type="paragraph" w:styleId="NormlWeb">
    <w:name w:val="Normal (Web)"/>
    <w:basedOn w:val="Norml"/>
    <w:uiPriority w:val="99"/>
    <w:semiHidden/>
    <w:unhideWhenUsed/>
    <w:rsid w:val="00E70E9D"/>
    <w:pPr>
      <w:spacing w:before="100" w:beforeAutospacing="1" w:after="100" w:afterAutospacing="1" w:line="240" w:lineRule="auto"/>
    </w:pPr>
    <w:rPr>
      <w:rFonts w:ascii="Times New Roman" w:eastAsiaTheme="minorEastAsia" w:hAnsi="Times New Roman" w:cs="Times New Roman"/>
      <w:sz w:val="24"/>
      <w:szCs w:val="24"/>
      <w:lang w:eastAsia="hu-HU"/>
    </w:rPr>
  </w:style>
  <w:style w:type="character" w:customStyle="1" w:styleId="ListaszerbekezdsChar">
    <w:name w:val="Listaszerű bekezdés Char"/>
    <w:basedOn w:val="Bekezdsalapbettpusa"/>
    <w:link w:val="Listaszerbekezds"/>
    <w:uiPriority w:val="34"/>
    <w:locked/>
    <w:rsid w:val="00E70E9D"/>
    <w:rPr>
      <w:rFonts w:ascii="Century Gothic" w:hAnsi="Century Gothic" w:cstheme="minorHAnsi"/>
      <w:lang w:val="hu-HU"/>
    </w:rPr>
  </w:style>
  <w:style w:type="paragraph" w:styleId="Buborkszveg">
    <w:name w:val="Balloon Text"/>
    <w:basedOn w:val="Norml"/>
    <w:link w:val="BuborkszvegChar"/>
    <w:uiPriority w:val="99"/>
    <w:semiHidden/>
    <w:unhideWhenUsed/>
    <w:rsid w:val="005C518C"/>
    <w:pPr>
      <w:spacing w:after="0" w:line="240" w:lineRule="auto"/>
    </w:pPr>
    <w:rPr>
      <w:rFonts w:ascii="Lucida Grande" w:eastAsiaTheme="minorEastAsia" w:hAnsi="Lucida Grande" w:cs="Lucida Grande"/>
      <w:sz w:val="18"/>
      <w:szCs w:val="18"/>
    </w:rPr>
  </w:style>
  <w:style w:type="character" w:customStyle="1" w:styleId="BuborkszvegChar">
    <w:name w:val="Buborékszöveg Char"/>
    <w:basedOn w:val="Bekezdsalapbettpusa"/>
    <w:link w:val="Buborkszveg"/>
    <w:uiPriority w:val="99"/>
    <w:semiHidden/>
    <w:rsid w:val="005C518C"/>
    <w:rPr>
      <w:rFonts w:ascii="Lucida Grande" w:eastAsiaTheme="minorEastAsia" w:hAnsi="Lucida Grande" w:cs="Lucida Grande"/>
      <w:sz w:val="18"/>
      <w:szCs w:val="18"/>
      <w:lang w:val="hu-HU"/>
    </w:rPr>
  </w:style>
  <w:style w:type="character" w:styleId="Oldalszm">
    <w:name w:val="page number"/>
    <w:basedOn w:val="Bekezdsalapbettpusa"/>
    <w:uiPriority w:val="99"/>
    <w:semiHidden/>
    <w:unhideWhenUsed/>
    <w:rsid w:val="005C518C"/>
  </w:style>
  <w:style w:type="paragraph" w:customStyle="1" w:styleId="Cmtbank">
    <w:name w:val="Cím_tbank"/>
    <w:basedOn w:val="Norml"/>
    <w:link w:val="CmtbankChar"/>
    <w:qFormat/>
    <w:rsid w:val="005C518C"/>
    <w:pPr>
      <w:spacing w:before="720" w:after="240"/>
      <w:jc w:val="both"/>
    </w:pPr>
    <w:rPr>
      <w:rFonts w:ascii="Arial" w:hAnsi="Arial" w:cs="Arial"/>
      <w:b/>
      <w:color w:val="1D428A"/>
      <w:sz w:val="24"/>
      <w:szCs w:val="24"/>
    </w:rPr>
  </w:style>
  <w:style w:type="paragraph" w:customStyle="1" w:styleId="Stlus2">
    <w:name w:val="Stílus2"/>
    <w:basedOn w:val="Norml"/>
    <w:link w:val="Stlus2Char"/>
    <w:rsid w:val="00FD6B67"/>
    <w:pPr>
      <w:spacing w:after="120"/>
      <w:jc w:val="both"/>
    </w:pPr>
    <w:rPr>
      <w:rFonts w:ascii="Arial" w:hAnsi="Arial" w:cs="Arial"/>
      <w:b/>
      <w:iCs/>
      <w:color w:val="1D428A"/>
    </w:rPr>
  </w:style>
  <w:style w:type="character" w:customStyle="1" w:styleId="CmtbankChar">
    <w:name w:val="Cím_tbank Char"/>
    <w:basedOn w:val="Bekezdsalapbettpusa"/>
    <w:link w:val="Cmtbank"/>
    <w:rsid w:val="005C518C"/>
    <w:rPr>
      <w:rFonts w:ascii="Arial" w:hAnsi="Arial" w:cs="Arial"/>
      <w:b/>
      <w:color w:val="1D428A"/>
      <w:sz w:val="24"/>
      <w:szCs w:val="24"/>
      <w:lang w:val="hu-HU"/>
    </w:rPr>
  </w:style>
  <w:style w:type="paragraph" w:customStyle="1" w:styleId="Stlus3">
    <w:name w:val="Stílus3"/>
    <w:basedOn w:val="Norml"/>
    <w:next w:val="Stlus2"/>
    <w:link w:val="Stlus3Char"/>
    <w:rsid w:val="00A4053D"/>
    <w:rPr>
      <w:rFonts w:ascii="Arial" w:hAnsi="Arial" w:cs="Arial"/>
      <w:color w:val="FF8200"/>
    </w:rPr>
  </w:style>
  <w:style w:type="character" w:customStyle="1" w:styleId="Stlus2Char">
    <w:name w:val="Stílus2 Char"/>
    <w:basedOn w:val="Bekezdsalapbettpusa"/>
    <w:link w:val="Stlus2"/>
    <w:rsid w:val="00FD6B67"/>
    <w:rPr>
      <w:rFonts w:ascii="Arial" w:hAnsi="Arial" w:cs="Arial"/>
      <w:b/>
      <w:iCs/>
      <w:color w:val="1D428A"/>
      <w:lang w:val="hu-HU"/>
    </w:rPr>
  </w:style>
  <w:style w:type="character" w:customStyle="1" w:styleId="Stlus3Char">
    <w:name w:val="Stílus3 Char"/>
    <w:basedOn w:val="Bekezdsalapbettpusa"/>
    <w:link w:val="Stlus3"/>
    <w:rsid w:val="00A4053D"/>
    <w:rPr>
      <w:rFonts w:ascii="Arial" w:hAnsi="Arial" w:cs="Arial"/>
      <w:color w:val="FF8200"/>
      <w:lang w:val="hu-HU"/>
    </w:rPr>
  </w:style>
  <w:style w:type="paragraph" w:customStyle="1" w:styleId="Alcmtbank">
    <w:name w:val="Alcím_tbank"/>
    <w:basedOn w:val="Stlus3"/>
    <w:link w:val="AlcmtbankChar"/>
    <w:qFormat/>
    <w:rsid w:val="00316464"/>
    <w:rPr>
      <w:color w:val="1D428A"/>
    </w:rPr>
  </w:style>
  <w:style w:type="paragraph" w:customStyle="1" w:styleId="Kpalrstbank">
    <w:name w:val="Képaláírás_tbank"/>
    <w:basedOn w:val="Norml"/>
    <w:qFormat/>
    <w:rsid w:val="00316464"/>
    <w:pPr>
      <w:spacing w:after="120"/>
      <w:jc w:val="center"/>
    </w:pPr>
    <w:rPr>
      <w:rFonts w:ascii="Arial" w:hAnsi="Arial" w:cs="Arial"/>
      <w:i/>
      <w:color w:val="FF8500"/>
      <w:sz w:val="16"/>
      <w:szCs w:val="16"/>
    </w:rPr>
  </w:style>
  <w:style w:type="character" w:customStyle="1" w:styleId="AlcmtbankChar">
    <w:name w:val="Alcím_tbank Char"/>
    <w:basedOn w:val="Stlus3Char"/>
    <w:link w:val="Alcmtbank"/>
    <w:rsid w:val="00316464"/>
    <w:rPr>
      <w:rFonts w:ascii="Arial" w:hAnsi="Arial" w:cs="Arial"/>
      <w:color w:val="1D428A"/>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9825825">
      <w:bodyDiv w:val="1"/>
      <w:marLeft w:val="0"/>
      <w:marRight w:val="0"/>
      <w:marTop w:val="0"/>
      <w:marBottom w:val="0"/>
      <w:divBdr>
        <w:top w:val="none" w:sz="0" w:space="0" w:color="auto"/>
        <w:left w:val="none" w:sz="0" w:space="0" w:color="auto"/>
        <w:bottom w:val="none" w:sz="0" w:space="0" w:color="auto"/>
        <w:right w:val="none" w:sz="0" w:space="0" w:color="auto"/>
      </w:divBdr>
      <w:divsChild>
        <w:div w:id="16741426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chart" Target="charts/chart4.xml"/><Relationship Id="rId63" Type="http://schemas.openxmlformats.org/officeDocument/2006/relationships/chart" Target="charts/chart12.xm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chart" Target="charts/chart2.xml"/><Relationship Id="rId58" Type="http://schemas.openxmlformats.org/officeDocument/2006/relationships/chart" Target="charts/chart7.xml"/><Relationship Id="rId66"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chart" Target="charts/chart6.xml"/><Relationship Id="rId61" Type="http://schemas.openxmlformats.org/officeDocument/2006/relationships/chart" Target="charts/chart10.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chart" Target="charts/chart1.xml"/><Relationship Id="rId60" Type="http://schemas.openxmlformats.org/officeDocument/2006/relationships/chart" Target="charts/chart9.xml"/><Relationship Id="rId65"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chart" Target="charts/chart5.xml"/><Relationship Id="rId64" Type="http://schemas.openxmlformats.org/officeDocument/2006/relationships/chart" Target="charts/chart13.xml"/><Relationship Id="rId69"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image" Target="media/image45.emf"/><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chart" Target="charts/chart8.xml"/><Relationship Id="rId67" Type="http://schemas.openxmlformats.org/officeDocument/2006/relationships/chart" Target="charts/chart16.xml"/><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chart" Target="charts/chart3.xml"/><Relationship Id="rId62" Type="http://schemas.openxmlformats.org/officeDocument/2006/relationships/chart" Target="charts/chart11.xm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8.jpg"/><Relationship Id="rId2" Type="http://schemas.openxmlformats.org/officeDocument/2006/relationships/image" Target="media/image47.svg"/><Relationship Id="rId1" Type="http://schemas.openxmlformats.org/officeDocument/2006/relationships/image" Target="media/image46.png"/><Relationship Id="rId4" Type="http://schemas.openxmlformats.org/officeDocument/2006/relationships/image" Target="media/image4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b-file1\kozos\Elemzcs\Riportok\EFB\EFB3.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b-file1\kozos\Elemzcs\Riportok\EFB\EFB3.xlsm"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1" Type="http://schemas.openxmlformats.org/officeDocument/2006/relationships/oleObject" Target="file:///\\b-file1\kozos\Elemzcs\Riportok\EFB\EFB3.xlsm"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1" Type="http://schemas.openxmlformats.org/officeDocument/2006/relationships/oleObject" Target="file:///\\b-file1\kozos\Elemzcs\Riportok\EFB\EFB3.xlsm"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b-file1\kozos\Elemzcs\Riportok\EFB\EFB3.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b-file1\kozos\Elemzcs\Riportok\EFB\EFB3.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b-file1\kozos\Elemzcs\Riportok\EFB\EFB3.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b-file1\kozos\Elemzcs\Riportok\EFB\EFB3.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b-file1\kozos\Elemzcs\Riportok\EFB\EFB3.xlsm"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oleObject" Target="file:///\\b-file1\kozos\Elemzcs\Riportok\Reggeli_riport\RegRip.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b-file1\kozos\Elemzcs\Riportok\Reggeli_riport\RegRip.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b-file1\kozos\Elemzcs\Riportok\Reggeli_riport\RegRip.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999035283539817E-2"/>
          <c:y val="6.842146523799221E-2"/>
          <c:w val="0.84940316358024692"/>
          <c:h val="0.82046618357487922"/>
        </c:manualLayout>
      </c:layout>
      <c:lineChart>
        <c:grouping val="standard"/>
        <c:varyColors val="0"/>
        <c:ser>
          <c:idx val="0"/>
          <c:order val="0"/>
          <c:tx>
            <c:strRef>
              <c:f>Állandó_ábrák!$B$5</c:f>
              <c:strCache>
                <c:ptCount val="1"/>
                <c:pt idx="0">
                  <c:v>szpot</c:v>
                </c:pt>
              </c:strCache>
            </c:strRef>
          </c:tx>
          <c:spPr>
            <a:ln w="25400">
              <a:solidFill>
                <a:srgbClr val="005A96"/>
              </a:solidFill>
              <a:prstDash val="solid"/>
            </a:ln>
          </c:spPr>
          <c:marker>
            <c:symbol val="none"/>
          </c:marker>
          <c:cat>
            <c:numRef>
              <c:f>BB!$A$1:$A$367</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BB!$F$1:$F$367</c:f>
              <c:numCache>
                <c:formatCode>0.0000</c:formatCode>
                <c:ptCount val="367"/>
                <c:pt idx="0">
                  <c:v>1.2206999999999999</c:v>
                </c:pt>
                <c:pt idx="1">
                  <c:v>1.2157</c:v>
                </c:pt>
                <c:pt idx="2">
                  <c:v>1.2155</c:v>
                </c:pt>
                <c:pt idx="3">
                  <c:v>1.2081999999999999</c:v>
                </c:pt>
                <c:pt idx="4">
                  <c:v>1.2081999999999999</c:v>
                </c:pt>
                <c:pt idx="5">
                  <c:v>1.2081999999999999</c:v>
                </c:pt>
                <c:pt idx="6">
                  <c:v>1.2077</c:v>
                </c:pt>
                <c:pt idx="7">
                  <c:v>1.2129000000000001</c:v>
                </c:pt>
                <c:pt idx="8">
                  <c:v>1.2105999999999999</c:v>
                </c:pt>
                <c:pt idx="9">
                  <c:v>1.2163999999999999</c:v>
                </c:pt>
                <c:pt idx="10">
                  <c:v>1.2171000000000001</c:v>
                </c:pt>
                <c:pt idx="11">
                  <c:v>1.2171000000000001</c:v>
                </c:pt>
                <c:pt idx="12">
                  <c:v>1.2171000000000001</c:v>
                </c:pt>
                <c:pt idx="13">
                  <c:v>1.2139</c:v>
                </c:pt>
                <c:pt idx="14">
                  <c:v>1.216</c:v>
                </c:pt>
                <c:pt idx="15">
                  <c:v>1.2111000000000001</c:v>
                </c:pt>
                <c:pt idx="16">
                  <c:v>1.2121999999999999</c:v>
                </c:pt>
                <c:pt idx="17">
                  <c:v>1.2136</c:v>
                </c:pt>
                <c:pt idx="18">
                  <c:v>1.2136</c:v>
                </c:pt>
                <c:pt idx="19">
                  <c:v>1.2136</c:v>
                </c:pt>
                <c:pt idx="20">
                  <c:v>1.206</c:v>
                </c:pt>
                <c:pt idx="21">
                  <c:v>1.2043999999999999</c:v>
                </c:pt>
                <c:pt idx="22">
                  <c:v>1.2036</c:v>
                </c:pt>
                <c:pt idx="23">
                  <c:v>1.1963999999999999</c:v>
                </c:pt>
                <c:pt idx="24">
                  <c:v>1.2045999999999999</c:v>
                </c:pt>
                <c:pt idx="25">
                  <c:v>1.2045999999999999</c:v>
                </c:pt>
                <c:pt idx="26">
                  <c:v>1.2045999999999999</c:v>
                </c:pt>
                <c:pt idx="27">
                  <c:v>1.2050000000000001</c:v>
                </c:pt>
                <c:pt idx="28">
                  <c:v>1.2119</c:v>
                </c:pt>
                <c:pt idx="29">
                  <c:v>1.2118</c:v>
                </c:pt>
                <c:pt idx="30">
                  <c:v>1.2130000000000001</c:v>
                </c:pt>
                <c:pt idx="31">
                  <c:v>1.212</c:v>
                </c:pt>
                <c:pt idx="32">
                  <c:v>1.212</c:v>
                </c:pt>
                <c:pt idx="33">
                  <c:v>1.212</c:v>
                </c:pt>
                <c:pt idx="34">
                  <c:v>1.2129000000000001</c:v>
                </c:pt>
                <c:pt idx="35">
                  <c:v>1.2105999999999999</c:v>
                </c:pt>
                <c:pt idx="36">
                  <c:v>1.2038</c:v>
                </c:pt>
                <c:pt idx="37">
                  <c:v>1.2092000000000001</c:v>
                </c:pt>
                <c:pt idx="38">
                  <c:v>1.2119</c:v>
                </c:pt>
                <c:pt idx="39">
                  <c:v>1.2119</c:v>
                </c:pt>
                <c:pt idx="40">
                  <c:v>1.2119</c:v>
                </c:pt>
                <c:pt idx="41">
                  <c:v>1.2157</c:v>
                </c:pt>
                <c:pt idx="42">
                  <c:v>1.2150000000000001</c:v>
                </c:pt>
                <c:pt idx="43">
                  <c:v>1.2165999999999999</c:v>
                </c:pt>
                <c:pt idx="44">
                  <c:v>1.2175</c:v>
                </c:pt>
                <c:pt idx="45">
                  <c:v>1.2075</c:v>
                </c:pt>
                <c:pt idx="46">
                  <c:v>1.2075</c:v>
                </c:pt>
                <c:pt idx="47">
                  <c:v>1.2075</c:v>
                </c:pt>
                <c:pt idx="48">
                  <c:v>1.2049000000000001</c:v>
                </c:pt>
                <c:pt idx="49">
                  <c:v>1.2091000000000001</c:v>
                </c:pt>
                <c:pt idx="50">
                  <c:v>1.2062999999999999</c:v>
                </c:pt>
                <c:pt idx="51">
                  <c:v>1.1969000000000001</c:v>
                </c:pt>
                <c:pt idx="52">
                  <c:v>1.1915</c:v>
                </c:pt>
                <c:pt idx="53">
                  <c:v>1.1915</c:v>
                </c:pt>
                <c:pt idx="54">
                  <c:v>1.1915</c:v>
                </c:pt>
                <c:pt idx="55">
                  <c:v>1.1847000000000001</c:v>
                </c:pt>
                <c:pt idx="56">
                  <c:v>1.1900999999999999</c:v>
                </c:pt>
                <c:pt idx="57">
                  <c:v>1.1929000000000001</c:v>
                </c:pt>
                <c:pt idx="58">
                  <c:v>1.1986000000000001</c:v>
                </c:pt>
                <c:pt idx="59">
                  <c:v>1.1953</c:v>
                </c:pt>
                <c:pt idx="60">
                  <c:v>1.1953</c:v>
                </c:pt>
                <c:pt idx="61">
                  <c:v>1.1953</c:v>
                </c:pt>
                <c:pt idx="62">
                  <c:v>1.1929000000000001</c:v>
                </c:pt>
                <c:pt idx="63">
                  <c:v>1.1902999999999999</c:v>
                </c:pt>
                <c:pt idx="64">
                  <c:v>1.1979</c:v>
                </c:pt>
                <c:pt idx="65">
                  <c:v>1.1915</c:v>
                </c:pt>
                <c:pt idx="66">
                  <c:v>1.1903999999999999</c:v>
                </c:pt>
                <c:pt idx="67">
                  <c:v>1.1903999999999999</c:v>
                </c:pt>
                <c:pt idx="68">
                  <c:v>1.1903999999999999</c:v>
                </c:pt>
                <c:pt idx="69">
                  <c:v>1.1933</c:v>
                </c:pt>
                <c:pt idx="70">
                  <c:v>1.1849000000000001</c:v>
                </c:pt>
                <c:pt idx="71">
                  <c:v>1.1813</c:v>
                </c:pt>
                <c:pt idx="72">
                  <c:v>1.1763999999999999</c:v>
                </c:pt>
                <c:pt idx="73">
                  <c:v>1.1794</c:v>
                </c:pt>
                <c:pt idx="74">
                  <c:v>1.1794</c:v>
                </c:pt>
                <c:pt idx="75">
                  <c:v>1.1794</c:v>
                </c:pt>
                <c:pt idx="76">
                  <c:v>1.1765000000000001</c:v>
                </c:pt>
                <c:pt idx="77">
                  <c:v>1.1717</c:v>
                </c:pt>
                <c:pt idx="78">
                  <c:v>1.173</c:v>
                </c:pt>
                <c:pt idx="79">
                  <c:v>1.1777</c:v>
                </c:pt>
                <c:pt idx="80">
                  <c:v>1.1758999999999999</c:v>
                </c:pt>
                <c:pt idx="81">
                  <c:v>1.1758999999999999</c:v>
                </c:pt>
                <c:pt idx="82">
                  <c:v>1.1758999999999999</c:v>
                </c:pt>
                <c:pt idx="83">
                  <c:v>1.1813</c:v>
                </c:pt>
                <c:pt idx="84">
                  <c:v>1.1876</c:v>
                </c:pt>
                <c:pt idx="85">
                  <c:v>1.1868000000000001</c:v>
                </c:pt>
                <c:pt idx="86">
                  <c:v>1.1914</c:v>
                </c:pt>
                <c:pt idx="87">
                  <c:v>1.1899</c:v>
                </c:pt>
                <c:pt idx="88">
                  <c:v>1.1899</c:v>
                </c:pt>
                <c:pt idx="89">
                  <c:v>1.1899</c:v>
                </c:pt>
                <c:pt idx="90">
                  <c:v>1.1911</c:v>
                </c:pt>
                <c:pt idx="91">
                  <c:v>1.1948000000000001</c:v>
                </c:pt>
                <c:pt idx="92">
                  <c:v>1.198</c:v>
                </c:pt>
                <c:pt idx="93">
                  <c:v>1.1967000000000001</c:v>
                </c:pt>
                <c:pt idx="94">
                  <c:v>1.1982999999999999</c:v>
                </c:pt>
                <c:pt idx="95">
                  <c:v>1.1982999999999999</c:v>
                </c:pt>
                <c:pt idx="96">
                  <c:v>1.1982999999999999</c:v>
                </c:pt>
                <c:pt idx="97">
                  <c:v>1.2037</c:v>
                </c:pt>
                <c:pt idx="98">
                  <c:v>1.2036</c:v>
                </c:pt>
                <c:pt idx="99">
                  <c:v>1.2035</c:v>
                </c:pt>
                <c:pt idx="100">
                  <c:v>1.2015</c:v>
                </c:pt>
                <c:pt idx="101">
                  <c:v>1.2097</c:v>
                </c:pt>
                <c:pt idx="102">
                  <c:v>1.2097</c:v>
                </c:pt>
                <c:pt idx="103">
                  <c:v>1.2097</c:v>
                </c:pt>
                <c:pt idx="104">
                  <c:v>1.2085999999999999</c:v>
                </c:pt>
                <c:pt idx="105">
                  <c:v>1.2091000000000001</c:v>
                </c:pt>
                <c:pt idx="106">
                  <c:v>1.2125999999999999</c:v>
                </c:pt>
                <c:pt idx="107">
                  <c:v>1.2121</c:v>
                </c:pt>
                <c:pt idx="108">
                  <c:v>1.202</c:v>
                </c:pt>
                <c:pt idx="109">
                  <c:v>1.202</c:v>
                </c:pt>
                <c:pt idx="110">
                  <c:v>1.202</c:v>
                </c:pt>
                <c:pt idx="111">
                  <c:v>1.2063999999999999</c:v>
                </c:pt>
                <c:pt idx="112">
                  <c:v>1.2014</c:v>
                </c:pt>
                <c:pt idx="113">
                  <c:v>1.2004999999999999</c:v>
                </c:pt>
                <c:pt idx="114">
                  <c:v>1.2064999999999999</c:v>
                </c:pt>
                <c:pt idx="115">
                  <c:v>1.2165999999999999</c:v>
                </c:pt>
                <c:pt idx="116">
                  <c:v>1.2165999999999999</c:v>
                </c:pt>
                <c:pt idx="117">
                  <c:v>1.2165999999999999</c:v>
                </c:pt>
                <c:pt idx="118">
                  <c:v>1.2129000000000001</c:v>
                </c:pt>
                <c:pt idx="119">
                  <c:v>1.2148000000000001</c:v>
                </c:pt>
                <c:pt idx="120">
                  <c:v>1.2072000000000001</c:v>
                </c:pt>
                <c:pt idx="121">
                  <c:v>1.2081</c:v>
                </c:pt>
                <c:pt idx="122">
                  <c:v>1.2141</c:v>
                </c:pt>
                <c:pt idx="123">
                  <c:v>1.2141</c:v>
                </c:pt>
                <c:pt idx="124">
                  <c:v>1.2141</c:v>
                </c:pt>
                <c:pt idx="125">
                  <c:v>1.2152000000000001</c:v>
                </c:pt>
                <c:pt idx="126">
                  <c:v>1.2222</c:v>
                </c:pt>
                <c:pt idx="127">
                  <c:v>1.2175</c:v>
                </c:pt>
                <c:pt idx="128">
                  <c:v>1.2228000000000001</c:v>
                </c:pt>
                <c:pt idx="129">
                  <c:v>1.2181999999999999</c:v>
                </c:pt>
                <c:pt idx="130">
                  <c:v>1.2181999999999999</c:v>
                </c:pt>
                <c:pt idx="131">
                  <c:v>1.2181999999999999</c:v>
                </c:pt>
                <c:pt idx="132">
                  <c:v>1.2216</c:v>
                </c:pt>
                <c:pt idx="133">
                  <c:v>1.2250000000000001</c:v>
                </c:pt>
                <c:pt idx="134">
                  <c:v>1.2192000000000001</c:v>
                </c:pt>
                <c:pt idx="135">
                  <c:v>1.2195</c:v>
                </c:pt>
                <c:pt idx="136">
                  <c:v>1.2192000000000001</c:v>
                </c:pt>
                <c:pt idx="137">
                  <c:v>1.2192000000000001</c:v>
                </c:pt>
                <c:pt idx="138">
                  <c:v>1.2192000000000001</c:v>
                </c:pt>
                <c:pt idx="139">
                  <c:v>1.2226999999999999</c:v>
                </c:pt>
                <c:pt idx="140">
                  <c:v>1.2213000000000001</c:v>
                </c:pt>
                <c:pt idx="141">
                  <c:v>1.2211000000000001</c:v>
                </c:pt>
                <c:pt idx="142">
                  <c:v>1.2126999999999999</c:v>
                </c:pt>
                <c:pt idx="143">
                  <c:v>1.2166999999999999</c:v>
                </c:pt>
                <c:pt idx="144">
                  <c:v>1.2166999999999999</c:v>
                </c:pt>
                <c:pt idx="145">
                  <c:v>1.2166999999999999</c:v>
                </c:pt>
                <c:pt idx="146">
                  <c:v>1.2190000000000001</c:v>
                </c:pt>
                <c:pt idx="147">
                  <c:v>1.2173</c:v>
                </c:pt>
                <c:pt idx="148">
                  <c:v>1.218</c:v>
                </c:pt>
                <c:pt idx="149">
                  <c:v>1.2170000000000001</c:v>
                </c:pt>
                <c:pt idx="150">
                  <c:v>1.2109000000000001</c:v>
                </c:pt>
                <c:pt idx="151">
                  <c:v>1.2109000000000001</c:v>
                </c:pt>
                <c:pt idx="152">
                  <c:v>1.2109000000000001</c:v>
                </c:pt>
                <c:pt idx="153">
                  <c:v>1.212</c:v>
                </c:pt>
                <c:pt idx="154">
                  <c:v>1.2125999999999999</c:v>
                </c:pt>
                <c:pt idx="155">
                  <c:v>1.1995</c:v>
                </c:pt>
                <c:pt idx="156">
                  <c:v>1.1907000000000001</c:v>
                </c:pt>
                <c:pt idx="157">
                  <c:v>1.1863999999999999</c:v>
                </c:pt>
                <c:pt idx="158">
                  <c:v>1.1863999999999999</c:v>
                </c:pt>
                <c:pt idx="159">
                  <c:v>1.1863999999999999</c:v>
                </c:pt>
                <c:pt idx="160">
                  <c:v>1.1919</c:v>
                </c:pt>
                <c:pt idx="161">
                  <c:v>1.194</c:v>
                </c:pt>
                <c:pt idx="162">
                  <c:v>1.1926000000000001</c:v>
                </c:pt>
                <c:pt idx="163">
                  <c:v>1.1932</c:v>
                </c:pt>
                <c:pt idx="164">
                  <c:v>1.1935</c:v>
                </c:pt>
                <c:pt idx="165">
                  <c:v>1.1935</c:v>
                </c:pt>
                <c:pt idx="166">
                  <c:v>1.1935</c:v>
                </c:pt>
                <c:pt idx="167">
                  <c:v>1.1924999999999999</c:v>
                </c:pt>
                <c:pt idx="168">
                  <c:v>1.1897</c:v>
                </c:pt>
                <c:pt idx="169">
                  <c:v>1.1858</c:v>
                </c:pt>
                <c:pt idx="170">
                  <c:v>1.1850000000000001</c:v>
                </c:pt>
                <c:pt idx="171">
                  <c:v>1.1865000000000001</c:v>
                </c:pt>
                <c:pt idx="172">
                  <c:v>1.1865000000000001</c:v>
                </c:pt>
                <c:pt idx="173">
                  <c:v>1.1865000000000001</c:v>
                </c:pt>
                <c:pt idx="174">
                  <c:v>1.1863999999999999</c:v>
                </c:pt>
                <c:pt idx="175">
                  <c:v>1.1823999999999999</c:v>
                </c:pt>
                <c:pt idx="176">
                  <c:v>1.179</c:v>
                </c:pt>
                <c:pt idx="177">
                  <c:v>1.1845000000000001</c:v>
                </c:pt>
                <c:pt idx="178">
                  <c:v>1.1876</c:v>
                </c:pt>
                <c:pt idx="179">
                  <c:v>1.1876</c:v>
                </c:pt>
                <c:pt idx="180">
                  <c:v>1.1876</c:v>
                </c:pt>
                <c:pt idx="181">
                  <c:v>1.1860999999999999</c:v>
                </c:pt>
                <c:pt idx="182">
                  <c:v>1.1776</c:v>
                </c:pt>
                <c:pt idx="183">
                  <c:v>1.1837</c:v>
                </c:pt>
                <c:pt idx="184">
                  <c:v>1.1812</c:v>
                </c:pt>
                <c:pt idx="185">
                  <c:v>1.1806000000000001</c:v>
                </c:pt>
                <c:pt idx="186">
                  <c:v>1.1806000000000001</c:v>
                </c:pt>
                <c:pt idx="187">
                  <c:v>1.1806000000000001</c:v>
                </c:pt>
                <c:pt idx="188">
                  <c:v>1.18</c:v>
                </c:pt>
                <c:pt idx="189">
                  <c:v>1.1780999999999999</c:v>
                </c:pt>
                <c:pt idx="190">
                  <c:v>1.1794</c:v>
                </c:pt>
                <c:pt idx="191">
                  <c:v>1.1771</c:v>
                </c:pt>
                <c:pt idx="192">
                  <c:v>1.1771</c:v>
                </c:pt>
                <c:pt idx="193">
                  <c:v>1.1771</c:v>
                </c:pt>
                <c:pt idx="194">
                  <c:v>1.1771</c:v>
                </c:pt>
                <c:pt idx="195">
                  <c:v>1.1802999999999999</c:v>
                </c:pt>
                <c:pt idx="196">
                  <c:v>1.1817</c:v>
                </c:pt>
                <c:pt idx="197">
                  <c:v>1.1845000000000001</c:v>
                </c:pt>
                <c:pt idx="198">
                  <c:v>1.1887000000000001</c:v>
                </c:pt>
                <c:pt idx="199">
                  <c:v>1.1870000000000001</c:v>
                </c:pt>
                <c:pt idx="200">
                  <c:v>1.1870000000000001</c:v>
                </c:pt>
                <c:pt idx="201">
                  <c:v>1.1870000000000001</c:v>
                </c:pt>
                <c:pt idx="202">
                  <c:v>1.1870000000000001</c:v>
                </c:pt>
                <c:pt idx="203">
                  <c:v>1.1863999999999999</c:v>
                </c:pt>
                <c:pt idx="204">
                  <c:v>1.1837</c:v>
                </c:pt>
                <c:pt idx="205">
                  <c:v>1.1834</c:v>
                </c:pt>
                <c:pt idx="206">
                  <c:v>1.1761999999999999</c:v>
                </c:pt>
                <c:pt idx="207">
                  <c:v>1.1761999999999999</c:v>
                </c:pt>
                <c:pt idx="208">
                  <c:v>1.1761999999999999</c:v>
                </c:pt>
                <c:pt idx="209">
                  <c:v>1.1737</c:v>
                </c:pt>
                <c:pt idx="210">
                  <c:v>1.1719999999999999</c:v>
                </c:pt>
                <c:pt idx="211">
                  <c:v>1.1738999999999999</c:v>
                </c:pt>
                <c:pt idx="212">
                  <c:v>1.173</c:v>
                </c:pt>
                <c:pt idx="213">
                  <c:v>1.1797</c:v>
                </c:pt>
                <c:pt idx="214">
                  <c:v>1.1797</c:v>
                </c:pt>
                <c:pt idx="215">
                  <c:v>1.1797</c:v>
                </c:pt>
                <c:pt idx="216">
                  <c:v>1.1778</c:v>
                </c:pt>
                <c:pt idx="217">
                  <c:v>1.171</c:v>
                </c:pt>
                <c:pt idx="218">
                  <c:v>1.1711</c:v>
                </c:pt>
                <c:pt idx="219">
                  <c:v>1.1675</c:v>
                </c:pt>
                <c:pt idx="220">
                  <c:v>1.1698</c:v>
                </c:pt>
                <c:pt idx="221">
                  <c:v>1.1698</c:v>
                </c:pt>
                <c:pt idx="222">
                  <c:v>1.1698</c:v>
                </c:pt>
                <c:pt idx="223">
                  <c:v>1.1745000000000001</c:v>
                </c:pt>
                <c:pt idx="224">
                  <c:v>1.1756</c:v>
                </c:pt>
                <c:pt idx="225">
                  <c:v>1.1772</c:v>
                </c:pt>
                <c:pt idx="226">
                  <c:v>1.1752</c:v>
                </c:pt>
                <c:pt idx="227">
                  <c:v>1.1795</c:v>
                </c:pt>
                <c:pt idx="228">
                  <c:v>1.1795</c:v>
                </c:pt>
                <c:pt idx="229">
                  <c:v>1.1795</c:v>
                </c:pt>
                <c:pt idx="230">
                  <c:v>1.1797</c:v>
                </c:pt>
                <c:pt idx="231">
                  <c:v>1.1809000000000001</c:v>
                </c:pt>
                <c:pt idx="232">
                  <c:v>1.1839</c:v>
                </c:pt>
                <c:pt idx="233">
                  <c:v>1.1875</c:v>
                </c:pt>
                <c:pt idx="234">
                  <c:v>1.1879999999999999</c:v>
                </c:pt>
                <c:pt idx="235">
                  <c:v>1.1879999999999999</c:v>
                </c:pt>
                <c:pt idx="236">
                  <c:v>1.1879999999999999</c:v>
                </c:pt>
                <c:pt idx="237">
                  <c:v>1.1870000000000001</c:v>
                </c:pt>
                <c:pt idx="238">
                  <c:v>1.1839999999999999</c:v>
                </c:pt>
                <c:pt idx="239">
                  <c:v>1.1816</c:v>
                </c:pt>
                <c:pt idx="240">
                  <c:v>1.1825000000000001</c:v>
                </c:pt>
                <c:pt idx="241">
                  <c:v>1.1814</c:v>
                </c:pt>
                <c:pt idx="242">
                  <c:v>1.1814</c:v>
                </c:pt>
                <c:pt idx="243">
                  <c:v>1.1814</c:v>
                </c:pt>
                <c:pt idx="244">
                  <c:v>1.1811</c:v>
                </c:pt>
                <c:pt idx="245">
                  <c:v>1.1802999999999999</c:v>
                </c:pt>
                <c:pt idx="246">
                  <c:v>1.1817</c:v>
                </c:pt>
                <c:pt idx="247">
                  <c:v>1.1767000000000001</c:v>
                </c:pt>
                <c:pt idx="248">
                  <c:v>1.1725000000000001</c:v>
                </c:pt>
                <c:pt idx="249">
                  <c:v>1.1725000000000001</c:v>
                </c:pt>
                <c:pt idx="250">
                  <c:v>1.1725000000000001</c:v>
                </c:pt>
                <c:pt idx="251">
                  <c:v>1.1726000000000001</c:v>
                </c:pt>
                <c:pt idx="252">
                  <c:v>1.1726000000000001</c:v>
                </c:pt>
                <c:pt idx="253">
                  <c:v>1.1687000000000001</c:v>
                </c:pt>
                <c:pt idx="254">
                  <c:v>1.1738999999999999</c:v>
                </c:pt>
                <c:pt idx="255">
                  <c:v>1.1719999999999999</c:v>
                </c:pt>
                <c:pt idx="256">
                  <c:v>1.1719999999999999</c:v>
                </c:pt>
                <c:pt idx="257">
                  <c:v>1.1719999999999999</c:v>
                </c:pt>
                <c:pt idx="258">
                  <c:v>1.1695</c:v>
                </c:pt>
                <c:pt idx="259">
                  <c:v>1.1682999999999999</c:v>
                </c:pt>
                <c:pt idx="260">
                  <c:v>1.1597999999999999</c:v>
                </c:pt>
                <c:pt idx="261">
                  <c:v>1.1579999999999999</c:v>
                </c:pt>
                <c:pt idx="262">
                  <c:v>1.1596</c:v>
                </c:pt>
                <c:pt idx="263">
                  <c:v>1.1596</c:v>
                </c:pt>
                <c:pt idx="264">
                  <c:v>1.1596</c:v>
                </c:pt>
                <c:pt idx="265">
                  <c:v>1.1620999999999999</c:v>
                </c:pt>
                <c:pt idx="266">
                  <c:v>1.1597999999999999</c:v>
                </c:pt>
                <c:pt idx="267">
                  <c:v>1.1556</c:v>
                </c:pt>
                <c:pt idx="268">
                  <c:v>1.1552</c:v>
                </c:pt>
                <c:pt idx="269">
                  <c:v>1.1569</c:v>
                </c:pt>
                <c:pt idx="270">
                  <c:v>1.1569</c:v>
                </c:pt>
                <c:pt idx="271">
                  <c:v>1.1569</c:v>
                </c:pt>
                <c:pt idx="272">
                  <c:v>1.1552</c:v>
                </c:pt>
                <c:pt idx="273">
                  <c:v>1.153</c:v>
                </c:pt>
                <c:pt idx="274">
                  <c:v>1.1594</c:v>
                </c:pt>
                <c:pt idx="275">
                  <c:v>1.1597</c:v>
                </c:pt>
                <c:pt idx="276">
                  <c:v>1.1600999999999999</c:v>
                </c:pt>
                <c:pt idx="277">
                  <c:v>1.1600999999999999</c:v>
                </c:pt>
                <c:pt idx="278">
                  <c:v>1.1600999999999999</c:v>
                </c:pt>
                <c:pt idx="279">
                  <c:v>1.161</c:v>
                </c:pt>
                <c:pt idx="280">
                  <c:v>1.1633</c:v>
                </c:pt>
                <c:pt idx="281">
                  <c:v>1.1651</c:v>
                </c:pt>
                <c:pt idx="282">
                  <c:v>1.1623000000000001</c:v>
                </c:pt>
                <c:pt idx="283">
                  <c:v>1.1642999999999999</c:v>
                </c:pt>
                <c:pt idx="284">
                  <c:v>1.1642999999999999</c:v>
                </c:pt>
                <c:pt idx="285">
                  <c:v>1.1642999999999999</c:v>
                </c:pt>
                <c:pt idx="286">
                  <c:v>1.1608000000000001</c:v>
                </c:pt>
                <c:pt idx="287">
                  <c:v>1.1596</c:v>
                </c:pt>
                <c:pt idx="288">
                  <c:v>1.1603000000000001</c:v>
                </c:pt>
                <c:pt idx="289">
                  <c:v>1.1680999999999999</c:v>
                </c:pt>
                <c:pt idx="290">
                  <c:v>1.1557999999999999</c:v>
                </c:pt>
                <c:pt idx="291">
                  <c:v>1.1557999999999999</c:v>
                </c:pt>
                <c:pt idx="292">
                  <c:v>1.1557999999999999</c:v>
                </c:pt>
                <c:pt idx="293">
                  <c:v>1.1606000000000001</c:v>
                </c:pt>
                <c:pt idx="294">
                  <c:v>1.1578999999999999</c:v>
                </c:pt>
                <c:pt idx="295">
                  <c:v>1.1612</c:v>
                </c:pt>
                <c:pt idx="296">
                  <c:v>1.1554</c:v>
                </c:pt>
                <c:pt idx="297">
                  <c:v>1.1567000000000001</c:v>
                </c:pt>
                <c:pt idx="298">
                  <c:v>1.1567000000000001</c:v>
                </c:pt>
                <c:pt idx="299">
                  <c:v>1.1567000000000001</c:v>
                </c:pt>
                <c:pt idx="300">
                  <c:v>1.1587000000000001</c:v>
                </c:pt>
                <c:pt idx="301">
                  <c:v>1.1593</c:v>
                </c:pt>
                <c:pt idx="302">
                  <c:v>1.1478999999999999</c:v>
                </c:pt>
                <c:pt idx="303">
                  <c:v>1.1451</c:v>
                </c:pt>
                <c:pt idx="304">
                  <c:v>1.1445000000000001</c:v>
                </c:pt>
                <c:pt idx="305">
                  <c:v>1.1445000000000001</c:v>
                </c:pt>
                <c:pt idx="306">
                  <c:v>1.1445000000000001</c:v>
                </c:pt>
                <c:pt idx="307">
                  <c:v>1.1368</c:v>
                </c:pt>
                <c:pt idx="308">
                  <c:v>1.1319999999999999</c:v>
                </c:pt>
                <c:pt idx="309">
                  <c:v>1.1318999999999999</c:v>
                </c:pt>
                <c:pt idx="310">
                  <c:v>1.1371</c:v>
                </c:pt>
                <c:pt idx="311">
                  <c:v>1.129</c:v>
                </c:pt>
                <c:pt idx="312">
                  <c:v>1.129</c:v>
                </c:pt>
                <c:pt idx="313">
                  <c:v>1.129</c:v>
                </c:pt>
                <c:pt idx="314">
                  <c:v>1.1236999999999999</c:v>
                </c:pt>
                <c:pt idx="315">
                  <c:v>1.1248</c:v>
                </c:pt>
                <c:pt idx="316">
                  <c:v>1.1198999999999999</c:v>
                </c:pt>
                <c:pt idx="317">
                  <c:v>1.1209</c:v>
                </c:pt>
                <c:pt idx="318">
                  <c:v>1.1316999999999999</c:v>
                </c:pt>
                <c:pt idx="319">
                  <c:v>1.1316999999999999</c:v>
                </c:pt>
                <c:pt idx="320">
                  <c:v>1.1316999999999999</c:v>
                </c:pt>
                <c:pt idx="321">
                  <c:v>1.1291</c:v>
                </c:pt>
                <c:pt idx="322">
                  <c:v>1.1337999999999999</c:v>
                </c:pt>
                <c:pt idx="323">
                  <c:v>1.1319999999999999</c:v>
                </c:pt>
                <c:pt idx="324">
                  <c:v>1.1301000000000001</c:v>
                </c:pt>
                <c:pt idx="325">
                  <c:v>1.1315</c:v>
                </c:pt>
                <c:pt idx="326">
                  <c:v>1.1315</c:v>
                </c:pt>
                <c:pt idx="327">
                  <c:v>1.1315</c:v>
                </c:pt>
                <c:pt idx="328">
                  <c:v>1.1285000000000001</c:v>
                </c:pt>
                <c:pt idx="329">
                  <c:v>1.1267</c:v>
                </c:pt>
                <c:pt idx="330">
                  <c:v>1.1343000000000001</c:v>
                </c:pt>
                <c:pt idx="331">
                  <c:v>1.1293</c:v>
                </c:pt>
                <c:pt idx="332">
                  <c:v>1.1313</c:v>
                </c:pt>
                <c:pt idx="333">
                  <c:v>1.1313</c:v>
                </c:pt>
                <c:pt idx="334">
                  <c:v>1.1313</c:v>
                </c:pt>
                <c:pt idx="335">
                  <c:v>1.1284000000000001</c:v>
                </c:pt>
                <c:pt idx="336">
                  <c:v>1.1258999999999999</c:v>
                </c:pt>
                <c:pt idx="337">
                  <c:v>1.1289</c:v>
                </c:pt>
                <c:pt idx="338">
                  <c:v>1.133</c:v>
                </c:pt>
                <c:pt idx="339">
                  <c:v>1.1240000000000001</c:v>
                </c:pt>
                <c:pt idx="340">
                  <c:v>1.1240000000000001</c:v>
                </c:pt>
                <c:pt idx="341">
                  <c:v>1.1240000000000001</c:v>
                </c:pt>
                <c:pt idx="342">
                  <c:v>1.1278999999999999</c:v>
                </c:pt>
                <c:pt idx="343">
                  <c:v>1.1285000000000001</c:v>
                </c:pt>
                <c:pt idx="344">
                  <c:v>1.1326000000000001</c:v>
                </c:pt>
                <c:pt idx="345">
                  <c:v>1.1327</c:v>
                </c:pt>
                <c:pt idx="346">
                  <c:v>1.1318999999999999</c:v>
                </c:pt>
                <c:pt idx="347">
                  <c:v>1.1318999999999999</c:v>
                </c:pt>
                <c:pt idx="348">
                  <c:v>1.1318999999999999</c:v>
                </c:pt>
                <c:pt idx="349">
                  <c:v>1.1328</c:v>
                </c:pt>
                <c:pt idx="350">
                  <c:v>1.131</c:v>
                </c:pt>
                <c:pt idx="351">
                  <c:v>1.1349</c:v>
                </c:pt>
                <c:pt idx="352">
                  <c:v>1.1325000000000001</c:v>
                </c:pt>
                <c:pt idx="353">
                  <c:v>1.137</c:v>
                </c:pt>
                <c:pt idx="354">
                  <c:v>1.137</c:v>
                </c:pt>
                <c:pt idx="355">
                  <c:v>1.137</c:v>
                </c:pt>
                <c:pt idx="356">
                  <c:v>1.1296999999999999</c:v>
                </c:pt>
                <c:pt idx="357">
                  <c:v>1.1287</c:v>
                </c:pt>
                <c:pt idx="358">
                  <c:v>1.1314</c:v>
                </c:pt>
                <c:pt idx="359">
                  <c:v>1.1296999999999999</c:v>
                </c:pt>
                <c:pt idx="360">
                  <c:v>1.1359999999999999</c:v>
                </c:pt>
                <c:pt idx="361">
                  <c:v>1.1359999999999999</c:v>
                </c:pt>
                <c:pt idx="362">
                  <c:v>1.1359999999999999</c:v>
                </c:pt>
                <c:pt idx="363">
                  <c:v>1.1326000000000001</c:v>
                </c:pt>
                <c:pt idx="364">
                  <c:v>1.1367</c:v>
                </c:pt>
                <c:pt idx="365">
                  <c:v>1.1442000000000001</c:v>
                </c:pt>
                <c:pt idx="366">
                  <c:v>1.1455</c:v>
                </c:pt>
              </c:numCache>
            </c:numRef>
          </c:val>
          <c:smooth val="0"/>
          <c:extLst>
            <c:ext xmlns:c16="http://schemas.microsoft.com/office/drawing/2014/chart" uri="{C3380CC4-5D6E-409C-BE32-E72D297353CC}">
              <c16:uniqueId val="{00000000-768A-4C52-AFCC-738259616F6E}"/>
            </c:ext>
          </c:extLst>
        </c:ser>
        <c:ser>
          <c:idx val="1"/>
          <c:order val="1"/>
          <c:tx>
            <c:strRef>
              <c:f>Állandó_ábrák!$B$6</c:f>
              <c:strCache>
                <c:ptCount val="1"/>
                <c:pt idx="0">
                  <c:v>200-napos m.átl.</c:v>
                </c:pt>
              </c:strCache>
            </c:strRef>
          </c:tx>
          <c:spPr>
            <a:ln w="25400">
              <a:solidFill>
                <a:srgbClr val="50B4E1"/>
              </a:solidFill>
              <a:prstDash val="solid"/>
            </a:ln>
          </c:spPr>
          <c:marker>
            <c:symbol val="none"/>
          </c:marker>
          <c:cat>
            <c:numRef>
              <c:f>BB!$A$1:$A$367</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BB!$G$1:$G$367</c:f>
              <c:numCache>
                <c:formatCode>0.0000</c:formatCode>
                <c:ptCount val="367"/>
                <c:pt idx="0">
                  <c:v>1.1593</c:v>
                </c:pt>
                <c:pt idx="1">
                  <c:v>1.1598999999999999</c:v>
                </c:pt>
                <c:pt idx="2">
                  <c:v>1.1605000000000001</c:v>
                </c:pt>
                <c:pt idx="3">
                  <c:v>1.1611</c:v>
                </c:pt>
                <c:pt idx="4">
                  <c:v>1.1611</c:v>
                </c:pt>
                <c:pt idx="5">
                  <c:v>1.1611</c:v>
                </c:pt>
                <c:pt idx="6">
                  <c:v>1.1617</c:v>
                </c:pt>
                <c:pt idx="7">
                  <c:v>1.1623000000000001</c:v>
                </c:pt>
                <c:pt idx="8">
                  <c:v>1.1629</c:v>
                </c:pt>
                <c:pt idx="9">
                  <c:v>1.1635</c:v>
                </c:pt>
                <c:pt idx="10">
                  <c:v>1.1641999999999999</c:v>
                </c:pt>
                <c:pt idx="11">
                  <c:v>1.1641999999999999</c:v>
                </c:pt>
                <c:pt idx="12">
                  <c:v>1.1641999999999999</c:v>
                </c:pt>
                <c:pt idx="13">
                  <c:v>1.1648000000000001</c:v>
                </c:pt>
                <c:pt idx="14">
                  <c:v>1.1655</c:v>
                </c:pt>
                <c:pt idx="15">
                  <c:v>1.1660999999999999</c:v>
                </c:pt>
                <c:pt idx="16">
                  <c:v>1.1668000000000001</c:v>
                </c:pt>
                <c:pt idx="17">
                  <c:v>1.1674</c:v>
                </c:pt>
                <c:pt idx="18">
                  <c:v>1.1674</c:v>
                </c:pt>
                <c:pt idx="19">
                  <c:v>1.1674</c:v>
                </c:pt>
                <c:pt idx="20">
                  <c:v>1.1679999999999999</c:v>
                </c:pt>
                <c:pt idx="21">
                  <c:v>1.1687000000000001</c:v>
                </c:pt>
                <c:pt idx="22">
                  <c:v>1.1692</c:v>
                </c:pt>
                <c:pt idx="23">
                  <c:v>1.1697</c:v>
                </c:pt>
                <c:pt idx="24">
                  <c:v>1.1702999999999999</c:v>
                </c:pt>
                <c:pt idx="25">
                  <c:v>1.1702999999999999</c:v>
                </c:pt>
                <c:pt idx="26">
                  <c:v>1.1702999999999999</c:v>
                </c:pt>
                <c:pt idx="27">
                  <c:v>1.1708000000000001</c:v>
                </c:pt>
                <c:pt idx="28">
                  <c:v>1.1715</c:v>
                </c:pt>
                <c:pt idx="29">
                  <c:v>1.1720999999999999</c:v>
                </c:pt>
                <c:pt idx="30">
                  <c:v>1.1728000000000001</c:v>
                </c:pt>
                <c:pt idx="31">
                  <c:v>1.1734</c:v>
                </c:pt>
                <c:pt idx="32">
                  <c:v>1.1734</c:v>
                </c:pt>
                <c:pt idx="33">
                  <c:v>1.1734</c:v>
                </c:pt>
                <c:pt idx="34">
                  <c:v>1.1740999999999999</c:v>
                </c:pt>
                <c:pt idx="35">
                  <c:v>1.1747000000000001</c:v>
                </c:pt>
                <c:pt idx="36">
                  <c:v>1.1753</c:v>
                </c:pt>
                <c:pt idx="37">
                  <c:v>1.1759999999999999</c:v>
                </c:pt>
                <c:pt idx="38">
                  <c:v>1.1766000000000001</c:v>
                </c:pt>
                <c:pt idx="39">
                  <c:v>1.1766000000000001</c:v>
                </c:pt>
                <c:pt idx="40">
                  <c:v>1.1766000000000001</c:v>
                </c:pt>
                <c:pt idx="41">
                  <c:v>1.1772</c:v>
                </c:pt>
                <c:pt idx="42">
                  <c:v>1.1778999999999999</c:v>
                </c:pt>
                <c:pt idx="43">
                  <c:v>1.1785000000000001</c:v>
                </c:pt>
                <c:pt idx="44">
                  <c:v>1.1791</c:v>
                </c:pt>
                <c:pt idx="45">
                  <c:v>1.1797</c:v>
                </c:pt>
                <c:pt idx="46">
                  <c:v>1.1797</c:v>
                </c:pt>
                <c:pt idx="47">
                  <c:v>1.1797</c:v>
                </c:pt>
                <c:pt idx="48">
                  <c:v>1.1801999999999999</c:v>
                </c:pt>
                <c:pt idx="49">
                  <c:v>1.1808000000000001</c:v>
                </c:pt>
                <c:pt idx="50">
                  <c:v>1.1813</c:v>
                </c:pt>
                <c:pt idx="51">
                  <c:v>1.1818</c:v>
                </c:pt>
                <c:pt idx="52">
                  <c:v>1.1821999999999999</c:v>
                </c:pt>
                <c:pt idx="53">
                  <c:v>1.1821999999999999</c:v>
                </c:pt>
                <c:pt idx="54">
                  <c:v>1.1821999999999999</c:v>
                </c:pt>
                <c:pt idx="55">
                  <c:v>1.1825000000000001</c:v>
                </c:pt>
                <c:pt idx="56">
                  <c:v>1.1829000000000001</c:v>
                </c:pt>
                <c:pt idx="57">
                  <c:v>1.1832</c:v>
                </c:pt>
                <c:pt idx="58">
                  <c:v>1.1836</c:v>
                </c:pt>
                <c:pt idx="59">
                  <c:v>1.1839</c:v>
                </c:pt>
                <c:pt idx="60">
                  <c:v>1.1839</c:v>
                </c:pt>
                <c:pt idx="61">
                  <c:v>1.1839</c:v>
                </c:pt>
                <c:pt idx="62">
                  <c:v>1.1841999999999999</c:v>
                </c:pt>
                <c:pt idx="63">
                  <c:v>1.1845000000000001</c:v>
                </c:pt>
                <c:pt idx="64">
                  <c:v>1.1848000000000001</c:v>
                </c:pt>
                <c:pt idx="65">
                  <c:v>1.1851</c:v>
                </c:pt>
                <c:pt idx="66">
                  <c:v>1.1854</c:v>
                </c:pt>
                <c:pt idx="67">
                  <c:v>1.1854</c:v>
                </c:pt>
                <c:pt idx="68">
                  <c:v>1.1854</c:v>
                </c:pt>
                <c:pt idx="69">
                  <c:v>1.1857</c:v>
                </c:pt>
                <c:pt idx="70">
                  <c:v>1.1859999999999999</c:v>
                </c:pt>
                <c:pt idx="71">
                  <c:v>1.1862999999999999</c:v>
                </c:pt>
                <c:pt idx="72">
                  <c:v>1.1866000000000001</c:v>
                </c:pt>
                <c:pt idx="73">
                  <c:v>1.1869000000000001</c:v>
                </c:pt>
                <c:pt idx="74">
                  <c:v>1.1869000000000001</c:v>
                </c:pt>
                <c:pt idx="75">
                  <c:v>1.1869000000000001</c:v>
                </c:pt>
                <c:pt idx="76">
                  <c:v>1.1871</c:v>
                </c:pt>
                <c:pt idx="77">
                  <c:v>1.1873</c:v>
                </c:pt>
                <c:pt idx="78">
                  <c:v>1.1876</c:v>
                </c:pt>
                <c:pt idx="79">
                  <c:v>1.1879</c:v>
                </c:pt>
                <c:pt idx="80">
                  <c:v>1.1880999999999999</c:v>
                </c:pt>
                <c:pt idx="81">
                  <c:v>1.1880999999999999</c:v>
                </c:pt>
                <c:pt idx="82">
                  <c:v>1.1880999999999999</c:v>
                </c:pt>
                <c:pt idx="83">
                  <c:v>1.1883999999999999</c:v>
                </c:pt>
                <c:pt idx="84">
                  <c:v>1.1887000000000001</c:v>
                </c:pt>
                <c:pt idx="85">
                  <c:v>1.1891</c:v>
                </c:pt>
                <c:pt idx="86">
                  <c:v>1.1894</c:v>
                </c:pt>
                <c:pt idx="87">
                  <c:v>1.1897</c:v>
                </c:pt>
                <c:pt idx="88">
                  <c:v>1.1897</c:v>
                </c:pt>
                <c:pt idx="89">
                  <c:v>1.1897</c:v>
                </c:pt>
                <c:pt idx="90">
                  <c:v>1.19</c:v>
                </c:pt>
                <c:pt idx="91">
                  <c:v>1.1903999999999999</c:v>
                </c:pt>
                <c:pt idx="92">
                  <c:v>1.1907000000000001</c:v>
                </c:pt>
                <c:pt idx="93">
                  <c:v>1.1910000000000001</c:v>
                </c:pt>
                <c:pt idx="94">
                  <c:v>1.1914</c:v>
                </c:pt>
                <c:pt idx="95">
                  <c:v>1.1914</c:v>
                </c:pt>
                <c:pt idx="96">
                  <c:v>1.1914</c:v>
                </c:pt>
                <c:pt idx="97">
                  <c:v>1.1917</c:v>
                </c:pt>
                <c:pt idx="98">
                  <c:v>1.1919999999999999</c:v>
                </c:pt>
                <c:pt idx="99">
                  <c:v>1.1922999999999999</c:v>
                </c:pt>
                <c:pt idx="100">
                  <c:v>1.1927000000000001</c:v>
                </c:pt>
                <c:pt idx="101">
                  <c:v>1.1930000000000001</c:v>
                </c:pt>
                <c:pt idx="102">
                  <c:v>1.1930000000000001</c:v>
                </c:pt>
                <c:pt idx="103">
                  <c:v>1.1930000000000001</c:v>
                </c:pt>
                <c:pt idx="104">
                  <c:v>1.1933</c:v>
                </c:pt>
                <c:pt idx="105">
                  <c:v>1.1936</c:v>
                </c:pt>
                <c:pt idx="106">
                  <c:v>1.1939</c:v>
                </c:pt>
                <c:pt idx="107">
                  <c:v>1.1940999999999999</c:v>
                </c:pt>
                <c:pt idx="108">
                  <c:v>1.1942999999999999</c:v>
                </c:pt>
                <c:pt idx="109">
                  <c:v>1.1942999999999999</c:v>
                </c:pt>
                <c:pt idx="110">
                  <c:v>1.1942999999999999</c:v>
                </c:pt>
                <c:pt idx="111">
                  <c:v>1.1944999999999999</c:v>
                </c:pt>
                <c:pt idx="112">
                  <c:v>1.1946000000000001</c:v>
                </c:pt>
                <c:pt idx="113">
                  <c:v>1.1947000000000001</c:v>
                </c:pt>
                <c:pt idx="114">
                  <c:v>1.1948000000000001</c:v>
                </c:pt>
                <c:pt idx="115">
                  <c:v>1.1950000000000001</c:v>
                </c:pt>
                <c:pt idx="116">
                  <c:v>1.1950000000000001</c:v>
                </c:pt>
                <c:pt idx="117">
                  <c:v>1.1950000000000001</c:v>
                </c:pt>
                <c:pt idx="118">
                  <c:v>1.1952</c:v>
                </c:pt>
                <c:pt idx="119">
                  <c:v>1.1954</c:v>
                </c:pt>
                <c:pt idx="120">
                  <c:v>1.1955</c:v>
                </c:pt>
                <c:pt idx="121">
                  <c:v>1.1956</c:v>
                </c:pt>
                <c:pt idx="122">
                  <c:v>1.1958</c:v>
                </c:pt>
                <c:pt idx="123">
                  <c:v>1.1958</c:v>
                </c:pt>
                <c:pt idx="124">
                  <c:v>1.1958</c:v>
                </c:pt>
                <c:pt idx="125">
                  <c:v>1.196</c:v>
                </c:pt>
                <c:pt idx="126">
                  <c:v>1.1961999999999999</c:v>
                </c:pt>
                <c:pt idx="127">
                  <c:v>1.1963999999999999</c:v>
                </c:pt>
                <c:pt idx="128">
                  <c:v>1.1966000000000001</c:v>
                </c:pt>
                <c:pt idx="129">
                  <c:v>1.1968000000000001</c:v>
                </c:pt>
                <c:pt idx="130">
                  <c:v>1.1968000000000001</c:v>
                </c:pt>
                <c:pt idx="131">
                  <c:v>1.1968000000000001</c:v>
                </c:pt>
                <c:pt idx="132">
                  <c:v>1.1970000000000001</c:v>
                </c:pt>
                <c:pt idx="133">
                  <c:v>1.1971000000000001</c:v>
                </c:pt>
                <c:pt idx="134">
                  <c:v>1.1973</c:v>
                </c:pt>
                <c:pt idx="135">
                  <c:v>1.1975</c:v>
                </c:pt>
                <c:pt idx="136">
                  <c:v>1.1977</c:v>
                </c:pt>
                <c:pt idx="137">
                  <c:v>1.1977</c:v>
                </c:pt>
                <c:pt idx="138">
                  <c:v>1.1977</c:v>
                </c:pt>
                <c:pt idx="139">
                  <c:v>1.1979</c:v>
                </c:pt>
                <c:pt idx="140">
                  <c:v>1.1980999999999999</c:v>
                </c:pt>
                <c:pt idx="141">
                  <c:v>1.1982999999999999</c:v>
                </c:pt>
                <c:pt idx="142">
                  <c:v>1.1983999999999999</c:v>
                </c:pt>
                <c:pt idx="143">
                  <c:v>1.1984999999999999</c:v>
                </c:pt>
                <c:pt idx="144">
                  <c:v>1.1984999999999999</c:v>
                </c:pt>
                <c:pt idx="145">
                  <c:v>1.1984999999999999</c:v>
                </c:pt>
                <c:pt idx="146">
                  <c:v>1.1987000000000001</c:v>
                </c:pt>
                <c:pt idx="147">
                  <c:v>1.1988000000000001</c:v>
                </c:pt>
                <c:pt idx="148">
                  <c:v>1.1990000000000001</c:v>
                </c:pt>
                <c:pt idx="149">
                  <c:v>1.1991000000000001</c:v>
                </c:pt>
                <c:pt idx="150">
                  <c:v>1.1993</c:v>
                </c:pt>
                <c:pt idx="151">
                  <c:v>1.1993</c:v>
                </c:pt>
                <c:pt idx="152">
                  <c:v>1.1993</c:v>
                </c:pt>
                <c:pt idx="153">
                  <c:v>1.1994</c:v>
                </c:pt>
                <c:pt idx="154">
                  <c:v>1.1996</c:v>
                </c:pt>
                <c:pt idx="155">
                  <c:v>1.1997</c:v>
                </c:pt>
                <c:pt idx="156">
                  <c:v>1.1997</c:v>
                </c:pt>
                <c:pt idx="157">
                  <c:v>1.1997</c:v>
                </c:pt>
                <c:pt idx="158">
                  <c:v>1.1997</c:v>
                </c:pt>
                <c:pt idx="159">
                  <c:v>1.1997</c:v>
                </c:pt>
                <c:pt idx="160">
                  <c:v>1.1998</c:v>
                </c:pt>
                <c:pt idx="161">
                  <c:v>1.1998</c:v>
                </c:pt>
                <c:pt idx="162">
                  <c:v>1.1999</c:v>
                </c:pt>
                <c:pt idx="163">
                  <c:v>1.1999</c:v>
                </c:pt>
                <c:pt idx="164">
                  <c:v>1.1999</c:v>
                </c:pt>
                <c:pt idx="165">
                  <c:v>1.1999</c:v>
                </c:pt>
                <c:pt idx="166">
                  <c:v>1.1999</c:v>
                </c:pt>
                <c:pt idx="167">
                  <c:v>1.2</c:v>
                </c:pt>
                <c:pt idx="168">
                  <c:v>1.2000999999999999</c:v>
                </c:pt>
                <c:pt idx="169">
                  <c:v>1.2001999999999999</c:v>
                </c:pt>
                <c:pt idx="170">
                  <c:v>1.2002999999999999</c:v>
                </c:pt>
                <c:pt idx="171">
                  <c:v>1.2003999999999999</c:v>
                </c:pt>
                <c:pt idx="172">
                  <c:v>1.2003999999999999</c:v>
                </c:pt>
                <c:pt idx="173">
                  <c:v>1.2003999999999999</c:v>
                </c:pt>
                <c:pt idx="174">
                  <c:v>1.2004999999999999</c:v>
                </c:pt>
                <c:pt idx="175">
                  <c:v>1.2005999999999999</c:v>
                </c:pt>
                <c:pt idx="176">
                  <c:v>1.2005999999999999</c:v>
                </c:pt>
                <c:pt idx="177">
                  <c:v>1.2005999999999999</c:v>
                </c:pt>
                <c:pt idx="178">
                  <c:v>1.2007000000000001</c:v>
                </c:pt>
                <c:pt idx="179">
                  <c:v>1.2007000000000001</c:v>
                </c:pt>
                <c:pt idx="180">
                  <c:v>1.2007000000000001</c:v>
                </c:pt>
                <c:pt idx="181">
                  <c:v>1.2008000000000001</c:v>
                </c:pt>
                <c:pt idx="182">
                  <c:v>1.2008000000000001</c:v>
                </c:pt>
                <c:pt idx="183">
                  <c:v>1.2008000000000001</c:v>
                </c:pt>
                <c:pt idx="184">
                  <c:v>1.2009000000000001</c:v>
                </c:pt>
                <c:pt idx="185">
                  <c:v>1.2008000000000001</c:v>
                </c:pt>
                <c:pt idx="186">
                  <c:v>1.2008000000000001</c:v>
                </c:pt>
                <c:pt idx="187">
                  <c:v>1.2008000000000001</c:v>
                </c:pt>
                <c:pt idx="188">
                  <c:v>1.2008000000000001</c:v>
                </c:pt>
                <c:pt idx="189">
                  <c:v>1.2009000000000001</c:v>
                </c:pt>
                <c:pt idx="190">
                  <c:v>1.2009000000000001</c:v>
                </c:pt>
                <c:pt idx="191">
                  <c:v>1.2009000000000001</c:v>
                </c:pt>
                <c:pt idx="192">
                  <c:v>1.2009000000000001</c:v>
                </c:pt>
                <c:pt idx="193">
                  <c:v>1.2009000000000001</c:v>
                </c:pt>
                <c:pt idx="194">
                  <c:v>1.2009000000000001</c:v>
                </c:pt>
                <c:pt idx="195">
                  <c:v>1.2010000000000001</c:v>
                </c:pt>
                <c:pt idx="196">
                  <c:v>1.2009000000000001</c:v>
                </c:pt>
                <c:pt idx="197">
                  <c:v>1.2009000000000001</c:v>
                </c:pt>
                <c:pt idx="198">
                  <c:v>1.2010000000000001</c:v>
                </c:pt>
                <c:pt idx="199">
                  <c:v>1.2010000000000001</c:v>
                </c:pt>
                <c:pt idx="200">
                  <c:v>1.2010000000000001</c:v>
                </c:pt>
                <c:pt idx="201">
                  <c:v>1.2010000000000001</c:v>
                </c:pt>
                <c:pt idx="202">
                  <c:v>1.2010000000000001</c:v>
                </c:pt>
                <c:pt idx="203">
                  <c:v>1.2010000000000001</c:v>
                </c:pt>
                <c:pt idx="204">
                  <c:v>1.2011000000000001</c:v>
                </c:pt>
                <c:pt idx="205">
                  <c:v>1.2012</c:v>
                </c:pt>
                <c:pt idx="206">
                  <c:v>1.2012</c:v>
                </c:pt>
                <c:pt idx="207">
                  <c:v>1.2012</c:v>
                </c:pt>
                <c:pt idx="208">
                  <c:v>1.2012</c:v>
                </c:pt>
                <c:pt idx="209">
                  <c:v>1.2013</c:v>
                </c:pt>
                <c:pt idx="210">
                  <c:v>1.2013</c:v>
                </c:pt>
                <c:pt idx="211">
                  <c:v>1.2013</c:v>
                </c:pt>
                <c:pt idx="212">
                  <c:v>1.2012</c:v>
                </c:pt>
                <c:pt idx="213">
                  <c:v>1.2012</c:v>
                </c:pt>
                <c:pt idx="214">
                  <c:v>1.2012</c:v>
                </c:pt>
                <c:pt idx="215">
                  <c:v>1.2012</c:v>
                </c:pt>
                <c:pt idx="216">
                  <c:v>1.2012</c:v>
                </c:pt>
                <c:pt idx="217">
                  <c:v>1.2011000000000001</c:v>
                </c:pt>
                <c:pt idx="218">
                  <c:v>1.2011000000000001</c:v>
                </c:pt>
                <c:pt idx="219">
                  <c:v>1.2010000000000001</c:v>
                </c:pt>
                <c:pt idx="220">
                  <c:v>1.2010000000000001</c:v>
                </c:pt>
                <c:pt idx="221">
                  <c:v>1.2010000000000001</c:v>
                </c:pt>
                <c:pt idx="222">
                  <c:v>1.2010000000000001</c:v>
                </c:pt>
                <c:pt idx="223">
                  <c:v>1.2009000000000001</c:v>
                </c:pt>
                <c:pt idx="224">
                  <c:v>1.2009000000000001</c:v>
                </c:pt>
                <c:pt idx="225">
                  <c:v>1.2008000000000001</c:v>
                </c:pt>
                <c:pt idx="226">
                  <c:v>1.2008000000000001</c:v>
                </c:pt>
                <c:pt idx="227">
                  <c:v>1.2007000000000001</c:v>
                </c:pt>
                <c:pt idx="228">
                  <c:v>1.2007000000000001</c:v>
                </c:pt>
                <c:pt idx="229">
                  <c:v>1.2007000000000001</c:v>
                </c:pt>
                <c:pt idx="230">
                  <c:v>1.2007000000000001</c:v>
                </c:pt>
                <c:pt idx="231">
                  <c:v>1.2007000000000001</c:v>
                </c:pt>
                <c:pt idx="232">
                  <c:v>1.2005999999999999</c:v>
                </c:pt>
                <c:pt idx="233">
                  <c:v>1.2005999999999999</c:v>
                </c:pt>
                <c:pt idx="234">
                  <c:v>1.2005999999999999</c:v>
                </c:pt>
                <c:pt idx="235">
                  <c:v>1.2005999999999999</c:v>
                </c:pt>
                <c:pt idx="236">
                  <c:v>1.2005999999999999</c:v>
                </c:pt>
                <c:pt idx="237">
                  <c:v>1.2004999999999999</c:v>
                </c:pt>
                <c:pt idx="238">
                  <c:v>1.2003999999999999</c:v>
                </c:pt>
                <c:pt idx="239">
                  <c:v>1.2002999999999999</c:v>
                </c:pt>
                <c:pt idx="240">
                  <c:v>1.2000999999999999</c:v>
                </c:pt>
                <c:pt idx="241">
                  <c:v>1.2</c:v>
                </c:pt>
                <c:pt idx="242">
                  <c:v>1.2</c:v>
                </c:pt>
                <c:pt idx="243">
                  <c:v>1.2</c:v>
                </c:pt>
                <c:pt idx="244">
                  <c:v>1.1998</c:v>
                </c:pt>
                <c:pt idx="245">
                  <c:v>1.1997</c:v>
                </c:pt>
                <c:pt idx="246">
                  <c:v>1.1995</c:v>
                </c:pt>
                <c:pt idx="247">
                  <c:v>1.1993</c:v>
                </c:pt>
                <c:pt idx="248">
                  <c:v>1.1991000000000001</c:v>
                </c:pt>
                <c:pt idx="249">
                  <c:v>1.1991000000000001</c:v>
                </c:pt>
                <c:pt idx="250">
                  <c:v>1.1991000000000001</c:v>
                </c:pt>
                <c:pt idx="251">
                  <c:v>1.1989000000000001</c:v>
                </c:pt>
                <c:pt idx="252">
                  <c:v>1.1987000000000001</c:v>
                </c:pt>
                <c:pt idx="253">
                  <c:v>1.1984999999999999</c:v>
                </c:pt>
                <c:pt idx="254">
                  <c:v>1.1981999999999999</c:v>
                </c:pt>
                <c:pt idx="255">
                  <c:v>1.1979</c:v>
                </c:pt>
                <c:pt idx="256">
                  <c:v>1.1979</c:v>
                </c:pt>
                <c:pt idx="257">
                  <c:v>1.1979</c:v>
                </c:pt>
                <c:pt idx="258">
                  <c:v>1.1977</c:v>
                </c:pt>
                <c:pt idx="259">
                  <c:v>1.1974</c:v>
                </c:pt>
                <c:pt idx="260">
                  <c:v>1.1971000000000001</c:v>
                </c:pt>
                <c:pt idx="261">
                  <c:v>1.1968000000000001</c:v>
                </c:pt>
                <c:pt idx="262">
                  <c:v>1.1964999999999999</c:v>
                </c:pt>
                <c:pt idx="263">
                  <c:v>1.1964999999999999</c:v>
                </c:pt>
                <c:pt idx="264">
                  <c:v>1.1964999999999999</c:v>
                </c:pt>
                <c:pt idx="265">
                  <c:v>1.1961999999999999</c:v>
                </c:pt>
                <c:pt idx="266">
                  <c:v>1.1959</c:v>
                </c:pt>
                <c:pt idx="267">
                  <c:v>1.1955</c:v>
                </c:pt>
                <c:pt idx="268">
                  <c:v>1.1952</c:v>
                </c:pt>
                <c:pt idx="269">
                  <c:v>1.1949000000000001</c:v>
                </c:pt>
                <c:pt idx="270">
                  <c:v>1.1949000000000001</c:v>
                </c:pt>
                <c:pt idx="271">
                  <c:v>1.1949000000000001</c:v>
                </c:pt>
                <c:pt idx="272">
                  <c:v>1.1944999999999999</c:v>
                </c:pt>
                <c:pt idx="273">
                  <c:v>1.1940999999999999</c:v>
                </c:pt>
                <c:pt idx="274">
                  <c:v>1.1938</c:v>
                </c:pt>
                <c:pt idx="275">
                  <c:v>1.1934</c:v>
                </c:pt>
                <c:pt idx="276">
                  <c:v>1.1931</c:v>
                </c:pt>
                <c:pt idx="277">
                  <c:v>1.1931</c:v>
                </c:pt>
                <c:pt idx="278">
                  <c:v>1.1931</c:v>
                </c:pt>
                <c:pt idx="279">
                  <c:v>1.1929000000000001</c:v>
                </c:pt>
                <c:pt idx="280">
                  <c:v>1.1926000000000001</c:v>
                </c:pt>
                <c:pt idx="281">
                  <c:v>1.1922999999999999</c:v>
                </c:pt>
                <c:pt idx="282">
                  <c:v>1.1919999999999999</c:v>
                </c:pt>
                <c:pt idx="283">
                  <c:v>1.1918</c:v>
                </c:pt>
                <c:pt idx="284">
                  <c:v>1.1918</c:v>
                </c:pt>
                <c:pt idx="285">
                  <c:v>1.1918</c:v>
                </c:pt>
                <c:pt idx="286">
                  <c:v>1.1916</c:v>
                </c:pt>
                <c:pt idx="287">
                  <c:v>1.1913</c:v>
                </c:pt>
                <c:pt idx="288">
                  <c:v>1.1911</c:v>
                </c:pt>
                <c:pt idx="289">
                  <c:v>1.1908000000000001</c:v>
                </c:pt>
                <c:pt idx="290">
                  <c:v>1.1904999999999999</c:v>
                </c:pt>
                <c:pt idx="291">
                  <c:v>1.1904999999999999</c:v>
                </c:pt>
                <c:pt idx="292">
                  <c:v>1.1904999999999999</c:v>
                </c:pt>
                <c:pt idx="293">
                  <c:v>1.1902999999999999</c:v>
                </c:pt>
                <c:pt idx="294">
                  <c:v>1.19</c:v>
                </c:pt>
                <c:pt idx="295">
                  <c:v>1.1897</c:v>
                </c:pt>
                <c:pt idx="296">
                  <c:v>1.1894</c:v>
                </c:pt>
                <c:pt idx="297">
                  <c:v>1.1892</c:v>
                </c:pt>
                <c:pt idx="298">
                  <c:v>1.1892</c:v>
                </c:pt>
                <c:pt idx="299">
                  <c:v>1.1892</c:v>
                </c:pt>
                <c:pt idx="300">
                  <c:v>1.1889000000000001</c:v>
                </c:pt>
                <c:pt idx="301">
                  <c:v>1.1887000000000001</c:v>
                </c:pt>
                <c:pt idx="302">
                  <c:v>1.1883999999999999</c:v>
                </c:pt>
                <c:pt idx="303">
                  <c:v>1.1881999999999999</c:v>
                </c:pt>
                <c:pt idx="304">
                  <c:v>1.1879</c:v>
                </c:pt>
                <c:pt idx="305">
                  <c:v>1.1879</c:v>
                </c:pt>
                <c:pt idx="306">
                  <c:v>1.1879</c:v>
                </c:pt>
                <c:pt idx="307">
                  <c:v>1.1875</c:v>
                </c:pt>
                <c:pt idx="308">
                  <c:v>1.1871</c:v>
                </c:pt>
                <c:pt idx="309">
                  <c:v>1.1867000000000001</c:v>
                </c:pt>
                <c:pt idx="310">
                  <c:v>1.1862999999999999</c:v>
                </c:pt>
                <c:pt idx="311">
                  <c:v>1.1859</c:v>
                </c:pt>
                <c:pt idx="312">
                  <c:v>1.1859</c:v>
                </c:pt>
                <c:pt idx="313">
                  <c:v>1.1859</c:v>
                </c:pt>
                <c:pt idx="314">
                  <c:v>1.1855</c:v>
                </c:pt>
                <c:pt idx="315">
                  <c:v>1.1850000000000001</c:v>
                </c:pt>
                <c:pt idx="316">
                  <c:v>1.1846000000000001</c:v>
                </c:pt>
                <c:pt idx="317">
                  <c:v>1.1841999999999999</c:v>
                </c:pt>
                <c:pt idx="318">
                  <c:v>1.1838</c:v>
                </c:pt>
                <c:pt idx="319">
                  <c:v>1.1838</c:v>
                </c:pt>
                <c:pt idx="320">
                  <c:v>1.1838</c:v>
                </c:pt>
                <c:pt idx="321">
                  <c:v>1.1834</c:v>
                </c:pt>
                <c:pt idx="322">
                  <c:v>1.1829000000000001</c:v>
                </c:pt>
                <c:pt idx="323">
                  <c:v>1.1825000000000001</c:v>
                </c:pt>
                <c:pt idx="324">
                  <c:v>1.1820999999999999</c:v>
                </c:pt>
                <c:pt idx="325">
                  <c:v>1.1817</c:v>
                </c:pt>
                <c:pt idx="326">
                  <c:v>1.1817</c:v>
                </c:pt>
                <c:pt idx="327">
                  <c:v>1.1817</c:v>
                </c:pt>
                <c:pt idx="328">
                  <c:v>1.1813</c:v>
                </c:pt>
                <c:pt idx="329">
                  <c:v>1.1809000000000001</c:v>
                </c:pt>
                <c:pt idx="330">
                  <c:v>1.1806000000000001</c:v>
                </c:pt>
                <c:pt idx="331">
                  <c:v>1.1801999999999999</c:v>
                </c:pt>
                <c:pt idx="332">
                  <c:v>1.1798999999999999</c:v>
                </c:pt>
                <c:pt idx="333">
                  <c:v>1.1798999999999999</c:v>
                </c:pt>
                <c:pt idx="334">
                  <c:v>1.1798999999999999</c:v>
                </c:pt>
                <c:pt idx="335">
                  <c:v>1.1796</c:v>
                </c:pt>
                <c:pt idx="336">
                  <c:v>1.1793</c:v>
                </c:pt>
                <c:pt idx="337">
                  <c:v>1.179</c:v>
                </c:pt>
                <c:pt idx="338">
                  <c:v>1.1787000000000001</c:v>
                </c:pt>
                <c:pt idx="339">
                  <c:v>1.1782999999999999</c:v>
                </c:pt>
                <c:pt idx="340">
                  <c:v>1.1782999999999999</c:v>
                </c:pt>
                <c:pt idx="341">
                  <c:v>1.1782999999999999</c:v>
                </c:pt>
                <c:pt idx="342">
                  <c:v>1.1779999999999999</c:v>
                </c:pt>
                <c:pt idx="343">
                  <c:v>1.1777</c:v>
                </c:pt>
                <c:pt idx="344">
                  <c:v>1.1773</c:v>
                </c:pt>
                <c:pt idx="345">
                  <c:v>1.1771</c:v>
                </c:pt>
                <c:pt idx="346">
                  <c:v>1.1768000000000001</c:v>
                </c:pt>
                <c:pt idx="347">
                  <c:v>1.1768000000000001</c:v>
                </c:pt>
                <c:pt idx="348">
                  <c:v>1.1768000000000001</c:v>
                </c:pt>
                <c:pt idx="349">
                  <c:v>1.1765000000000001</c:v>
                </c:pt>
                <c:pt idx="350">
                  <c:v>1.1761999999999999</c:v>
                </c:pt>
                <c:pt idx="351">
                  <c:v>1.1759999999999999</c:v>
                </c:pt>
                <c:pt idx="352">
                  <c:v>1.1757</c:v>
                </c:pt>
                <c:pt idx="353">
                  <c:v>1.1755</c:v>
                </c:pt>
                <c:pt idx="354">
                  <c:v>1.1755</c:v>
                </c:pt>
                <c:pt idx="355">
                  <c:v>1.1755</c:v>
                </c:pt>
                <c:pt idx="356">
                  <c:v>1.1753</c:v>
                </c:pt>
                <c:pt idx="357">
                  <c:v>1.1751</c:v>
                </c:pt>
                <c:pt idx="358">
                  <c:v>1.1749000000000001</c:v>
                </c:pt>
                <c:pt idx="359">
                  <c:v>1.1746000000000001</c:v>
                </c:pt>
                <c:pt idx="360">
                  <c:v>1.1744000000000001</c:v>
                </c:pt>
                <c:pt idx="361">
                  <c:v>1.1744000000000001</c:v>
                </c:pt>
                <c:pt idx="362">
                  <c:v>1.1744000000000001</c:v>
                </c:pt>
                <c:pt idx="363">
                  <c:v>1.1741999999999999</c:v>
                </c:pt>
                <c:pt idx="364">
                  <c:v>1.1738999999999999</c:v>
                </c:pt>
                <c:pt idx="365">
                  <c:v>1.1737</c:v>
                </c:pt>
                <c:pt idx="366">
                  <c:v>1.1735</c:v>
                </c:pt>
              </c:numCache>
            </c:numRef>
          </c:val>
          <c:smooth val="0"/>
          <c:extLst>
            <c:ext xmlns:c16="http://schemas.microsoft.com/office/drawing/2014/chart" uri="{C3380CC4-5D6E-409C-BE32-E72D297353CC}">
              <c16:uniqueId val="{00000001-768A-4C52-AFCC-738259616F6E}"/>
            </c:ext>
          </c:extLst>
        </c:ser>
        <c:dLbls>
          <c:showLegendKey val="0"/>
          <c:showVal val="0"/>
          <c:showCatName val="0"/>
          <c:showSerName val="0"/>
          <c:showPercent val="0"/>
          <c:showBubbleSize val="0"/>
        </c:dLbls>
        <c:smooth val="0"/>
        <c:axId val="110018944"/>
        <c:axId val="110020480"/>
      </c:lineChart>
      <c:dateAx>
        <c:axId val="110018944"/>
        <c:scaling>
          <c:orientation val="minMax"/>
        </c:scaling>
        <c:delete val="0"/>
        <c:axPos val="b"/>
        <c:numFmt formatCode="yy\.mmm" sourceLinked="0"/>
        <c:majorTickMark val="none"/>
        <c:minorTickMark val="none"/>
        <c:tickLblPos val="low"/>
        <c:spPr>
          <a:ln w="3175">
            <a:noFill/>
            <a:prstDash val="solid"/>
          </a:ln>
        </c:spPr>
        <c:txPr>
          <a:bodyPr rot="0" vert="horz"/>
          <a:lstStyle/>
          <a:p>
            <a:pPr>
              <a:defRPr sz="700" b="0" i="0" u="none" strike="noStrike" baseline="0">
                <a:solidFill>
                  <a:schemeClr val="tx1"/>
                </a:solidFill>
                <a:latin typeface="Calibri"/>
                <a:ea typeface="Calibri"/>
                <a:cs typeface="Calibri"/>
              </a:defRPr>
            </a:pPr>
            <a:endParaRPr lang="hu-HU"/>
          </a:p>
        </c:txPr>
        <c:crossAx val="110020480"/>
        <c:crosses val="autoZero"/>
        <c:auto val="1"/>
        <c:lblOffset val="100"/>
        <c:baseTimeUnit val="days"/>
        <c:majorUnit val="2"/>
        <c:majorTimeUnit val="months"/>
        <c:minorUnit val="1"/>
        <c:minorTimeUnit val="months"/>
      </c:dateAx>
      <c:valAx>
        <c:axId val="110020480"/>
        <c:scaling>
          <c:orientation val="minMax"/>
          <c:max val="1.24"/>
          <c:min val="1.1100000000000001"/>
        </c:scaling>
        <c:delete val="0"/>
        <c:axPos val="l"/>
        <c:majorGridlines>
          <c:spPr>
            <a:ln w="3175">
              <a:solidFill>
                <a:srgbClr val="C0C0C0"/>
              </a:solidFill>
              <a:prstDash val="solid"/>
            </a:ln>
          </c:spPr>
        </c:majorGridlines>
        <c:numFmt formatCode="0.00" sourceLinked="0"/>
        <c:majorTickMark val="none"/>
        <c:minorTickMark val="none"/>
        <c:tickLblPos val="low"/>
        <c:spPr>
          <a:ln>
            <a:noFill/>
          </a:ln>
        </c:spPr>
        <c:txPr>
          <a:bodyPr rot="0" vert="horz"/>
          <a:lstStyle/>
          <a:p>
            <a:pPr>
              <a:defRPr>
                <a:solidFill>
                  <a:schemeClr val="tx1"/>
                </a:solidFill>
              </a:defRPr>
            </a:pPr>
            <a:endParaRPr lang="hu-HU"/>
          </a:p>
        </c:txPr>
        <c:crossAx val="110018944"/>
        <c:crosses val="autoZero"/>
        <c:crossBetween val="between"/>
        <c:majorUnit val="2.0000000000000004E-2"/>
      </c:valAx>
      <c:spPr>
        <a:solidFill>
          <a:srgbClr val="FFFFFF"/>
        </a:solidFill>
        <a:ln w="25400">
          <a:noFill/>
        </a:ln>
      </c:spPr>
    </c:plotArea>
    <c:legend>
      <c:legendPos val="r"/>
      <c:layout>
        <c:manualLayout>
          <c:xMode val="edge"/>
          <c:yMode val="edge"/>
          <c:x val="0.16962152777777778"/>
          <c:y val="7.1189613526570061E-3"/>
          <c:w val="0.68458217592592596"/>
          <c:h val="5.2482487922705316E-2"/>
        </c:manualLayout>
      </c:layout>
      <c:overlay val="0"/>
      <c:spPr>
        <a:noFill/>
        <a:ln w="25400">
          <a:noFill/>
        </a:ln>
      </c:spPr>
      <c:txPr>
        <a:bodyPr/>
        <a:lstStyle/>
        <a:p>
          <a:pPr>
            <a:defRPr sz="700" b="0" i="0" u="none" strike="noStrike" baseline="0">
              <a:solidFill>
                <a:srgbClr val="000000"/>
              </a:solidFill>
              <a:latin typeface="Calibri"/>
              <a:ea typeface="Calibri"/>
              <a:cs typeface="Calibri"/>
            </a:defRPr>
          </a:pPr>
          <a:endParaRPr lang="hu-HU"/>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Calibri"/>
          <a:ea typeface="Calibri"/>
          <a:cs typeface="Calibri"/>
        </a:defRPr>
      </a:pPr>
      <a:endParaRPr lang="hu-H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62096084143329"/>
          <c:y val="0.13517029669536923"/>
          <c:w val="0.82252603040004613"/>
          <c:h val="0.75186014028948134"/>
        </c:manualLayout>
      </c:layout>
      <c:lineChart>
        <c:grouping val="standard"/>
        <c:varyColors val="0"/>
        <c:ser>
          <c:idx val="0"/>
          <c:order val="0"/>
          <c:tx>
            <c:strRef>
              <c:f>Állandó_ábrák!$B$38</c:f>
              <c:strCache>
                <c:ptCount val="1"/>
                <c:pt idx="0">
                  <c:v>Magyaro.</c:v>
                </c:pt>
              </c:strCache>
            </c:strRef>
          </c:tx>
          <c:spPr>
            <a:ln w="25400">
              <a:solidFill>
                <a:srgbClr val="005B99"/>
              </a:solidFill>
              <a:prstDash val="solid"/>
            </a:ln>
          </c:spPr>
          <c:marker>
            <c:symbol val="none"/>
          </c:marker>
          <c:cat>
            <c:numRef>
              <c:f>BB!$A$1:$A$367</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BB!$AE$1:$AE$367</c:f>
              <c:numCache>
                <c:formatCode>0.00</c:formatCode>
                <c:ptCount val="367"/>
                <c:pt idx="0">
                  <c:v>6.4000000000000001E-2</c:v>
                </c:pt>
                <c:pt idx="1">
                  <c:v>6.0000000000000005E-2</c:v>
                </c:pt>
                <c:pt idx="2">
                  <c:v>5.2999999999999999E-2</c:v>
                </c:pt>
                <c:pt idx="3">
                  <c:v>5.3999999999999999E-2</c:v>
                </c:pt>
                <c:pt idx="4">
                  <c:v>5.3999999999999999E-2</c:v>
                </c:pt>
                <c:pt idx="5">
                  <c:v>5.3999999999999999E-2</c:v>
                </c:pt>
                <c:pt idx="6">
                  <c:v>5.45E-2</c:v>
                </c:pt>
                <c:pt idx="7">
                  <c:v>5.45E-2</c:v>
                </c:pt>
                <c:pt idx="8">
                  <c:v>5.0500000000000003E-2</c:v>
                </c:pt>
                <c:pt idx="9">
                  <c:v>5.0499999999999996E-2</c:v>
                </c:pt>
                <c:pt idx="10">
                  <c:v>5.1499999999999997E-2</c:v>
                </c:pt>
                <c:pt idx="11">
                  <c:v>5.1499999999999997E-2</c:v>
                </c:pt>
                <c:pt idx="12">
                  <c:v>5.1499999999999997E-2</c:v>
                </c:pt>
                <c:pt idx="13">
                  <c:v>4.65E-2</c:v>
                </c:pt>
                <c:pt idx="14">
                  <c:v>0.04</c:v>
                </c:pt>
                <c:pt idx="15">
                  <c:v>4.0500000000000001E-2</c:v>
                </c:pt>
                <c:pt idx="16">
                  <c:v>3.0499999999999999E-2</c:v>
                </c:pt>
                <c:pt idx="17">
                  <c:v>2.7000000000000003E-2</c:v>
                </c:pt>
                <c:pt idx="18">
                  <c:v>2.7000000000000003E-2</c:v>
                </c:pt>
                <c:pt idx="19">
                  <c:v>2.7000000000000003E-2</c:v>
                </c:pt>
                <c:pt idx="20">
                  <c:v>1.7500000000000002E-2</c:v>
                </c:pt>
                <c:pt idx="21">
                  <c:v>7.4999999999999997E-3</c:v>
                </c:pt>
                <c:pt idx="22">
                  <c:v>2.5000000000000022E-3</c:v>
                </c:pt>
                <c:pt idx="23">
                  <c:v>1.5000000000000013E-3</c:v>
                </c:pt>
                <c:pt idx="24">
                  <c:v>-3.9999999999999966E-3</c:v>
                </c:pt>
                <c:pt idx="25">
                  <c:v>-3.9999999999999966E-3</c:v>
                </c:pt>
                <c:pt idx="26">
                  <c:v>-3.9999999999999966E-3</c:v>
                </c:pt>
                <c:pt idx="27">
                  <c:v>-1.4999999999999999E-2</c:v>
                </c:pt>
                <c:pt idx="28">
                  <c:v>-4.5000000000000005E-2</c:v>
                </c:pt>
                <c:pt idx="29">
                  <c:v>-5.5E-2</c:v>
                </c:pt>
                <c:pt idx="30">
                  <c:v>-6.6000000000000003E-2</c:v>
                </c:pt>
                <c:pt idx="31">
                  <c:v>-7.2500000000000009E-2</c:v>
                </c:pt>
                <c:pt idx="32">
                  <c:v>-7.2500000000000009E-2</c:v>
                </c:pt>
                <c:pt idx="33">
                  <c:v>-7.2500000000000009E-2</c:v>
                </c:pt>
                <c:pt idx="34">
                  <c:v>-6.0000000000000005E-2</c:v>
                </c:pt>
                <c:pt idx="35">
                  <c:v>-0.05</c:v>
                </c:pt>
                <c:pt idx="36">
                  <c:v>-4.2499999999999996E-2</c:v>
                </c:pt>
                <c:pt idx="37">
                  <c:v>-4.3999999999999997E-2</c:v>
                </c:pt>
                <c:pt idx="38">
                  <c:v>-4.1000000000000002E-2</c:v>
                </c:pt>
                <c:pt idx="39">
                  <c:v>-4.1000000000000002E-2</c:v>
                </c:pt>
                <c:pt idx="40">
                  <c:v>-4.1000000000000002E-2</c:v>
                </c:pt>
                <c:pt idx="41">
                  <c:v>-3.15E-2</c:v>
                </c:pt>
                <c:pt idx="42">
                  <c:v>-2.1999999999999999E-2</c:v>
                </c:pt>
                <c:pt idx="43">
                  <c:v>-1.2E-2</c:v>
                </c:pt>
                <c:pt idx="44">
                  <c:v>2.0000000000000018E-3</c:v>
                </c:pt>
                <c:pt idx="45">
                  <c:v>2.4999999999999998E-2</c:v>
                </c:pt>
                <c:pt idx="46">
                  <c:v>2.4999999999999998E-2</c:v>
                </c:pt>
                <c:pt idx="47">
                  <c:v>2.4999999999999998E-2</c:v>
                </c:pt>
                <c:pt idx="48">
                  <c:v>1.0499999999999999E-2</c:v>
                </c:pt>
                <c:pt idx="49">
                  <c:v>1.2500000000000001E-2</c:v>
                </c:pt>
                <c:pt idx="50">
                  <c:v>3.2500000000000001E-2</c:v>
                </c:pt>
                <c:pt idx="51">
                  <c:v>3.3500000000000002E-2</c:v>
                </c:pt>
                <c:pt idx="52">
                  <c:v>4.3999999999999997E-2</c:v>
                </c:pt>
                <c:pt idx="53">
                  <c:v>4.3999999999999997E-2</c:v>
                </c:pt>
                <c:pt idx="54">
                  <c:v>4.3999999999999997E-2</c:v>
                </c:pt>
                <c:pt idx="55">
                  <c:v>6.3E-2</c:v>
                </c:pt>
                <c:pt idx="56">
                  <c:v>5.6500000000000002E-2</c:v>
                </c:pt>
                <c:pt idx="57">
                  <c:v>4.65E-2</c:v>
                </c:pt>
                <c:pt idx="58">
                  <c:v>2.4500000000000001E-2</c:v>
                </c:pt>
                <c:pt idx="59">
                  <c:v>2.9499999999999998E-2</c:v>
                </c:pt>
                <c:pt idx="60">
                  <c:v>2.9499999999999998E-2</c:v>
                </c:pt>
                <c:pt idx="61">
                  <c:v>2.9499999999999998E-2</c:v>
                </c:pt>
                <c:pt idx="62">
                  <c:v>2.1000000000000001E-2</c:v>
                </c:pt>
                <c:pt idx="63">
                  <c:v>6.4999999999999988E-3</c:v>
                </c:pt>
                <c:pt idx="64">
                  <c:v>6.9999999999999993E-3</c:v>
                </c:pt>
                <c:pt idx="65">
                  <c:v>2.7999999999999997E-2</c:v>
                </c:pt>
                <c:pt idx="66">
                  <c:v>2.4500000000000001E-2</c:v>
                </c:pt>
                <c:pt idx="67">
                  <c:v>2.4500000000000001E-2</c:v>
                </c:pt>
                <c:pt idx="68">
                  <c:v>2.4500000000000001E-2</c:v>
                </c:pt>
                <c:pt idx="69">
                  <c:v>2.4999999999999994E-2</c:v>
                </c:pt>
                <c:pt idx="70">
                  <c:v>8.0000000000000002E-3</c:v>
                </c:pt>
                <c:pt idx="71">
                  <c:v>-5.4999999999999979E-3</c:v>
                </c:pt>
                <c:pt idx="72">
                  <c:v>-1.8000000000000002E-2</c:v>
                </c:pt>
                <c:pt idx="73">
                  <c:v>-1.4499999999999999E-2</c:v>
                </c:pt>
                <c:pt idx="74">
                  <c:v>-1.4499999999999999E-2</c:v>
                </c:pt>
                <c:pt idx="75">
                  <c:v>-1.4499999999999999E-2</c:v>
                </c:pt>
                <c:pt idx="76">
                  <c:v>-2.5499999999999998E-2</c:v>
                </c:pt>
                <c:pt idx="77">
                  <c:v>-1.3000000000000001E-2</c:v>
                </c:pt>
                <c:pt idx="78">
                  <c:v>-2.6500000000000003E-2</c:v>
                </c:pt>
                <c:pt idx="79">
                  <c:v>-4.2499999999999996E-2</c:v>
                </c:pt>
                <c:pt idx="80">
                  <c:v>-4.2499999999999996E-2</c:v>
                </c:pt>
                <c:pt idx="81">
                  <c:v>-4.2499999999999996E-2</c:v>
                </c:pt>
                <c:pt idx="82">
                  <c:v>-4.2499999999999996E-2</c:v>
                </c:pt>
                <c:pt idx="83">
                  <c:v>-4.2499999999999996E-2</c:v>
                </c:pt>
                <c:pt idx="84">
                  <c:v>-0.04</c:v>
                </c:pt>
                <c:pt idx="85">
                  <c:v>-5.4000000000000006E-2</c:v>
                </c:pt>
                <c:pt idx="86">
                  <c:v>-5.4999999999999993E-2</c:v>
                </c:pt>
                <c:pt idx="87">
                  <c:v>-5.4500000000000007E-2</c:v>
                </c:pt>
                <c:pt idx="88">
                  <c:v>-5.4500000000000007E-2</c:v>
                </c:pt>
                <c:pt idx="89">
                  <c:v>-5.4500000000000007E-2</c:v>
                </c:pt>
                <c:pt idx="90">
                  <c:v>-5.5999999999999994E-2</c:v>
                </c:pt>
                <c:pt idx="91">
                  <c:v>-5.45E-2</c:v>
                </c:pt>
                <c:pt idx="92">
                  <c:v>-5.1500000000000004E-2</c:v>
                </c:pt>
                <c:pt idx="93">
                  <c:v>-5.9499999999999997E-2</c:v>
                </c:pt>
                <c:pt idx="94">
                  <c:v>-6.5500000000000003E-2</c:v>
                </c:pt>
                <c:pt idx="95">
                  <c:v>-6.5500000000000003E-2</c:v>
                </c:pt>
                <c:pt idx="96">
                  <c:v>-6.5500000000000003E-2</c:v>
                </c:pt>
                <c:pt idx="97">
                  <c:v>-6.2E-2</c:v>
                </c:pt>
                <c:pt idx="98">
                  <c:v>-5.7499999999999996E-2</c:v>
                </c:pt>
                <c:pt idx="99">
                  <c:v>-5.7999999999999996E-2</c:v>
                </c:pt>
                <c:pt idx="100">
                  <c:v>-5.6499999999999995E-2</c:v>
                </c:pt>
                <c:pt idx="101">
                  <c:v>-5.5E-2</c:v>
                </c:pt>
                <c:pt idx="102">
                  <c:v>-5.5E-2</c:v>
                </c:pt>
                <c:pt idx="103">
                  <c:v>-5.5E-2</c:v>
                </c:pt>
                <c:pt idx="104">
                  <c:v>-5.5999999999999994E-2</c:v>
                </c:pt>
                <c:pt idx="105">
                  <c:v>-5.45E-2</c:v>
                </c:pt>
                <c:pt idx="106">
                  <c:v>-4.3999999999999997E-2</c:v>
                </c:pt>
                <c:pt idx="107">
                  <c:v>-3.9999999999999994E-2</c:v>
                </c:pt>
                <c:pt idx="108">
                  <c:v>-4.0999999999999995E-2</c:v>
                </c:pt>
                <c:pt idx="109">
                  <c:v>-4.0999999999999995E-2</c:v>
                </c:pt>
                <c:pt idx="110">
                  <c:v>-4.0999999999999995E-2</c:v>
                </c:pt>
                <c:pt idx="111">
                  <c:v>-4.0999999999999995E-2</c:v>
                </c:pt>
                <c:pt idx="112">
                  <c:v>-4.3999999999999997E-2</c:v>
                </c:pt>
                <c:pt idx="113">
                  <c:v>-4.4499999999999998E-2</c:v>
                </c:pt>
                <c:pt idx="114">
                  <c:v>-0.05</c:v>
                </c:pt>
                <c:pt idx="115">
                  <c:v>-5.8499999999999996E-2</c:v>
                </c:pt>
                <c:pt idx="116">
                  <c:v>-5.8499999999999996E-2</c:v>
                </c:pt>
                <c:pt idx="117">
                  <c:v>-5.8499999999999996E-2</c:v>
                </c:pt>
                <c:pt idx="118">
                  <c:v>-5.6499999999999995E-2</c:v>
                </c:pt>
                <c:pt idx="119">
                  <c:v>-5.1000000000000004E-2</c:v>
                </c:pt>
                <c:pt idx="120">
                  <c:v>-2.7E-2</c:v>
                </c:pt>
                <c:pt idx="121">
                  <c:v>-2.3999999999999997E-2</c:v>
                </c:pt>
                <c:pt idx="122">
                  <c:v>-2.7499999999999997E-2</c:v>
                </c:pt>
                <c:pt idx="123">
                  <c:v>-2.7499999999999997E-2</c:v>
                </c:pt>
                <c:pt idx="124">
                  <c:v>-2.7499999999999997E-2</c:v>
                </c:pt>
                <c:pt idx="125">
                  <c:v>-1.2500000000000001E-2</c:v>
                </c:pt>
                <c:pt idx="126">
                  <c:v>5.0000000000000044E-4</c:v>
                </c:pt>
                <c:pt idx="127">
                  <c:v>2.0000000000000004E-2</c:v>
                </c:pt>
                <c:pt idx="128">
                  <c:v>1.9500000000000003E-2</c:v>
                </c:pt>
                <c:pt idx="129">
                  <c:v>1.15E-2</c:v>
                </c:pt>
                <c:pt idx="130">
                  <c:v>1.15E-2</c:v>
                </c:pt>
                <c:pt idx="131">
                  <c:v>1.15E-2</c:v>
                </c:pt>
                <c:pt idx="132">
                  <c:v>1.15E-2</c:v>
                </c:pt>
                <c:pt idx="133">
                  <c:v>2.5000000000000022E-3</c:v>
                </c:pt>
                <c:pt idx="134">
                  <c:v>-1.0999999999999999E-2</c:v>
                </c:pt>
                <c:pt idx="135">
                  <c:v>-2.3999999999999997E-2</c:v>
                </c:pt>
                <c:pt idx="136">
                  <c:v>-2.5499999999999995E-2</c:v>
                </c:pt>
                <c:pt idx="137">
                  <c:v>-2.5499999999999995E-2</c:v>
                </c:pt>
                <c:pt idx="138">
                  <c:v>-2.5499999999999995E-2</c:v>
                </c:pt>
                <c:pt idx="139">
                  <c:v>-2.5499999999999995E-2</c:v>
                </c:pt>
                <c:pt idx="140">
                  <c:v>-2.9499999999999998E-2</c:v>
                </c:pt>
                <c:pt idx="141">
                  <c:v>-3.2000000000000001E-2</c:v>
                </c:pt>
                <c:pt idx="142">
                  <c:v>-3.4500000000000003E-2</c:v>
                </c:pt>
                <c:pt idx="143">
                  <c:v>-3.5000000000000003E-2</c:v>
                </c:pt>
                <c:pt idx="144">
                  <c:v>-3.5000000000000003E-2</c:v>
                </c:pt>
                <c:pt idx="145">
                  <c:v>-3.5000000000000003E-2</c:v>
                </c:pt>
                <c:pt idx="146">
                  <c:v>-3.85E-2</c:v>
                </c:pt>
                <c:pt idx="147">
                  <c:v>-4.3999999999999997E-2</c:v>
                </c:pt>
                <c:pt idx="148">
                  <c:v>-5.2499999999999998E-2</c:v>
                </c:pt>
                <c:pt idx="149">
                  <c:v>-5.5500000000000001E-2</c:v>
                </c:pt>
                <c:pt idx="150">
                  <c:v>-5.8499999999999996E-2</c:v>
                </c:pt>
                <c:pt idx="151">
                  <c:v>-5.8499999999999996E-2</c:v>
                </c:pt>
                <c:pt idx="152">
                  <c:v>-5.8499999999999996E-2</c:v>
                </c:pt>
                <c:pt idx="153">
                  <c:v>-5.7000000000000002E-2</c:v>
                </c:pt>
                <c:pt idx="154">
                  <c:v>-5.1999999999999998E-2</c:v>
                </c:pt>
                <c:pt idx="155">
                  <c:v>-0.05</c:v>
                </c:pt>
                <c:pt idx="156">
                  <c:v>-4.0999999999999995E-2</c:v>
                </c:pt>
                <c:pt idx="157">
                  <c:v>-4.7E-2</c:v>
                </c:pt>
                <c:pt idx="158">
                  <c:v>-4.7E-2</c:v>
                </c:pt>
                <c:pt idx="159">
                  <c:v>-4.7E-2</c:v>
                </c:pt>
                <c:pt idx="160">
                  <c:v>-4.0500000000000001E-2</c:v>
                </c:pt>
                <c:pt idx="161">
                  <c:v>-3.4500000000000003E-2</c:v>
                </c:pt>
                <c:pt idx="162">
                  <c:v>-3.5500000000000004E-2</c:v>
                </c:pt>
                <c:pt idx="163">
                  <c:v>-3.7999999999999999E-2</c:v>
                </c:pt>
                <c:pt idx="164">
                  <c:v>-3.8000000000000006E-2</c:v>
                </c:pt>
                <c:pt idx="165">
                  <c:v>-3.8000000000000006E-2</c:v>
                </c:pt>
                <c:pt idx="166">
                  <c:v>-3.8000000000000006E-2</c:v>
                </c:pt>
                <c:pt idx="167">
                  <c:v>-3.6000000000000004E-2</c:v>
                </c:pt>
                <c:pt idx="168">
                  <c:v>-3.7499999999999999E-2</c:v>
                </c:pt>
                <c:pt idx="169">
                  <c:v>-3.8999999999999993E-2</c:v>
                </c:pt>
                <c:pt idx="170">
                  <c:v>-4.1999999999999996E-2</c:v>
                </c:pt>
                <c:pt idx="171">
                  <c:v>-4.3499999999999997E-2</c:v>
                </c:pt>
                <c:pt idx="172">
                  <c:v>-4.3499999999999997E-2</c:v>
                </c:pt>
                <c:pt idx="173">
                  <c:v>-4.3499999999999997E-2</c:v>
                </c:pt>
                <c:pt idx="174">
                  <c:v>-3.9E-2</c:v>
                </c:pt>
                <c:pt idx="175">
                  <c:v>-4.0999999999999995E-2</c:v>
                </c:pt>
                <c:pt idx="176">
                  <c:v>-4.3999999999999997E-2</c:v>
                </c:pt>
                <c:pt idx="177">
                  <c:v>-5.3499999999999999E-2</c:v>
                </c:pt>
                <c:pt idx="178">
                  <c:v>-5.1000000000000004E-2</c:v>
                </c:pt>
                <c:pt idx="179">
                  <c:v>-5.1000000000000004E-2</c:v>
                </c:pt>
                <c:pt idx="180">
                  <c:v>-5.1000000000000004E-2</c:v>
                </c:pt>
                <c:pt idx="181">
                  <c:v>-5.3999999999999999E-2</c:v>
                </c:pt>
                <c:pt idx="182">
                  <c:v>-5.6999999999999995E-2</c:v>
                </c:pt>
                <c:pt idx="183">
                  <c:v>-5.9499999999999997E-2</c:v>
                </c:pt>
                <c:pt idx="184">
                  <c:v>-6.4500000000000002E-2</c:v>
                </c:pt>
                <c:pt idx="185">
                  <c:v>-6.2E-2</c:v>
                </c:pt>
                <c:pt idx="186">
                  <c:v>-6.2E-2</c:v>
                </c:pt>
                <c:pt idx="187">
                  <c:v>-6.2E-2</c:v>
                </c:pt>
                <c:pt idx="188">
                  <c:v>-7.7499999999999999E-2</c:v>
                </c:pt>
                <c:pt idx="189">
                  <c:v>-7.5999999999999998E-2</c:v>
                </c:pt>
                <c:pt idx="190">
                  <c:v>-7.8E-2</c:v>
                </c:pt>
                <c:pt idx="191">
                  <c:v>-8.2000000000000003E-2</c:v>
                </c:pt>
                <c:pt idx="192">
                  <c:v>-8.4500000000000006E-2</c:v>
                </c:pt>
                <c:pt idx="193">
                  <c:v>-8.4500000000000006E-2</c:v>
                </c:pt>
                <c:pt idx="194">
                  <c:v>-8.4500000000000006E-2</c:v>
                </c:pt>
                <c:pt idx="195">
                  <c:v>-8.6500000000000007E-2</c:v>
                </c:pt>
                <c:pt idx="196">
                  <c:v>-9.1499999999999998E-2</c:v>
                </c:pt>
                <c:pt idx="197">
                  <c:v>-9.4E-2</c:v>
                </c:pt>
                <c:pt idx="198">
                  <c:v>-0.10199999999999999</c:v>
                </c:pt>
                <c:pt idx="199">
                  <c:v>-9.8999999999999991E-2</c:v>
                </c:pt>
                <c:pt idx="200">
                  <c:v>-9.8999999999999991E-2</c:v>
                </c:pt>
                <c:pt idx="201">
                  <c:v>-9.8999999999999991E-2</c:v>
                </c:pt>
                <c:pt idx="202">
                  <c:v>-0.113</c:v>
                </c:pt>
                <c:pt idx="203">
                  <c:v>-0.11</c:v>
                </c:pt>
                <c:pt idx="204">
                  <c:v>-0.121</c:v>
                </c:pt>
                <c:pt idx="205">
                  <c:v>-0.108</c:v>
                </c:pt>
                <c:pt idx="206">
                  <c:v>-0.11899999999999999</c:v>
                </c:pt>
                <c:pt idx="207">
                  <c:v>-0.11899999999999999</c:v>
                </c:pt>
                <c:pt idx="208">
                  <c:v>-0.11899999999999999</c:v>
                </c:pt>
                <c:pt idx="209">
                  <c:v>-0.1235</c:v>
                </c:pt>
                <c:pt idx="210">
                  <c:v>-0.1195</c:v>
                </c:pt>
                <c:pt idx="211">
                  <c:v>-0.127</c:v>
                </c:pt>
                <c:pt idx="212">
                  <c:v>-0.1245</c:v>
                </c:pt>
                <c:pt idx="213">
                  <c:v>-0.1275</c:v>
                </c:pt>
                <c:pt idx="214">
                  <c:v>-0.1275</c:v>
                </c:pt>
                <c:pt idx="215">
                  <c:v>-0.1275</c:v>
                </c:pt>
                <c:pt idx="216">
                  <c:v>-0.13100000000000001</c:v>
                </c:pt>
                <c:pt idx="217">
                  <c:v>-0.13250000000000001</c:v>
                </c:pt>
                <c:pt idx="218">
                  <c:v>-0.13300000000000001</c:v>
                </c:pt>
                <c:pt idx="219">
                  <c:v>-0.13</c:v>
                </c:pt>
                <c:pt idx="220">
                  <c:v>-0.1265</c:v>
                </c:pt>
                <c:pt idx="221">
                  <c:v>-0.1265</c:v>
                </c:pt>
                <c:pt idx="222">
                  <c:v>-0.1265</c:v>
                </c:pt>
                <c:pt idx="223">
                  <c:v>-0.128</c:v>
                </c:pt>
                <c:pt idx="224">
                  <c:v>-0.13300000000000001</c:v>
                </c:pt>
                <c:pt idx="225">
                  <c:v>-0.1295</c:v>
                </c:pt>
                <c:pt idx="226">
                  <c:v>-0.13250000000000001</c:v>
                </c:pt>
                <c:pt idx="227">
                  <c:v>-0.129</c:v>
                </c:pt>
                <c:pt idx="228">
                  <c:v>-0.129</c:v>
                </c:pt>
                <c:pt idx="229">
                  <c:v>-0.129</c:v>
                </c:pt>
                <c:pt idx="230">
                  <c:v>-0.129</c:v>
                </c:pt>
                <c:pt idx="231">
                  <c:v>-0.13400000000000001</c:v>
                </c:pt>
                <c:pt idx="232">
                  <c:v>-0.14150000000000001</c:v>
                </c:pt>
                <c:pt idx="233">
                  <c:v>-0.13950000000000001</c:v>
                </c:pt>
                <c:pt idx="234">
                  <c:v>-0.13700000000000001</c:v>
                </c:pt>
                <c:pt idx="235">
                  <c:v>-0.13700000000000001</c:v>
                </c:pt>
                <c:pt idx="236">
                  <c:v>-0.13700000000000001</c:v>
                </c:pt>
                <c:pt idx="237">
                  <c:v>-0.14200000000000002</c:v>
                </c:pt>
                <c:pt idx="238">
                  <c:v>-0.121</c:v>
                </c:pt>
                <c:pt idx="239">
                  <c:v>-0.123</c:v>
                </c:pt>
                <c:pt idx="240">
                  <c:v>-0.124</c:v>
                </c:pt>
                <c:pt idx="241">
                  <c:v>-0.13</c:v>
                </c:pt>
                <c:pt idx="242">
                  <c:v>-0.13</c:v>
                </c:pt>
                <c:pt idx="243">
                  <c:v>-0.13</c:v>
                </c:pt>
                <c:pt idx="244">
                  <c:v>-7.9000000000000001E-2</c:v>
                </c:pt>
                <c:pt idx="245">
                  <c:v>-7.4999999999999997E-2</c:v>
                </c:pt>
                <c:pt idx="246">
                  <c:v>-8.0500000000000002E-2</c:v>
                </c:pt>
                <c:pt idx="247">
                  <c:v>-8.6000000000000007E-2</c:v>
                </c:pt>
                <c:pt idx="248">
                  <c:v>-7.5000000000000011E-2</c:v>
                </c:pt>
                <c:pt idx="249">
                  <c:v>-7.5000000000000011E-2</c:v>
                </c:pt>
                <c:pt idx="250">
                  <c:v>-7.5000000000000011E-2</c:v>
                </c:pt>
                <c:pt idx="251">
                  <c:v>-5.5500000000000001E-2</c:v>
                </c:pt>
                <c:pt idx="252">
                  <c:v>-6.25E-2</c:v>
                </c:pt>
                <c:pt idx="253">
                  <c:v>-6.4500000000000002E-2</c:v>
                </c:pt>
                <c:pt idx="254">
                  <c:v>-5.2999999999999999E-2</c:v>
                </c:pt>
                <c:pt idx="255">
                  <c:v>-3.7999999999999999E-2</c:v>
                </c:pt>
                <c:pt idx="256">
                  <c:v>-3.7999999999999999E-2</c:v>
                </c:pt>
                <c:pt idx="257">
                  <c:v>-3.7999999999999999E-2</c:v>
                </c:pt>
                <c:pt idx="258">
                  <c:v>-3.6499999999999998E-2</c:v>
                </c:pt>
                <c:pt idx="259">
                  <c:v>-1.4999999999999998E-2</c:v>
                </c:pt>
                <c:pt idx="260">
                  <c:v>-2.4999999999999994E-2</c:v>
                </c:pt>
                <c:pt idx="261">
                  <c:v>-2.8499999999999998E-2</c:v>
                </c:pt>
                <c:pt idx="262">
                  <c:v>-2.1500000000000002E-2</c:v>
                </c:pt>
                <c:pt idx="263">
                  <c:v>-2.1500000000000002E-2</c:v>
                </c:pt>
                <c:pt idx="264">
                  <c:v>-2.1500000000000002E-2</c:v>
                </c:pt>
                <c:pt idx="265">
                  <c:v>-1.5000000000000001E-2</c:v>
                </c:pt>
                <c:pt idx="266">
                  <c:v>1.2500000000000001E-2</c:v>
                </c:pt>
                <c:pt idx="267">
                  <c:v>2.4E-2</c:v>
                </c:pt>
                <c:pt idx="268">
                  <c:v>2.0500000000000004E-2</c:v>
                </c:pt>
                <c:pt idx="269">
                  <c:v>3.4500000000000003E-2</c:v>
                </c:pt>
                <c:pt idx="270">
                  <c:v>3.4500000000000003E-2</c:v>
                </c:pt>
                <c:pt idx="271">
                  <c:v>3.4500000000000003E-2</c:v>
                </c:pt>
                <c:pt idx="272">
                  <c:v>4.5999999999999999E-2</c:v>
                </c:pt>
                <c:pt idx="273">
                  <c:v>6.6000000000000003E-2</c:v>
                </c:pt>
                <c:pt idx="274">
                  <c:v>6.4000000000000001E-2</c:v>
                </c:pt>
                <c:pt idx="275">
                  <c:v>4.5999999999999999E-2</c:v>
                </c:pt>
                <c:pt idx="276">
                  <c:v>4.7E-2</c:v>
                </c:pt>
                <c:pt idx="277">
                  <c:v>4.7E-2</c:v>
                </c:pt>
                <c:pt idx="278">
                  <c:v>4.7E-2</c:v>
                </c:pt>
                <c:pt idx="279">
                  <c:v>6.25E-2</c:v>
                </c:pt>
                <c:pt idx="280">
                  <c:v>7.2999999999999995E-2</c:v>
                </c:pt>
                <c:pt idx="281">
                  <c:v>7.6999999999999999E-2</c:v>
                </c:pt>
                <c:pt idx="282">
                  <c:v>8.2000000000000003E-2</c:v>
                </c:pt>
                <c:pt idx="283">
                  <c:v>9.0500000000000011E-2</c:v>
                </c:pt>
                <c:pt idx="284">
                  <c:v>9.0500000000000011E-2</c:v>
                </c:pt>
                <c:pt idx="285">
                  <c:v>9.0500000000000011E-2</c:v>
                </c:pt>
                <c:pt idx="286">
                  <c:v>9.0999999999999998E-2</c:v>
                </c:pt>
                <c:pt idx="287">
                  <c:v>9.2999999999999999E-2</c:v>
                </c:pt>
                <c:pt idx="288">
                  <c:v>8.8499999999999995E-2</c:v>
                </c:pt>
                <c:pt idx="289">
                  <c:v>9.35E-2</c:v>
                </c:pt>
                <c:pt idx="290">
                  <c:v>0.14300000000000002</c:v>
                </c:pt>
                <c:pt idx="291">
                  <c:v>0.14300000000000002</c:v>
                </c:pt>
                <c:pt idx="292">
                  <c:v>0.14300000000000002</c:v>
                </c:pt>
                <c:pt idx="293">
                  <c:v>0.152</c:v>
                </c:pt>
                <c:pt idx="294">
                  <c:v>0.13650000000000001</c:v>
                </c:pt>
                <c:pt idx="295">
                  <c:v>0.13100000000000001</c:v>
                </c:pt>
                <c:pt idx="296">
                  <c:v>8.3500000000000005E-2</c:v>
                </c:pt>
                <c:pt idx="297">
                  <c:v>7.0000000000000007E-2</c:v>
                </c:pt>
                <c:pt idx="298">
                  <c:v>7.0000000000000007E-2</c:v>
                </c:pt>
                <c:pt idx="299">
                  <c:v>7.0000000000000007E-2</c:v>
                </c:pt>
                <c:pt idx="300">
                  <c:v>6.9000000000000006E-2</c:v>
                </c:pt>
                <c:pt idx="301">
                  <c:v>6.7000000000000004E-2</c:v>
                </c:pt>
                <c:pt idx="302">
                  <c:v>8.1000000000000003E-2</c:v>
                </c:pt>
                <c:pt idx="303">
                  <c:v>0.104</c:v>
                </c:pt>
                <c:pt idx="304">
                  <c:v>9.9000000000000005E-2</c:v>
                </c:pt>
                <c:pt idx="305">
                  <c:v>9.9000000000000005E-2</c:v>
                </c:pt>
                <c:pt idx="306">
                  <c:v>9.9000000000000005E-2</c:v>
                </c:pt>
                <c:pt idx="307">
                  <c:v>0.1095</c:v>
                </c:pt>
                <c:pt idx="308">
                  <c:v>0.11700000000000001</c:v>
                </c:pt>
                <c:pt idx="309">
                  <c:v>0.11550000000000001</c:v>
                </c:pt>
                <c:pt idx="310">
                  <c:v>0.115</c:v>
                </c:pt>
                <c:pt idx="311">
                  <c:v>0.10249999999999999</c:v>
                </c:pt>
                <c:pt idx="312">
                  <c:v>0.10249999999999999</c:v>
                </c:pt>
                <c:pt idx="313">
                  <c:v>0.10249999999999999</c:v>
                </c:pt>
                <c:pt idx="314">
                  <c:v>0.10349999999999999</c:v>
                </c:pt>
                <c:pt idx="315">
                  <c:v>0.13850000000000001</c:v>
                </c:pt>
                <c:pt idx="316">
                  <c:v>0.14700000000000002</c:v>
                </c:pt>
                <c:pt idx="317">
                  <c:v>0.152</c:v>
                </c:pt>
                <c:pt idx="318">
                  <c:v>0.1555</c:v>
                </c:pt>
                <c:pt idx="319">
                  <c:v>0.1555</c:v>
                </c:pt>
                <c:pt idx="320">
                  <c:v>0.1555</c:v>
                </c:pt>
                <c:pt idx="321">
                  <c:v>0.17549999999999999</c:v>
                </c:pt>
                <c:pt idx="322">
                  <c:v>0.1835</c:v>
                </c:pt>
                <c:pt idx="323">
                  <c:v>0.1825</c:v>
                </c:pt>
                <c:pt idx="324">
                  <c:v>0.17149999999999999</c:v>
                </c:pt>
                <c:pt idx="325">
                  <c:v>0.16749999999999998</c:v>
                </c:pt>
                <c:pt idx="326">
                  <c:v>0.16749999999999998</c:v>
                </c:pt>
                <c:pt idx="327">
                  <c:v>0.16749999999999998</c:v>
                </c:pt>
                <c:pt idx="328">
                  <c:v>0.153</c:v>
                </c:pt>
                <c:pt idx="329">
                  <c:v>0.13600000000000001</c:v>
                </c:pt>
                <c:pt idx="330">
                  <c:v>0.14400000000000002</c:v>
                </c:pt>
                <c:pt idx="331">
                  <c:v>0.13450000000000001</c:v>
                </c:pt>
                <c:pt idx="332">
                  <c:v>0.13500000000000001</c:v>
                </c:pt>
                <c:pt idx="333">
                  <c:v>0.13500000000000001</c:v>
                </c:pt>
                <c:pt idx="334">
                  <c:v>0.13500000000000001</c:v>
                </c:pt>
                <c:pt idx="335">
                  <c:v>0.13150000000000001</c:v>
                </c:pt>
                <c:pt idx="336">
                  <c:v>0.13150000000000001</c:v>
                </c:pt>
                <c:pt idx="337">
                  <c:v>0.14100000000000001</c:v>
                </c:pt>
                <c:pt idx="338">
                  <c:v>0.13600000000000001</c:v>
                </c:pt>
                <c:pt idx="339">
                  <c:v>0.13300000000000001</c:v>
                </c:pt>
                <c:pt idx="340">
                  <c:v>0.13300000000000001</c:v>
                </c:pt>
                <c:pt idx="341">
                  <c:v>0.13300000000000001</c:v>
                </c:pt>
                <c:pt idx="342">
                  <c:v>0.13400000000000001</c:v>
                </c:pt>
                <c:pt idx="343">
                  <c:v>0.14050000000000001</c:v>
                </c:pt>
                <c:pt idx="344">
                  <c:v>0.13250000000000001</c:v>
                </c:pt>
                <c:pt idx="345">
                  <c:v>0.13550000000000001</c:v>
                </c:pt>
                <c:pt idx="346">
                  <c:v>0.13450000000000001</c:v>
                </c:pt>
                <c:pt idx="347">
                  <c:v>0.13450000000000001</c:v>
                </c:pt>
                <c:pt idx="348">
                  <c:v>0.13450000000000001</c:v>
                </c:pt>
                <c:pt idx="349">
                  <c:v>0.13450000000000001</c:v>
                </c:pt>
                <c:pt idx="350">
                  <c:v>0.13450000000000001</c:v>
                </c:pt>
                <c:pt idx="351">
                  <c:v>0.161</c:v>
                </c:pt>
                <c:pt idx="352">
                  <c:v>0.159</c:v>
                </c:pt>
                <c:pt idx="353">
                  <c:v>0.159</c:v>
                </c:pt>
                <c:pt idx="354">
                  <c:v>0.159</c:v>
                </c:pt>
                <c:pt idx="355">
                  <c:v>0.159</c:v>
                </c:pt>
                <c:pt idx="356">
                  <c:v>0.159</c:v>
                </c:pt>
                <c:pt idx="357">
                  <c:v>0.16999999999999998</c:v>
                </c:pt>
                <c:pt idx="358">
                  <c:v>0.16450000000000001</c:v>
                </c:pt>
                <c:pt idx="359">
                  <c:v>0.19550000000000001</c:v>
                </c:pt>
                <c:pt idx="360">
                  <c:v>0.20450000000000002</c:v>
                </c:pt>
                <c:pt idx="361">
                  <c:v>0.20450000000000002</c:v>
                </c:pt>
                <c:pt idx="362">
                  <c:v>0.20450000000000002</c:v>
                </c:pt>
                <c:pt idx="363">
                  <c:v>0.2235</c:v>
                </c:pt>
                <c:pt idx="364">
                  <c:v>0.22600000000000001</c:v>
                </c:pt>
                <c:pt idx="365">
                  <c:v>0.22050000000000003</c:v>
                </c:pt>
                <c:pt idx="366">
                  <c:v>0.21350000000000002</c:v>
                </c:pt>
              </c:numCache>
            </c:numRef>
          </c:val>
          <c:smooth val="0"/>
          <c:extLst>
            <c:ext xmlns:c16="http://schemas.microsoft.com/office/drawing/2014/chart" uri="{C3380CC4-5D6E-409C-BE32-E72D297353CC}">
              <c16:uniqueId val="{00000000-37EB-41D0-9C9B-43900FF19D30}"/>
            </c:ext>
          </c:extLst>
        </c:ser>
        <c:ser>
          <c:idx val="1"/>
          <c:order val="1"/>
          <c:tx>
            <c:strRef>
              <c:f>Állandó_ábrák!$B$39</c:f>
              <c:strCache>
                <c:ptCount val="1"/>
                <c:pt idx="0">
                  <c:v>Cseho.</c:v>
                </c:pt>
              </c:strCache>
            </c:strRef>
          </c:tx>
          <c:spPr>
            <a:ln w="25400">
              <a:solidFill>
                <a:srgbClr val="51B5E0"/>
              </a:solidFill>
              <a:prstDash val="solid"/>
            </a:ln>
          </c:spPr>
          <c:marker>
            <c:symbol val="none"/>
          </c:marker>
          <c:cat>
            <c:numRef>
              <c:f>BB!$A$1:$A$367</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BB!$AF$1:$AF$367</c:f>
              <c:numCache>
                <c:formatCode>0.00</c:formatCode>
                <c:ptCount val="367"/>
                <c:pt idx="0">
                  <c:v>-0.44199999999999995</c:v>
                </c:pt>
                <c:pt idx="1">
                  <c:v>-0.45250000000000001</c:v>
                </c:pt>
                <c:pt idx="2">
                  <c:v>-0.45950000000000002</c:v>
                </c:pt>
                <c:pt idx="3">
                  <c:v>-0.46299999999999997</c:v>
                </c:pt>
                <c:pt idx="4">
                  <c:v>-0.46299999999999997</c:v>
                </c:pt>
                <c:pt idx="5">
                  <c:v>-0.46299999999999997</c:v>
                </c:pt>
                <c:pt idx="6">
                  <c:v>-0.45599999999999996</c:v>
                </c:pt>
                <c:pt idx="7">
                  <c:v>-0.45899999999999996</c:v>
                </c:pt>
                <c:pt idx="8">
                  <c:v>-0.46099999999999997</c:v>
                </c:pt>
                <c:pt idx="9">
                  <c:v>-0.47850000000000004</c:v>
                </c:pt>
                <c:pt idx="10">
                  <c:v>-0.48050000000000004</c:v>
                </c:pt>
                <c:pt idx="11">
                  <c:v>-0.48050000000000004</c:v>
                </c:pt>
                <c:pt idx="12">
                  <c:v>-0.48050000000000004</c:v>
                </c:pt>
                <c:pt idx="13">
                  <c:v>-0.45299999999999996</c:v>
                </c:pt>
                <c:pt idx="14">
                  <c:v>-0.45499999999999996</c:v>
                </c:pt>
                <c:pt idx="15">
                  <c:v>-0.46050000000000002</c:v>
                </c:pt>
                <c:pt idx="16">
                  <c:v>-0.46599999999999997</c:v>
                </c:pt>
                <c:pt idx="17">
                  <c:v>-0.45750000000000002</c:v>
                </c:pt>
                <c:pt idx="18">
                  <c:v>-0.45750000000000002</c:v>
                </c:pt>
                <c:pt idx="19">
                  <c:v>-0.45750000000000002</c:v>
                </c:pt>
                <c:pt idx="20">
                  <c:v>-0.46550000000000002</c:v>
                </c:pt>
                <c:pt idx="21">
                  <c:v>-0.47050000000000003</c:v>
                </c:pt>
                <c:pt idx="22">
                  <c:v>-0.47550000000000003</c:v>
                </c:pt>
                <c:pt idx="23">
                  <c:v>-0.47899999999999998</c:v>
                </c:pt>
                <c:pt idx="24">
                  <c:v>-0.47199999999999998</c:v>
                </c:pt>
                <c:pt idx="25">
                  <c:v>-0.47199999999999998</c:v>
                </c:pt>
                <c:pt idx="26">
                  <c:v>-0.47199999999999998</c:v>
                </c:pt>
                <c:pt idx="27">
                  <c:v>-0.46850000000000003</c:v>
                </c:pt>
                <c:pt idx="28">
                  <c:v>-0.47199999999999998</c:v>
                </c:pt>
                <c:pt idx="29">
                  <c:v>-0.4355</c:v>
                </c:pt>
                <c:pt idx="30">
                  <c:v>-0.4335</c:v>
                </c:pt>
                <c:pt idx="31">
                  <c:v>-0.4335</c:v>
                </c:pt>
                <c:pt idx="32">
                  <c:v>-0.4335</c:v>
                </c:pt>
                <c:pt idx="33">
                  <c:v>-0.4335</c:v>
                </c:pt>
                <c:pt idx="34">
                  <c:v>-0.43400000000000005</c:v>
                </c:pt>
                <c:pt idx="35">
                  <c:v>-0.44499999999999995</c:v>
                </c:pt>
                <c:pt idx="36">
                  <c:v>-0.44400000000000006</c:v>
                </c:pt>
                <c:pt idx="37">
                  <c:v>-0.45650000000000002</c:v>
                </c:pt>
                <c:pt idx="38">
                  <c:v>-0.46599999999999997</c:v>
                </c:pt>
                <c:pt idx="39">
                  <c:v>-0.46599999999999997</c:v>
                </c:pt>
                <c:pt idx="40">
                  <c:v>-0.46599999999999997</c:v>
                </c:pt>
                <c:pt idx="41">
                  <c:v>-0.47349999999999998</c:v>
                </c:pt>
                <c:pt idx="42">
                  <c:v>-0.495</c:v>
                </c:pt>
                <c:pt idx="43">
                  <c:v>-0.49049999999999999</c:v>
                </c:pt>
                <c:pt idx="44">
                  <c:v>-0.51</c:v>
                </c:pt>
                <c:pt idx="45">
                  <c:v>-0.51249999999999996</c:v>
                </c:pt>
                <c:pt idx="46">
                  <c:v>-0.51249999999999996</c:v>
                </c:pt>
                <c:pt idx="47">
                  <c:v>-0.51249999999999996</c:v>
                </c:pt>
                <c:pt idx="48">
                  <c:v>-0.49349999999999999</c:v>
                </c:pt>
                <c:pt idx="49">
                  <c:v>-0.501</c:v>
                </c:pt>
                <c:pt idx="50">
                  <c:v>-0.48849999999999999</c:v>
                </c:pt>
                <c:pt idx="51">
                  <c:v>-0.4965</c:v>
                </c:pt>
                <c:pt idx="52">
                  <c:v>-0.45799999999999996</c:v>
                </c:pt>
                <c:pt idx="53">
                  <c:v>-0.45799999999999996</c:v>
                </c:pt>
                <c:pt idx="54">
                  <c:v>-0.45799999999999996</c:v>
                </c:pt>
                <c:pt idx="55">
                  <c:v>-0.45899999999999996</c:v>
                </c:pt>
                <c:pt idx="56">
                  <c:v>-0.45799999999999996</c:v>
                </c:pt>
                <c:pt idx="57">
                  <c:v>-0.46850000000000003</c:v>
                </c:pt>
                <c:pt idx="58">
                  <c:v>-0.48199999999999998</c:v>
                </c:pt>
                <c:pt idx="59">
                  <c:v>-0.47950000000000004</c:v>
                </c:pt>
                <c:pt idx="60">
                  <c:v>-0.47950000000000004</c:v>
                </c:pt>
                <c:pt idx="61">
                  <c:v>-0.47950000000000004</c:v>
                </c:pt>
                <c:pt idx="62">
                  <c:v>-0.47850000000000004</c:v>
                </c:pt>
                <c:pt idx="63">
                  <c:v>-0.48299999999999998</c:v>
                </c:pt>
                <c:pt idx="64">
                  <c:v>-0.48399999999999999</c:v>
                </c:pt>
                <c:pt idx="65">
                  <c:v>-0.48299999999999998</c:v>
                </c:pt>
                <c:pt idx="66">
                  <c:v>-0.48799999999999999</c:v>
                </c:pt>
                <c:pt idx="67">
                  <c:v>-0.48799999999999999</c:v>
                </c:pt>
                <c:pt idx="68">
                  <c:v>-0.48799999999999999</c:v>
                </c:pt>
                <c:pt idx="69">
                  <c:v>-0.48399999999999999</c:v>
                </c:pt>
                <c:pt idx="70">
                  <c:v>-0.49399999999999999</c:v>
                </c:pt>
                <c:pt idx="71">
                  <c:v>-0.50050000000000006</c:v>
                </c:pt>
                <c:pt idx="72">
                  <c:v>-0.50900000000000001</c:v>
                </c:pt>
                <c:pt idx="73">
                  <c:v>-0.48099999999999998</c:v>
                </c:pt>
                <c:pt idx="74">
                  <c:v>-0.48099999999999998</c:v>
                </c:pt>
                <c:pt idx="75">
                  <c:v>-0.48099999999999998</c:v>
                </c:pt>
                <c:pt idx="76">
                  <c:v>-0.49299999999999999</c:v>
                </c:pt>
                <c:pt idx="77">
                  <c:v>-0.498</c:v>
                </c:pt>
                <c:pt idx="78">
                  <c:v>-0.53200000000000003</c:v>
                </c:pt>
                <c:pt idx="79">
                  <c:v>-0.48549999999999999</c:v>
                </c:pt>
                <c:pt idx="80">
                  <c:v>-0.48549999999999999</c:v>
                </c:pt>
                <c:pt idx="81">
                  <c:v>-0.48549999999999999</c:v>
                </c:pt>
                <c:pt idx="82">
                  <c:v>-0.48549999999999999</c:v>
                </c:pt>
                <c:pt idx="83">
                  <c:v>-0.48549999999999999</c:v>
                </c:pt>
                <c:pt idx="84">
                  <c:v>-0.50550000000000006</c:v>
                </c:pt>
                <c:pt idx="85">
                  <c:v>-0.48349999999999999</c:v>
                </c:pt>
                <c:pt idx="86">
                  <c:v>-0.505</c:v>
                </c:pt>
                <c:pt idx="87">
                  <c:v>-0.50449999999999995</c:v>
                </c:pt>
                <c:pt idx="88">
                  <c:v>-0.50449999999999995</c:v>
                </c:pt>
                <c:pt idx="89">
                  <c:v>-0.50449999999999995</c:v>
                </c:pt>
                <c:pt idx="90">
                  <c:v>-0.46150000000000002</c:v>
                </c:pt>
                <c:pt idx="91">
                  <c:v>-0.44950000000000001</c:v>
                </c:pt>
                <c:pt idx="92">
                  <c:v>-0.45099999999999996</c:v>
                </c:pt>
                <c:pt idx="93">
                  <c:v>-0.45550000000000002</c:v>
                </c:pt>
                <c:pt idx="94">
                  <c:v>-0.46550000000000002</c:v>
                </c:pt>
                <c:pt idx="95">
                  <c:v>-0.46550000000000002</c:v>
                </c:pt>
                <c:pt idx="96">
                  <c:v>-0.46550000000000002</c:v>
                </c:pt>
                <c:pt idx="97">
                  <c:v>-0.45999999999999996</c:v>
                </c:pt>
                <c:pt idx="98">
                  <c:v>-0.46599999999999997</c:v>
                </c:pt>
                <c:pt idx="99">
                  <c:v>-0.45050000000000001</c:v>
                </c:pt>
                <c:pt idx="100">
                  <c:v>-0.49250000000000005</c:v>
                </c:pt>
                <c:pt idx="101">
                  <c:v>-0.47250000000000003</c:v>
                </c:pt>
                <c:pt idx="102">
                  <c:v>-0.47250000000000003</c:v>
                </c:pt>
                <c:pt idx="103">
                  <c:v>-0.47250000000000003</c:v>
                </c:pt>
                <c:pt idx="104">
                  <c:v>-0.47299999999999998</c:v>
                </c:pt>
                <c:pt idx="105">
                  <c:v>-0.47899999999999998</c:v>
                </c:pt>
                <c:pt idx="106">
                  <c:v>-0.48199999999999998</c:v>
                </c:pt>
                <c:pt idx="107">
                  <c:v>-0.46850000000000003</c:v>
                </c:pt>
                <c:pt idx="108">
                  <c:v>-0.47250000000000003</c:v>
                </c:pt>
                <c:pt idx="109">
                  <c:v>-0.47250000000000003</c:v>
                </c:pt>
                <c:pt idx="110">
                  <c:v>-0.47250000000000003</c:v>
                </c:pt>
                <c:pt idx="111">
                  <c:v>-0.47250000000000003</c:v>
                </c:pt>
                <c:pt idx="112">
                  <c:v>-0.48399999999999999</c:v>
                </c:pt>
                <c:pt idx="113">
                  <c:v>-0.48150000000000004</c:v>
                </c:pt>
                <c:pt idx="114">
                  <c:v>-0.51049999999999995</c:v>
                </c:pt>
                <c:pt idx="115">
                  <c:v>-0.504</c:v>
                </c:pt>
                <c:pt idx="116">
                  <c:v>-0.504</c:v>
                </c:pt>
                <c:pt idx="117">
                  <c:v>-0.504</c:v>
                </c:pt>
                <c:pt idx="118">
                  <c:v>-0.50950000000000006</c:v>
                </c:pt>
                <c:pt idx="119">
                  <c:v>-0.51100000000000001</c:v>
                </c:pt>
                <c:pt idx="120">
                  <c:v>-0.497</c:v>
                </c:pt>
                <c:pt idx="121">
                  <c:v>-0.50649999999999995</c:v>
                </c:pt>
                <c:pt idx="122">
                  <c:v>-0.496</c:v>
                </c:pt>
                <c:pt idx="123">
                  <c:v>-0.496</c:v>
                </c:pt>
                <c:pt idx="124">
                  <c:v>-0.496</c:v>
                </c:pt>
                <c:pt idx="125">
                  <c:v>-0.502</c:v>
                </c:pt>
                <c:pt idx="126">
                  <c:v>-0.50950000000000006</c:v>
                </c:pt>
                <c:pt idx="127">
                  <c:v>-0.51950000000000007</c:v>
                </c:pt>
                <c:pt idx="128">
                  <c:v>-0.54350000000000009</c:v>
                </c:pt>
                <c:pt idx="129">
                  <c:v>-0.47249999999999998</c:v>
                </c:pt>
                <c:pt idx="130">
                  <c:v>-0.47249999999999998</c:v>
                </c:pt>
                <c:pt idx="131">
                  <c:v>-0.47249999999999998</c:v>
                </c:pt>
                <c:pt idx="132">
                  <c:v>-0.46899999999999997</c:v>
                </c:pt>
                <c:pt idx="133">
                  <c:v>-0.45299999999999996</c:v>
                </c:pt>
                <c:pt idx="134">
                  <c:v>-0.45250000000000001</c:v>
                </c:pt>
                <c:pt idx="135">
                  <c:v>-0.496</c:v>
                </c:pt>
                <c:pt idx="136">
                  <c:v>-0.48350000000000004</c:v>
                </c:pt>
                <c:pt idx="137">
                  <c:v>-0.48350000000000004</c:v>
                </c:pt>
                <c:pt idx="138">
                  <c:v>-0.48350000000000004</c:v>
                </c:pt>
                <c:pt idx="139">
                  <c:v>-0.48350000000000004</c:v>
                </c:pt>
                <c:pt idx="140">
                  <c:v>-0.48399999999999999</c:v>
                </c:pt>
                <c:pt idx="141">
                  <c:v>-0.47750000000000004</c:v>
                </c:pt>
                <c:pt idx="142">
                  <c:v>-0.504</c:v>
                </c:pt>
                <c:pt idx="143">
                  <c:v>-0.49349999999999999</c:v>
                </c:pt>
                <c:pt idx="144">
                  <c:v>-0.49349999999999999</c:v>
                </c:pt>
                <c:pt idx="145">
                  <c:v>-0.49349999999999999</c:v>
                </c:pt>
                <c:pt idx="146">
                  <c:v>-0.50449999999999995</c:v>
                </c:pt>
                <c:pt idx="147">
                  <c:v>-0.51249999999999996</c:v>
                </c:pt>
                <c:pt idx="148">
                  <c:v>-0.52300000000000002</c:v>
                </c:pt>
                <c:pt idx="149">
                  <c:v>-0.54500000000000004</c:v>
                </c:pt>
                <c:pt idx="150">
                  <c:v>-0.53849999999999998</c:v>
                </c:pt>
                <c:pt idx="151">
                  <c:v>-0.53849999999999998</c:v>
                </c:pt>
                <c:pt idx="152">
                  <c:v>-0.53849999999999998</c:v>
                </c:pt>
                <c:pt idx="153">
                  <c:v>-0.54549999999999998</c:v>
                </c:pt>
                <c:pt idx="154">
                  <c:v>-0.54449999999999998</c:v>
                </c:pt>
                <c:pt idx="155">
                  <c:v>-0.57599999999999996</c:v>
                </c:pt>
                <c:pt idx="156">
                  <c:v>-0.59550000000000003</c:v>
                </c:pt>
                <c:pt idx="157">
                  <c:v>-0.57299999999999995</c:v>
                </c:pt>
                <c:pt idx="158">
                  <c:v>-0.57299999999999995</c:v>
                </c:pt>
                <c:pt idx="159">
                  <c:v>-0.57299999999999995</c:v>
                </c:pt>
                <c:pt idx="160">
                  <c:v>-0.57499999999999996</c:v>
                </c:pt>
                <c:pt idx="161">
                  <c:v>-0.59450000000000003</c:v>
                </c:pt>
                <c:pt idx="162">
                  <c:v>-0.60099999999999998</c:v>
                </c:pt>
                <c:pt idx="163">
                  <c:v>-0.60949999999999993</c:v>
                </c:pt>
                <c:pt idx="164">
                  <c:v>-0.626</c:v>
                </c:pt>
                <c:pt idx="165">
                  <c:v>-0.626</c:v>
                </c:pt>
                <c:pt idx="166">
                  <c:v>-0.626</c:v>
                </c:pt>
                <c:pt idx="167">
                  <c:v>-0.63650000000000007</c:v>
                </c:pt>
                <c:pt idx="168">
                  <c:v>-0.62349999999999994</c:v>
                </c:pt>
                <c:pt idx="169">
                  <c:v>-0.64650000000000007</c:v>
                </c:pt>
                <c:pt idx="170">
                  <c:v>-0.67300000000000004</c:v>
                </c:pt>
                <c:pt idx="171">
                  <c:v>-0.66</c:v>
                </c:pt>
                <c:pt idx="172">
                  <c:v>-0.66</c:v>
                </c:pt>
                <c:pt idx="173">
                  <c:v>-0.66</c:v>
                </c:pt>
                <c:pt idx="174">
                  <c:v>-0.66100000000000003</c:v>
                </c:pt>
                <c:pt idx="175">
                  <c:v>-0.65450000000000008</c:v>
                </c:pt>
                <c:pt idx="176">
                  <c:v>-0.65949999999999998</c:v>
                </c:pt>
                <c:pt idx="177">
                  <c:v>-0.64050000000000007</c:v>
                </c:pt>
                <c:pt idx="178">
                  <c:v>-0.63</c:v>
                </c:pt>
                <c:pt idx="179">
                  <c:v>-0.63</c:v>
                </c:pt>
                <c:pt idx="180">
                  <c:v>-0.63</c:v>
                </c:pt>
                <c:pt idx="181">
                  <c:v>-0.65400000000000003</c:v>
                </c:pt>
                <c:pt idx="182">
                  <c:v>-0.64149999999999996</c:v>
                </c:pt>
                <c:pt idx="183">
                  <c:v>-0.65300000000000002</c:v>
                </c:pt>
                <c:pt idx="184">
                  <c:v>-0.57099999999999995</c:v>
                </c:pt>
                <c:pt idx="185">
                  <c:v>-0.6825</c:v>
                </c:pt>
                <c:pt idx="186">
                  <c:v>-0.6825</c:v>
                </c:pt>
                <c:pt idx="187">
                  <c:v>-0.6825</c:v>
                </c:pt>
                <c:pt idx="188">
                  <c:v>-0.55799999999999994</c:v>
                </c:pt>
                <c:pt idx="189">
                  <c:v>-0.67949999999999999</c:v>
                </c:pt>
                <c:pt idx="190">
                  <c:v>-0.67700000000000005</c:v>
                </c:pt>
                <c:pt idx="191">
                  <c:v>-0.59099999999999997</c:v>
                </c:pt>
                <c:pt idx="192">
                  <c:v>-0.69550000000000001</c:v>
                </c:pt>
                <c:pt idx="193">
                  <c:v>-0.69550000000000001</c:v>
                </c:pt>
                <c:pt idx="194">
                  <c:v>-0.69550000000000001</c:v>
                </c:pt>
                <c:pt idx="195">
                  <c:v>-0.6885</c:v>
                </c:pt>
                <c:pt idx="196">
                  <c:v>-0.53649999999999998</c:v>
                </c:pt>
                <c:pt idx="197">
                  <c:v>-0.54249999999999998</c:v>
                </c:pt>
                <c:pt idx="198">
                  <c:v>-0.52400000000000002</c:v>
                </c:pt>
                <c:pt idx="199">
                  <c:v>-0.55300000000000005</c:v>
                </c:pt>
                <c:pt idx="200">
                  <c:v>-0.55300000000000005</c:v>
                </c:pt>
                <c:pt idx="201">
                  <c:v>-0.55300000000000005</c:v>
                </c:pt>
                <c:pt idx="202">
                  <c:v>-0.48749999999999999</c:v>
                </c:pt>
                <c:pt idx="203">
                  <c:v>-0.4955</c:v>
                </c:pt>
                <c:pt idx="204">
                  <c:v>-0.53449999999999998</c:v>
                </c:pt>
                <c:pt idx="205">
                  <c:v>-0.48200000000000004</c:v>
                </c:pt>
                <c:pt idx="206">
                  <c:v>-0.56000000000000005</c:v>
                </c:pt>
                <c:pt idx="207">
                  <c:v>-0.56000000000000005</c:v>
                </c:pt>
                <c:pt idx="208">
                  <c:v>-0.56000000000000005</c:v>
                </c:pt>
                <c:pt idx="209">
                  <c:v>-0.53900000000000003</c:v>
                </c:pt>
                <c:pt idx="210">
                  <c:v>-0.54049999999999998</c:v>
                </c:pt>
                <c:pt idx="211">
                  <c:v>-0.52400000000000002</c:v>
                </c:pt>
                <c:pt idx="212">
                  <c:v>-0.48199999999999998</c:v>
                </c:pt>
                <c:pt idx="213">
                  <c:v>-0.49299999999999999</c:v>
                </c:pt>
                <c:pt idx="214">
                  <c:v>-0.49299999999999999</c:v>
                </c:pt>
                <c:pt idx="215">
                  <c:v>-0.49299999999999999</c:v>
                </c:pt>
                <c:pt idx="216">
                  <c:v>-0.4955</c:v>
                </c:pt>
                <c:pt idx="217">
                  <c:v>-0.50049999999999994</c:v>
                </c:pt>
                <c:pt idx="218">
                  <c:v>-0.505</c:v>
                </c:pt>
                <c:pt idx="219">
                  <c:v>-0.52649999999999997</c:v>
                </c:pt>
                <c:pt idx="220">
                  <c:v>-0.54249999999999998</c:v>
                </c:pt>
                <c:pt idx="221">
                  <c:v>-0.54249999999999998</c:v>
                </c:pt>
                <c:pt idx="222">
                  <c:v>-0.54249999999999998</c:v>
                </c:pt>
                <c:pt idx="223">
                  <c:v>-0.54100000000000004</c:v>
                </c:pt>
                <c:pt idx="224">
                  <c:v>-0.53249999999999997</c:v>
                </c:pt>
                <c:pt idx="225">
                  <c:v>-0.54149999999999998</c:v>
                </c:pt>
                <c:pt idx="226">
                  <c:v>-0.55700000000000005</c:v>
                </c:pt>
                <c:pt idx="227">
                  <c:v>-0.55600000000000005</c:v>
                </c:pt>
                <c:pt idx="228">
                  <c:v>-0.55600000000000005</c:v>
                </c:pt>
                <c:pt idx="229">
                  <c:v>-0.55600000000000005</c:v>
                </c:pt>
                <c:pt idx="230">
                  <c:v>-0.55600000000000005</c:v>
                </c:pt>
                <c:pt idx="231">
                  <c:v>-0.50849999999999995</c:v>
                </c:pt>
                <c:pt idx="232">
                  <c:v>-0.44850000000000001</c:v>
                </c:pt>
                <c:pt idx="233">
                  <c:v>-0.45150000000000001</c:v>
                </c:pt>
                <c:pt idx="234">
                  <c:v>-0.62050000000000005</c:v>
                </c:pt>
                <c:pt idx="235">
                  <c:v>-0.62050000000000005</c:v>
                </c:pt>
                <c:pt idx="236">
                  <c:v>-0.62050000000000005</c:v>
                </c:pt>
                <c:pt idx="237">
                  <c:v>-0.49199999999999999</c:v>
                </c:pt>
                <c:pt idx="238">
                  <c:v>-0.498</c:v>
                </c:pt>
                <c:pt idx="239">
                  <c:v>-0.505</c:v>
                </c:pt>
                <c:pt idx="240">
                  <c:v>-0.52449999999999997</c:v>
                </c:pt>
                <c:pt idx="241">
                  <c:v>-0.53149999999999997</c:v>
                </c:pt>
                <c:pt idx="242">
                  <c:v>-0.53149999999999997</c:v>
                </c:pt>
                <c:pt idx="243">
                  <c:v>-0.53149999999999997</c:v>
                </c:pt>
                <c:pt idx="244">
                  <c:v>-0.53700000000000003</c:v>
                </c:pt>
                <c:pt idx="245">
                  <c:v>-0.54200000000000004</c:v>
                </c:pt>
                <c:pt idx="246">
                  <c:v>-0.55200000000000005</c:v>
                </c:pt>
                <c:pt idx="247">
                  <c:v>-0.626</c:v>
                </c:pt>
                <c:pt idx="248">
                  <c:v>-0.56899999999999995</c:v>
                </c:pt>
                <c:pt idx="249">
                  <c:v>-0.56899999999999995</c:v>
                </c:pt>
                <c:pt idx="250">
                  <c:v>-0.56899999999999995</c:v>
                </c:pt>
                <c:pt idx="251">
                  <c:v>-0.58000000000000007</c:v>
                </c:pt>
                <c:pt idx="252">
                  <c:v>-0.59949999999999992</c:v>
                </c:pt>
                <c:pt idx="253">
                  <c:v>-0.60149999999999992</c:v>
                </c:pt>
                <c:pt idx="254">
                  <c:v>-0.63100000000000001</c:v>
                </c:pt>
                <c:pt idx="255">
                  <c:v>-0.61650000000000005</c:v>
                </c:pt>
                <c:pt idx="256">
                  <c:v>-0.61650000000000005</c:v>
                </c:pt>
                <c:pt idx="257">
                  <c:v>-0.61650000000000005</c:v>
                </c:pt>
                <c:pt idx="258">
                  <c:v>-0.62749999999999995</c:v>
                </c:pt>
                <c:pt idx="259">
                  <c:v>-0.63800000000000001</c:v>
                </c:pt>
                <c:pt idx="260">
                  <c:v>-0.64250000000000007</c:v>
                </c:pt>
                <c:pt idx="261">
                  <c:v>-0.65749999999999997</c:v>
                </c:pt>
                <c:pt idx="262">
                  <c:v>-0.67549999999999999</c:v>
                </c:pt>
                <c:pt idx="263">
                  <c:v>-0.67549999999999999</c:v>
                </c:pt>
                <c:pt idx="264">
                  <c:v>-0.67549999999999999</c:v>
                </c:pt>
                <c:pt idx="265">
                  <c:v>-0.65649999999999997</c:v>
                </c:pt>
                <c:pt idx="266">
                  <c:v>-0.53400000000000003</c:v>
                </c:pt>
                <c:pt idx="267">
                  <c:v>-0.54149999999999998</c:v>
                </c:pt>
                <c:pt idx="268">
                  <c:v>-0.46500000000000002</c:v>
                </c:pt>
                <c:pt idx="269">
                  <c:v>-0.46350000000000002</c:v>
                </c:pt>
                <c:pt idx="270">
                  <c:v>-0.46350000000000002</c:v>
                </c:pt>
                <c:pt idx="271">
                  <c:v>-0.46350000000000002</c:v>
                </c:pt>
                <c:pt idx="272">
                  <c:v>-0.45050000000000001</c:v>
                </c:pt>
                <c:pt idx="273">
                  <c:v>-0.46</c:v>
                </c:pt>
                <c:pt idx="274">
                  <c:v>-0.46</c:v>
                </c:pt>
                <c:pt idx="275">
                  <c:v>-0.46350000000000002</c:v>
                </c:pt>
                <c:pt idx="276">
                  <c:v>-0.47750000000000004</c:v>
                </c:pt>
                <c:pt idx="277">
                  <c:v>-0.47750000000000004</c:v>
                </c:pt>
                <c:pt idx="278">
                  <c:v>-0.47750000000000004</c:v>
                </c:pt>
                <c:pt idx="279">
                  <c:v>-0.47399999999999998</c:v>
                </c:pt>
                <c:pt idx="280">
                  <c:v>-0.47300000000000003</c:v>
                </c:pt>
                <c:pt idx="281">
                  <c:v>-0.47699999999999998</c:v>
                </c:pt>
                <c:pt idx="282">
                  <c:v>-0.5</c:v>
                </c:pt>
                <c:pt idx="283">
                  <c:v>-0.4995</c:v>
                </c:pt>
                <c:pt idx="284">
                  <c:v>-0.4995</c:v>
                </c:pt>
                <c:pt idx="285">
                  <c:v>-0.4995</c:v>
                </c:pt>
                <c:pt idx="286">
                  <c:v>-0.50949999999999995</c:v>
                </c:pt>
                <c:pt idx="287">
                  <c:v>-0.51449999999999996</c:v>
                </c:pt>
                <c:pt idx="288">
                  <c:v>-0.52249999999999996</c:v>
                </c:pt>
                <c:pt idx="289">
                  <c:v>-0.54899999999999993</c:v>
                </c:pt>
                <c:pt idx="290">
                  <c:v>-0.54049999999999998</c:v>
                </c:pt>
                <c:pt idx="291">
                  <c:v>-0.54049999999999998</c:v>
                </c:pt>
                <c:pt idx="292">
                  <c:v>-0.54049999999999998</c:v>
                </c:pt>
                <c:pt idx="293">
                  <c:v>-0.55400000000000005</c:v>
                </c:pt>
                <c:pt idx="294">
                  <c:v>-0.5675</c:v>
                </c:pt>
                <c:pt idx="295">
                  <c:v>-0.58350000000000002</c:v>
                </c:pt>
                <c:pt idx="296">
                  <c:v>-0.61749999999999994</c:v>
                </c:pt>
                <c:pt idx="297">
                  <c:v>-0.53449999999999998</c:v>
                </c:pt>
                <c:pt idx="298">
                  <c:v>-0.53449999999999998</c:v>
                </c:pt>
                <c:pt idx="299">
                  <c:v>-0.53449999999999998</c:v>
                </c:pt>
                <c:pt idx="300">
                  <c:v>-0.51149999999999995</c:v>
                </c:pt>
                <c:pt idx="301">
                  <c:v>-0.55400000000000005</c:v>
                </c:pt>
                <c:pt idx="302">
                  <c:v>-0.51349999999999996</c:v>
                </c:pt>
                <c:pt idx="303">
                  <c:v>-0.51600000000000001</c:v>
                </c:pt>
                <c:pt idx="304">
                  <c:v>-0.53200000000000003</c:v>
                </c:pt>
                <c:pt idx="305">
                  <c:v>-0.53200000000000003</c:v>
                </c:pt>
                <c:pt idx="306">
                  <c:v>-0.53200000000000003</c:v>
                </c:pt>
                <c:pt idx="307">
                  <c:v>-0.51350000000000007</c:v>
                </c:pt>
                <c:pt idx="308">
                  <c:v>-0.54449999999999998</c:v>
                </c:pt>
                <c:pt idx="309">
                  <c:v>-0.497</c:v>
                </c:pt>
                <c:pt idx="310">
                  <c:v>-0.52200000000000002</c:v>
                </c:pt>
                <c:pt idx="311">
                  <c:v>-0.52400000000000002</c:v>
                </c:pt>
                <c:pt idx="312">
                  <c:v>-0.52400000000000002</c:v>
                </c:pt>
                <c:pt idx="313">
                  <c:v>-0.52400000000000002</c:v>
                </c:pt>
                <c:pt idx="314">
                  <c:v>-0.52449999999999997</c:v>
                </c:pt>
                <c:pt idx="315">
                  <c:v>-0.46550000000000002</c:v>
                </c:pt>
                <c:pt idx="316">
                  <c:v>-0.43099999999999999</c:v>
                </c:pt>
                <c:pt idx="317">
                  <c:v>-0.48799999999999999</c:v>
                </c:pt>
                <c:pt idx="318">
                  <c:v>-0.47699999999999998</c:v>
                </c:pt>
                <c:pt idx="319">
                  <c:v>-0.47699999999999998</c:v>
                </c:pt>
                <c:pt idx="320">
                  <c:v>-0.47699999999999998</c:v>
                </c:pt>
                <c:pt idx="321">
                  <c:v>-0.46699999999999997</c:v>
                </c:pt>
                <c:pt idx="322">
                  <c:v>-0.46450000000000002</c:v>
                </c:pt>
                <c:pt idx="323">
                  <c:v>-0.51849999999999996</c:v>
                </c:pt>
                <c:pt idx="324">
                  <c:v>-0.54200000000000004</c:v>
                </c:pt>
                <c:pt idx="325">
                  <c:v>-0.54749999999999999</c:v>
                </c:pt>
                <c:pt idx="326">
                  <c:v>-0.54749999999999999</c:v>
                </c:pt>
                <c:pt idx="327">
                  <c:v>-0.54749999999999999</c:v>
                </c:pt>
                <c:pt idx="328">
                  <c:v>-0.5645</c:v>
                </c:pt>
                <c:pt idx="329">
                  <c:v>-0.57850000000000001</c:v>
                </c:pt>
                <c:pt idx="330">
                  <c:v>-0.58850000000000002</c:v>
                </c:pt>
                <c:pt idx="331">
                  <c:v>-0.63049999999999995</c:v>
                </c:pt>
                <c:pt idx="332">
                  <c:v>-0.55400000000000005</c:v>
                </c:pt>
                <c:pt idx="333">
                  <c:v>-0.55400000000000005</c:v>
                </c:pt>
                <c:pt idx="334">
                  <c:v>-0.55400000000000005</c:v>
                </c:pt>
                <c:pt idx="335">
                  <c:v>-0.56800000000000006</c:v>
                </c:pt>
                <c:pt idx="336">
                  <c:v>-0.58299999999999996</c:v>
                </c:pt>
                <c:pt idx="337">
                  <c:v>-0.60199999999999998</c:v>
                </c:pt>
                <c:pt idx="338">
                  <c:v>-0.64749999999999996</c:v>
                </c:pt>
                <c:pt idx="339">
                  <c:v>-0.57150000000000001</c:v>
                </c:pt>
                <c:pt idx="340">
                  <c:v>-0.57150000000000001</c:v>
                </c:pt>
                <c:pt idx="341">
                  <c:v>-0.57150000000000001</c:v>
                </c:pt>
                <c:pt idx="342">
                  <c:v>-0.58699999999999997</c:v>
                </c:pt>
                <c:pt idx="343">
                  <c:v>-0.51</c:v>
                </c:pt>
                <c:pt idx="344">
                  <c:v>-0.52</c:v>
                </c:pt>
                <c:pt idx="345">
                  <c:v>-0.52400000000000002</c:v>
                </c:pt>
                <c:pt idx="346">
                  <c:v>-0.55299999999999994</c:v>
                </c:pt>
                <c:pt idx="347">
                  <c:v>-0.55299999999999994</c:v>
                </c:pt>
                <c:pt idx="348">
                  <c:v>-0.55299999999999994</c:v>
                </c:pt>
                <c:pt idx="349">
                  <c:v>-0.55299999999999994</c:v>
                </c:pt>
                <c:pt idx="350">
                  <c:v>-0.55299999999999994</c:v>
                </c:pt>
                <c:pt idx="351">
                  <c:v>-0.60299999999999998</c:v>
                </c:pt>
                <c:pt idx="352">
                  <c:v>-0.61450000000000005</c:v>
                </c:pt>
                <c:pt idx="353">
                  <c:v>-0.64500000000000002</c:v>
                </c:pt>
                <c:pt idx="354">
                  <c:v>-0.64500000000000002</c:v>
                </c:pt>
                <c:pt idx="355">
                  <c:v>-0.64500000000000002</c:v>
                </c:pt>
                <c:pt idx="356">
                  <c:v>-0.64500000000000002</c:v>
                </c:pt>
                <c:pt idx="357">
                  <c:v>-0.68500000000000005</c:v>
                </c:pt>
                <c:pt idx="358">
                  <c:v>-0.59250000000000003</c:v>
                </c:pt>
                <c:pt idx="359">
                  <c:v>-0.63949999999999996</c:v>
                </c:pt>
                <c:pt idx="360">
                  <c:v>-0.62350000000000005</c:v>
                </c:pt>
                <c:pt idx="361">
                  <c:v>-0.62350000000000005</c:v>
                </c:pt>
                <c:pt idx="362">
                  <c:v>-0.62350000000000005</c:v>
                </c:pt>
                <c:pt idx="363">
                  <c:v>-0.63650000000000007</c:v>
                </c:pt>
                <c:pt idx="364">
                  <c:v>-0.63349999999999995</c:v>
                </c:pt>
                <c:pt idx="365">
                  <c:v>-0.65200000000000002</c:v>
                </c:pt>
                <c:pt idx="366">
                  <c:v>-0.71150000000000002</c:v>
                </c:pt>
              </c:numCache>
            </c:numRef>
          </c:val>
          <c:smooth val="0"/>
          <c:extLst>
            <c:ext xmlns:c16="http://schemas.microsoft.com/office/drawing/2014/chart" uri="{C3380CC4-5D6E-409C-BE32-E72D297353CC}">
              <c16:uniqueId val="{00000001-37EB-41D0-9C9B-43900FF19D30}"/>
            </c:ext>
          </c:extLst>
        </c:ser>
        <c:ser>
          <c:idx val="2"/>
          <c:order val="2"/>
          <c:tx>
            <c:strRef>
              <c:f>Állandó_ábrák!$B$40</c:f>
              <c:strCache>
                <c:ptCount val="1"/>
                <c:pt idx="0">
                  <c:v>Lengyelo.</c:v>
                </c:pt>
              </c:strCache>
            </c:strRef>
          </c:tx>
          <c:spPr>
            <a:ln w="25400">
              <a:solidFill>
                <a:srgbClr val="FA9646"/>
              </a:solidFill>
            </a:ln>
          </c:spPr>
          <c:marker>
            <c:symbol val="none"/>
          </c:marker>
          <c:cat>
            <c:numRef>
              <c:f>BB!$A$1:$A$367</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BB!$AG$1:$AG$367</c:f>
              <c:numCache>
                <c:formatCode>0.00</c:formatCode>
                <c:ptCount val="367"/>
                <c:pt idx="0">
                  <c:v>-0.27450000000000002</c:v>
                </c:pt>
                <c:pt idx="1">
                  <c:v>-0.28449999999999998</c:v>
                </c:pt>
                <c:pt idx="2">
                  <c:v>-0.29149999999999998</c:v>
                </c:pt>
                <c:pt idx="3">
                  <c:v>-0.30349999999999999</c:v>
                </c:pt>
                <c:pt idx="4">
                  <c:v>-0.30349999999999999</c:v>
                </c:pt>
                <c:pt idx="5">
                  <c:v>-0.30349999999999999</c:v>
                </c:pt>
                <c:pt idx="6">
                  <c:v>-0.29000000000000004</c:v>
                </c:pt>
                <c:pt idx="7">
                  <c:v>-0.28649999999999998</c:v>
                </c:pt>
                <c:pt idx="8">
                  <c:v>-0.28800000000000003</c:v>
                </c:pt>
                <c:pt idx="9">
                  <c:v>-0.28700000000000003</c:v>
                </c:pt>
                <c:pt idx="10">
                  <c:v>-0.28600000000000003</c:v>
                </c:pt>
                <c:pt idx="11">
                  <c:v>-0.28600000000000003</c:v>
                </c:pt>
                <c:pt idx="12">
                  <c:v>-0.28600000000000003</c:v>
                </c:pt>
                <c:pt idx="13">
                  <c:v>-0.29549999999999998</c:v>
                </c:pt>
                <c:pt idx="14">
                  <c:v>-0.29249999999999998</c:v>
                </c:pt>
                <c:pt idx="15">
                  <c:v>-0.29549999999999998</c:v>
                </c:pt>
                <c:pt idx="16">
                  <c:v>-0.29849999999999999</c:v>
                </c:pt>
                <c:pt idx="17">
                  <c:v>-0.29800000000000004</c:v>
                </c:pt>
                <c:pt idx="18">
                  <c:v>-0.29800000000000004</c:v>
                </c:pt>
                <c:pt idx="19">
                  <c:v>-0.29800000000000004</c:v>
                </c:pt>
                <c:pt idx="20">
                  <c:v>-0.29649999999999999</c:v>
                </c:pt>
                <c:pt idx="21">
                  <c:v>-0.29449999999999998</c:v>
                </c:pt>
                <c:pt idx="22">
                  <c:v>-0.29200000000000004</c:v>
                </c:pt>
                <c:pt idx="23">
                  <c:v>-0.29349999999999998</c:v>
                </c:pt>
                <c:pt idx="24">
                  <c:v>-0.29600000000000004</c:v>
                </c:pt>
                <c:pt idx="25">
                  <c:v>-0.29600000000000004</c:v>
                </c:pt>
                <c:pt idx="26">
                  <c:v>-0.29600000000000004</c:v>
                </c:pt>
                <c:pt idx="27">
                  <c:v>-0.29249999999999998</c:v>
                </c:pt>
                <c:pt idx="28">
                  <c:v>-0.29549999999999998</c:v>
                </c:pt>
                <c:pt idx="29">
                  <c:v>-0.29500000000000004</c:v>
                </c:pt>
                <c:pt idx="30">
                  <c:v>-0.29800000000000004</c:v>
                </c:pt>
                <c:pt idx="31">
                  <c:v>-0.29849999999999999</c:v>
                </c:pt>
                <c:pt idx="32">
                  <c:v>-0.29849999999999999</c:v>
                </c:pt>
                <c:pt idx="33">
                  <c:v>-0.29849999999999999</c:v>
                </c:pt>
                <c:pt idx="34">
                  <c:v>-0.30649999999999999</c:v>
                </c:pt>
                <c:pt idx="35">
                  <c:v>-0.30200000000000005</c:v>
                </c:pt>
                <c:pt idx="36">
                  <c:v>-0.29849999999999999</c:v>
                </c:pt>
                <c:pt idx="37">
                  <c:v>-0.29200000000000004</c:v>
                </c:pt>
                <c:pt idx="38">
                  <c:v>-0.28249999999999997</c:v>
                </c:pt>
                <c:pt idx="39">
                  <c:v>-0.28249999999999997</c:v>
                </c:pt>
                <c:pt idx="40">
                  <c:v>-0.28249999999999997</c:v>
                </c:pt>
                <c:pt idx="41">
                  <c:v>-0.28000000000000003</c:v>
                </c:pt>
                <c:pt idx="42">
                  <c:v>-0.27700000000000002</c:v>
                </c:pt>
                <c:pt idx="43">
                  <c:v>-0.27600000000000002</c:v>
                </c:pt>
                <c:pt idx="44">
                  <c:v>-0.26050000000000001</c:v>
                </c:pt>
                <c:pt idx="45">
                  <c:v>-0.2525</c:v>
                </c:pt>
                <c:pt idx="46">
                  <c:v>-0.2525</c:v>
                </c:pt>
                <c:pt idx="47">
                  <c:v>-0.2525</c:v>
                </c:pt>
                <c:pt idx="48">
                  <c:v>-0.27200000000000002</c:v>
                </c:pt>
                <c:pt idx="49">
                  <c:v>-0.27650000000000002</c:v>
                </c:pt>
                <c:pt idx="50">
                  <c:v>-0.27100000000000002</c:v>
                </c:pt>
                <c:pt idx="51">
                  <c:v>-0.27450000000000002</c:v>
                </c:pt>
                <c:pt idx="52">
                  <c:v>-0.26850000000000002</c:v>
                </c:pt>
                <c:pt idx="53">
                  <c:v>-0.26850000000000002</c:v>
                </c:pt>
                <c:pt idx="54">
                  <c:v>-0.26850000000000002</c:v>
                </c:pt>
                <c:pt idx="55">
                  <c:v>-0.26650000000000001</c:v>
                </c:pt>
                <c:pt idx="56">
                  <c:v>-0.25800000000000001</c:v>
                </c:pt>
                <c:pt idx="57">
                  <c:v>-0.2505</c:v>
                </c:pt>
                <c:pt idx="58">
                  <c:v>-0.26</c:v>
                </c:pt>
                <c:pt idx="59">
                  <c:v>-0.25700000000000001</c:v>
                </c:pt>
                <c:pt idx="60">
                  <c:v>-0.25700000000000001</c:v>
                </c:pt>
                <c:pt idx="61">
                  <c:v>-0.25700000000000001</c:v>
                </c:pt>
                <c:pt idx="62">
                  <c:v>-0.25900000000000001</c:v>
                </c:pt>
                <c:pt idx="63">
                  <c:v>-0.26</c:v>
                </c:pt>
                <c:pt idx="64">
                  <c:v>-0.25850000000000001</c:v>
                </c:pt>
                <c:pt idx="65">
                  <c:v>-0.2515</c:v>
                </c:pt>
                <c:pt idx="66">
                  <c:v>-0.25750000000000001</c:v>
                </c:pt>
                <c:pt idx="67">
                  <c:v>-0.25750000000000001</c:v>
                </c:pt>
                <c:pt idx="68">
                  <c:v>-0.25750000000000001</c:v>
                </c:pt>
                <c:pt idx="69">
                  <c:v>-0.2515</c:v>
                </c:pt>
                <c:pt idx="70">
                  <c:v>-0.252</c:v>
                </c:pt>
                <c:pt idx="71">
                  <c:v>-0.2555</c:v>
                </c:pt>
                <c:pt idx="72">
                  <c:v>-0.254</c:v>
                </c:pt>
                <c:pt idx="73">
                  <c:v>-0.25650000000000001</c:v>
                </c:pt>
                <c:pt idx="74">
                  <c:v>-0.25650000000000001</c:v>
                </c:pt>
                <c:pt idx="75">
                  <c:v>-0.25650000000000001</c:v>
                </c:pt>
                <c:pt idx="76">
                  <c:v>-0.252</c:v>
                </c:pt>
                <c:pt idx="77">
                  <c:v>-0.23899999999999999</c:v>
                </c:pt>
                <c:pt idx="78">
                  <c:v>-0.2445</c:v>
                </c:pt>
                <c:pt idx="79">
                  <c:v>-0.24299999999999999</c:v>
                </c:pt>
                <c:pt idx="80">
                  <c:v>-0.24299999999999999</c:v>
                </c:pt>
                <c:pt idx="81">
                  <c:v>-0.24299999999999999</c:v>
                </c:pt>
                <c:pt idx="82">
                  <c:v>-0.24299999999999999</c:v>
                </c:pt>
                <c:pt idx="83">
                  <c:v>-0.24299999999999999</c:v>
                </c:pt>
                <c:pt idx="84">
                  <c:v>-0.24249999999999999</c:v>
                </c:pt>
                <c:pt idx="85">
                  <c:v>-0.245</c:v>
                </c:pt>
                <c:pt idx="86">
                  <c:v>-0.246</c:v>
                </c:pt>
                <c:pt idx="87">
                  <c:v>-0.2495</c:v>
                </c:pt>
                <c:pt idx="88">
                  <c:v>-0.2495</c:v>
                </c:pt>
                <c:pt idx="89">
                  <c:v>-0.2495</c:v>
                </c:pt>
                <c:pt idx="90">
                  <c:v>-0.2465</c:v>
                </c:pt>
                <c:pt idx="91">
                  <c:v>-0.2485</c:v>
                </c:pt>
                <c:pt idx="92">
                  <c:v>-0.248</c:v>
                </c:pt>
                <c:pt idx="93">
                  <c:v>-0.2485</c:v>
                </c:pt>
                <c:pt idx="94">
                  <c:v>-0.25</c:v>
                </c:pt>
                <c:pt idx="95">
                  <c:v>-0.25</c:v>
                </c:pt>
                <c:pt idx="96">
                  <c:v>-0.25</c:v>
                </c:pt>
                <c:pt idx="97">
                  <c:v>-0.249</c:v>
                </c:pt>
                <c:pt idx="98">
                  <c:v>-0.247</c:v>
                </c:pt>
                <c:pt idx="99">
                  <c:v>-0.245</c:v>
                </c:pt>
                <c:pt idx="100">
                  <c:v>-0.246</c:v>
                </c:pt>
                <c:pt idx="101">
                  <c:v>-0.251</c:v>
                </c:pt>
                <c:pt idx="102">
                  <c:v>-0.251</c:v>
                </c:pt>
                <c:pt idx="103">
                  <c:v>-0.251</c:v>
                </c:pt>
                <c:pt idx="104">
                  <c:v>-0.249</c:v>
                </c:pt>
                <c:pt idx="105">
                  <c:v>-0.25</c:v>
                </c:pt>
                <c:pt idx="106">
                  <c:v>-0.24349999999999999</c:v>
                </c:pt>
                <c:pt idx="107">
                  <c:v>-0.245</c:v>
                </c:pt>
                <c:pt idx="108">
                  <c:v>-0.24299999999999999</c:v>
                </c:pt>
                <c:pt idx="109">
                  <c:v>-0.24299999999999999</c:v>
                </c:pt>
                <c:pt idx="110">
                  <c:v>-0.24299999999999999</c:v>
                </c:pt>
                <c:pt idx="111">
                  <c:v>-0.24299999999999999</c:v>
                </c:pt>
                <c:pt idx="112">
                  <c:v>-0.24249999999999999</c:v>
                </c:pt>
                <c:pt idx="113">
                  <c:v>-0.24249999999999999</c:v>
                </c:pt>
                <c:pt idx="114">
                  <c:v>-0.247</c:v>
                </c:pt>
                <c:pt idx="115">
                  <c:v>-0.23799999999999999</c:v>
                </c:pt>
                <c:pt idx="116">
                  <c:v>-0.23799999999999999</c:v>
                </c:pt>
                <c:pt idx="117">
                  <c:v>-0.23799999999999999</c:v>
                </c:pt>
                <c:pt idx="118">
                  <c:v>-0.246</c:v>
                </c:pt>
                <c:pt idx="119">
                  <c:v>-0.23900000000000002</c:v>
                </c:pt>
                <c:pt idx="120">
                  <c:v>-0.23250000000000001</c:v>
                </c:pt>
                <c:pt idx="121">
                  <c:v>-0.22600000000000001</c:v>
                </c:pt>
                <c:pt idx="122">
                  <c:v>-0.22650000000000001</c:v>
                </c:pt>
                <c:pt idx="123">
                  <c:v>-0.22650000000000001</c:v>
                </c:pt>
                <c:pt idx="124">
                  <c:v>-0.22650000000000001</c:v>
                </c:pt>
                <c:pt idx="125">
                  <c:v>-0.22800000000000001</c:v>
                </c:pt>
                <c:pt idx="126">
                  <c:v>-0.21100000000000002</c:v>
                </c:pt>
                <c:pt idx="127">
                  <c:v>-0.2</c:v>
                </c:pt>
                <c:pt idx="128">
                  <c:v>-0.19700000000000001</c:v>
                </c:pt>
                <c:pt idx="129">
                  <c:v>-0.20050000000000001</c:v>
                </c:pt>
                <c:pt idx="130">
                  <c:v>-0.20050000000000001</c:v>
                </c:pt>
                <c:pt idx="131">
                  <c:v>-0.20050000000000001</c:v>
                </c:pt>
                <c:pt idx="132">
                  <c:v>-0.19900000000000001</c:v>
                </c:pt>
                <c:pt idx="133">
                  <c:v>-0.20250000000000001</c:v>
                </c:pt>
                <c:pt idx="134">
                  <c:v>-0.20800000000000002</c:v>
                </c:pt>
                <c:pt idx="135">
                  <c:v>-0.20800000000000002</c:v>
                </c:pt>
                <c:pt idx="136">
                  <c:v>-0.21000000000000002</c:v>
                </c:pt>
                <c:pt idx="137">
                  <c:v>-0.21000000000000002</c:v>
                </c:pt>
                <c:pt idx="138">
                  <c:v>-0.21000000000000002</c:v>
                </c:pt>
                <c:pt idx="139">
                  <c:v>-0.21000000000000002</c:v>
                </c:pt>
                <c:pt idx="140">
                  <c:v>-0.21099999999999999</c:v>
                </c:pt>
                <c:pt idx="141">
                  <c:v>-0.21199999999999999</c:v>
                </c:pt>
                <c:pt idx="142">
                  <c:v>-0.2145</c:v>
                </c:pt>
                <c:pt idx="143">
                  <c:v>-0.22</c:v>
                </c:pt>
                <c:pt idx="144">
                  <c:v>-0.22</c:v>
                </c:pt>
                <c:pt idx="145">
                  <c:v>-0.22</c:v>
                </c:pt>
                <c:pt idx="146">
                  <c:v>-0.2165</c:v>
                </c:pt>
                <c:pt idx="147">
                  <c:v>-0.218</c:v>
                </c:pt>
                <c:pt idx="148">
                  <c:v>-0.23600000000000002</c:v>
                </c:pt>
                <c:pt idx="149">
                  <c:v>-0.23550000000000001</c:v>
                </c:pt>
                <c:pt idx="150">
                  <c:v>-0.24</c:v>
                </c:pt>
                <c:pt idx="151">
                  <c:v>-0.24</c:v>
                </c:pt>
                <c:pt idx="152">
                  <c:v>-0.24</c:v>
                </c:pt>
                <c:pt idx="153">
                  <c:v>-0.23749999999999999</c:v>
                </c:pt>
                <c:pt idx="154">
                  <c:v>-0.23550000000000001</c:v>
                </c:pt>
                <c:pt idx="155">
                  <c:v>-0.24049999999999999</c:v>
                </c:pt>
                <c:pt idx="156">
                  <c:v>-0.23650000000000002</c:v>
                </c:pt>
                <c:pt idx="157">
                  <c:v>-0.23550000000000001</c:v>
                </c:pt>
                <c:pt idx="158">
                  <c:v>-0.23550000000000001</c:v>
                </c:pt>
                <c:pt idx="159">
                  <c:v>-0.23550000000000001</c:v>
                </c:pt>
                <c:pt idx="160">
                  <c:v>-0.23300000000000001</c:v>
                </c:pt>
                <c:pt idx="161">
                  <c:v>-0.23050000000000001</c:v>
                </c:pt>
                <c:pt idx="162">
                  <c:v>-0.23450000000000001</c:v>
                </c:pt>
                <c:pt idx="163">
                  <c:v>-0.23700000000000002</c:v>
                </c:pt>
                <c:pt idx="164">
                  <c:v>-0.23650000000000002</c:v>
                </c:pt>
                <c:pt idx="165">
                  <c:v>-0.23650000000000002</c:v>
                </c:pt>
                <c:pt idx="166">
                  <c:v>-0.23650000000000002</c:v>
                </c:pt>
                <c:pt idx="167">
                  <c:v>-0.23750000000000002</c:v>
                </c:pt>
                <c:pt idx="168">
                  <c:v>-0.23750000000000002</c:v>
                </c:pt>
                <c:pt idx="169">
                  <c:v>-0.24100000000000002</c:v>
                </c:pt>
                <c:pt idx="170">
                  <c:v>-0.24399999999999999</c:v>
                </c:pt>
                <c:pt idx="171">
                  <c:v>-0.26250000000000001</c:v>
                </c:pt>
                <c:pt idx="172">
                  <c:v>-0.26250000000000001</c:v>
                </c:pt>
                <c:pt idx="173">
                  <c:v>-0.26250000000000001</c:v>
                </c:pt>
                <c:pt idx="174">
                  <c:v>-0.24249999999999999</c:v>
                </c:pt>
                <c:pt idx="175">
                  <c:v>-0.26750000000000002</c:v>
                </c:pt>
                <c:pt idx="176">
                  <c:v>-0.27149999999999996</c:v>
                </c:pt>
                <c:pt idx="177">
                  <c:v>-0.28149999999999997</c:v>
                </c:pt>
                <c:pt idx="178">
                  <c:v>-0.26650000000000001</c:v>
                </c:pt>
                <c:pt idx="179">
                  <c:v>-0.26650000000000001</c:v>
                </c:pt>
                <c:pt idx="180">
                  <c:v>-0.26650000000000001</c:v>
                </c:pt>
                <c:pt idx="181">
                  <c:v>-0.26550000000000001</c:v>
                </c:pt>
                <c:pt idx="182">
                  <c:v>-0.26750000000000002</c:v>
                </c:pt>
                <c:pt idx="183">
                  <c:v>-0.25900000000000001</c:v>
                </c:pt>
                <c:pt idx="184">
                  <c:v>-0.27050000000000002</c:v>
                </c:pt>
                <c:pt idx="185">
                  <c:v>-0.27400000000000002</c:v>
                </c:pt>
                <c:pt idx="186">
                  <c:v>-0.27400000000000002</c:v>
                </c:pt>
                <c:pt idx="187">
                  <c:v>-0.27400000000000002</c:v>
                </c:pt>
                <c:pt idx="188">
                  <c:v>-0.27800000000000002</c:v>
                </c:pt>
                <c:pt idx="189">
                  <c:v>-0.28249999999999997</c:v>
                </c:pt>
                <c:pt idx="190">
                  <c:v>-0.28300000000000003</c:v>
                </c:pt>
                <c:pt idx="191">
                  <c:v>-0.28700000000000003</c:v>
                </c:pt>
                <c:pt idx="192">
                  <c:v>-0.29649999999999999</c:v>
                </c:pt>
                <c:pt idx="193">
                  <c:v>-0.29649999999999999</c:v>
                </c:pt>
                <c:pt idx="194">
                  <c:v>-0.29649999999999999</c:v>
                </c:pt>
                <c:pt idx="195">
                  <c:v>-0.29800000000000004</c:v>
                </c:pt>
                <c:pt idx="196">
                  <c:v>-0.30100000000000005</c:v>
                </c:pt>
                <c:pt idx="197">
                  <c:v>-0.29749999999999999</c:v>
                </c:pt>
                <c:pt idx="198">
                  <c:v>-0.30049999999999999</c:v>
                </c:pt>
                <c:pt idx="199">
                  <c:v>-0.30149999999999999</c:v>
                </c:pt>
                <c:pt idx="200">
                  <c:v>-0.30149999999999999</c:v>
                </c:pt>
                <c:pt idx="201">
                  <c:v>-0.30149999999999999</c:v>
                </c:pt>
                <c:pt idx="202">
                  <c:v>-0.30249999999999999</c:v>
                </c:pt>
                <c:pt idx="203">
                  <c:v>-0.308</c:v>
                </c:pt>
                <c:pt idx="204">
                  <c:v>-0.3115</c:v>
                </c:pt>
                <c:pt idx="205">
                  <c:v>-0.3075</c:v>
                </c:pt>
                <c:pt idx="206">
                  <c:v>-0.32099999999999995</c:v>
                </c:pt>
                <c:pt idx="207">
                  <c:v>-0.32099999999999995</c:v>
                </c:pt>
                <c:pt idx="208">
                  <c:v>-0.32099999999999995</c:v>
                </c:pt>
                <c:pt idx="209">
                  <c:v>-0.31850000000000001</c:v>
                </c:pt>
                <c:pt idx="210">
                  <c:v>-0.3125</c:v>
                </c:pt>
                <c:pt idx="211">
                  <c:v>-0.318</c:v>
                </c:pt>
                <c:pt idx="212">
                  <c:v>-0.32100000000000001</c:v>
                </c:pt>
                <c:pt idx="213">
                  <c:v>-0.315</c:v>
                </c:pt>
                <c:pt idx="214">
                  <c:v>-0.315</c:v>
                </c:pt>
                <c:pt idx="215">
                  <c:v>-0.315</c:v>
                </c:pt>
                <c:pt idx="216">
                  <c:v>-0.32350000000000001</c:v>
                </c:pt>
                <c:pt idx="217">
                  <c:v>-0.32350000000000001</c:v>
                </c:pt>
                <c:pt idx="218">
                  <c:v>-0.32699999999999996</c:v>
                </c:pt>
                <c:pt idx="219">
                  <c:v>-0.33550000000000002</c:v>
                </c:pt>
                <c:pt idx="220">
                  <c:v>-0.33650000000000002</c:v>
                </c:pt>
                <c:pt idx="221">
                  <c:v>-0.33650000000000002</c:v>
                </c:pt>
                <c:pt idx="222">
                  <c:v>-0.33650000000000002</c:v>
                </c:pt>
                <c:pt idx="223">
                  <c:v>-0.33750000000000002</c:v>
                </c:pt>
                <c:pt idx="224">
                  <c:v>-0.34599999999999997</c:v>
                </c:pt>
                <c:pt idx="225">
                  <c:v>-0.34150000000000003</c:v>
                </c:pt>
                <c:pt idx="226">
                  <c:v>-0.33799999999999997</c:v>
                </c:pt>
                <c:pt idx="227">
                  <c:v>-0.34350000000000003</c:v>
                </c:pt>
                <c:pt idx="228">
                  <c:v>-0.34350000000000003</c:v>
                </c:pt>
                <c:pt idx="229">
                  <c:v>-0.34350000000000003</c:v>
                </c:pt>
                <c:pt idx="230">
                  <c:v>-0.34350000000000003</c:v>
                </c:pt>
                <c:pt idx="231">
                  <c:v>-0.33999999999999997</c:v>
                </c:pt>
                <c:pt idx="232">
                  <c:v>-0.33750000000000002</c:v>
                </c:pt>
                <c:pt idx="233">
                  <c:v>-0.34899999999999998</c:v>
                </c:pt>
                <c:pt idx="234">
                  <c:v>-0.35550000000000004</c:v>
                </c:pt>
                <c:pt idx="235">
                  <c:v>-0.35550000000000004</c:v>
                </c:pt>
                <c:pt idx="236">
                  <c:v>-0.35550000000000004</c:v>
                </c:pt>
                <c:pt idx="237">
                  <c:v>-0.35050000000000003</c:v>
                </c:pt>
                <c:pt idx="238">
                  <c:v>-0.34099999999999997</c:v>
                </c:pt>
                <c:pt idx="239">
                  <c:v>-0.32350000000000001</c:v>
                </c:pt>
                <c:pt idx="240">
                  <c:v>-0.32650000000000001</c:v>
                </c:pt>
                <c:pt idx="241">
                  <c:v>-0.32250000000000001</c:v>
                </c:pt>
                <c:pt idx="242">
                  <c:v>-0.32250000000000001</c:v>
                </c:pt>
                <c:pt idx="243">
                  <c:v>-0.32250000000000001</c:v>
                </c:pt>
                <c:pt idx="244">
                  <c:v>-0.32450000000000001</c:v>
                </c:pt>
                <c:pt idx="245">
                  <c:v>-0.33</c:v>
                </c:pt>
                <c:pt idx="246">
                  <c:v>-0.32850000000000001</c:v>
                </c:pt>
                <c:pt idx="247">
                  <c:v>-0.33</c:v>
                </c:pt>
                <c:pt idx="248">
                  <c:v>-0.33350000000000002</c:v>
                </c:pt>
                <c:pt idx="249">
                  <c:v>-0.33350000000000002</c:v>
                </c:pt>
                <c:pt idx="250">
                  <c:v>-0.33350000000000002</c:v>
                </c:pt>
                <c:pt idx="251">
                  <c:v>-0.32950000000000002</c:v>
                </c:pt>
                <c:pt idx="252">
                  <c:v>-0.33050000000000002</c:v>
                </c:pt>
                <c:pt idx="253">
                  <c:v>-0.32550000000000001</c:v>
                </c:pt>
                <c:pt idx="254">
                  <c:v>-0.29849999999999999</c:v>
                </c:pt>
                <c:pt idx="255">
                  <c:v>-0.29049999999999998</c:v>
                </c:pt>
                <c:pt idx="256">
                  <c:v>-0.29049999999999998</c:v>
                </c:pt>
                <c:pt idx="257">
                  <c:v>-0.29049999999999998</c:v>
                </c:pt>
                <c:pt idx="258">
                  <c:v>-0.28949999999999998</c:v>
                </c:pt>
                <c:pt idx="259">
                  <c:v>-0.29149999999999998</c:v>
                </c:pt>
                <c:pt idx="260">
                  <c:v>-0.28100000000000003</c:v>
                </c:pt>
                <c:pt idx="261">
                  <c:v>-0.28000000000000003</c:v>
                </c:pt>
                <c:pt idx="262">
                  <c:v>-0.28600000000000003</c:v>
                </c:pt>
                <c:pt idx="263">
                  <c:v>-0.28600000000000003</c:v>
                </c:pt>
                <c:pt idx="264">
                  <c:v>-0.28600000000000003</c:v>
                </c:pt>
                <c:pt idx="265">
                  <c:v>-0.28350000000000003</c:v>
                </c:pt>
                <c:pt idx="266">
                  <c:v>-0.27500000000000002</c:v>
                </c:pt>
                <c:pt idx="267">
                  <c:v>-0.27150000000000002</c:v>
                </c:pt>
                <c:pt idx="268">
                  <c:v>-0.27100000000000002</c:v>
                </c:pt>
                <c:pt idx="269">
                  <c:v>-0.27200000000000002</c:v>
                </c:pt>
                <c:pt idx="270">
                  <c:v>-0.27200000000000002</c:v>
                </c:pt>
                <c:pt idx="271">
                  <c:v>-0.27200000000000002</c:v>
                </c:pt>
                <c:pt idx="272">
                  <c:v>-0.23449999999999999</c:v>
                </c:pt>
                <c:pt idx="273">
                  <c:v>-0.21400000000000002</c:v>
                </c:pt>
                <c:pt idx="274">
                  <c:v>-0.21350000000000002</c:v>
                </c:pt>
                <c:pt idx="275">
                  <c:v>-0.23100000000000001</c:v>
                </c:pt>
                <c:pt idx="276">
                  <c:v>-0.21600000000000003</c:v>
                </c:pt>
                <c:pt idx="277">
                  <c:v>-0.21600000000000003</c:v>
                </c:pt>
                <c:pt idx="278">
                  <c:v>-0.21600000000000003</c:v>
                </c:pt>
                <c:pt idx="279">
                  <c:v>-0.17699999999999999</c:v>
                </c:pt>
                <c:pt idx="280">
                  <c:v>-0.16600000000000001</c:v>
                </c:pt>
                <c:pt idx="281">
                  <c:v>-0.13600000000000001</c:v>
                </c:pt>
                <c:pt idx="282">
                  <c:v>-7.3499999999999996E-2</c:v>
                </c:pt>
                <c:pt idx="283">
                  <c:v>-3.95E-2</c:v>
                </c:pt>
                <c:pt idx="284">
                  <c:v>-3.95E-2</c:v>
                </c:pt>
                <c:pt idx="285">
                  <c:v>-3.95E-2</c:v>
                </c:pt>
                <c:pt idx="286">
                  <c:v>-2.4500000000000001E-2</c:v>
                </c:pt>
                <c:pt idx="287">
                  <c:v>-1.1999999999999997E-2</c:v>
                </c:pt>
                <c:pt idx="288">
                  <c:v>-1.1999999999999997E-2</c:v>
                </c:pt>
                <c:pt idx="289">
                  <c:v>-1.0000000000000009E-3</c:v>
                </c:pt>
                <c:pt idx="290">
                  <c:v>4.7E-2</c:v>
                </c:pt>
                <c:pt idx="291">
                  <c:v>4.7E-2</c:v>
                </c:pt>
                <c:pt idx="292">
                  <c:v>4.7E-2</c:v>
                </c:pt>
                <c:pt idx="293">
                  <c:v>6.6500000000000004E-2</c:v>
                </c:pt>
                <c:pt idx="294">
                  <c:v>3.7499999999999999E-2</c:v>
                </c:pt>
                <c:pt idx="295">
                  <c:v>3.15E-2</c:v>
                </c:pt>
                <c:pt idx="296">
                  <c:v>-1.8500000000000003E-2</c:v>
                </c:pt>
                <c:pt idx="297">
                  <c:v>-6.8500000000000005E-2</c:v>
                </c:pt>
                <c:pt idx="298">
                  <c:v>-6.8500000000000005E-2</c:v>
                </c:pt>
                <c:pt idx="299">
                  <c:v>-6.8500000000000005E-2</c:v>
                </c:pt>
                <c:pt idx="300">
                  <c:v>-6.3500000000000001E-2</c:v>
                </c:pt>
                <c:pt idx="301">
                  <c:v>-7.3999999999999996E-2</c:v>
                </c:pt>
                <c:pt idx="302">
                  <c:v>-3.1E-2</c:v>
                </c:pt>
                <c:pt idx="303">
                  <c:v>2.0000000000000018E-3</c:v>
                </c:pt>
                <c:pt idx="304">
                  <c:v>-1.5000000000000001E-2</c:v>
                </c:pt>
                <c:pt idx="305">
                  <c:v>-1.5000000000000001E-2</c:v>
                </c:pt>
                <c:pt idx="306">
                  <c:v>-1.5000000000000001E-2</c:v>
                </c:pt>
                <c:pt idx="307">
                  <c:v>-3.85E-2</c:v>
                </c:pt>
                <c:pt idx="308">
                  <c:v>-7.4999999999999997E-3</c:v>
                </c:pt>
                <c:pt idx="309">
                  <c:v>-1.2999999999999999E-2</c:v>
                </c:pt>
                <c:pt idx="310">
                  <c:v>-2.4E-2</c:v>
                </c:pt>
                <c:pt idx="311">
                  <c:v>-3.4499999999999996E-2</c:v>
                </c:pt>
                <c:pt idx="312">
                  <c:v>-3.4499999999999996E-2</c:v>
                </c:pt>
                <c:pt idx="313">
                  <c:v>-3.4499999999999996E-2</c:v>
                </c:pt>
                <c:pt idx="314">
                  <c:v>-3.0499999999999999E-2</c:v>
                </c:pt>
                <c:pt idx="315">
                  <c:v>8.9999999999999976E-3</c:v>
                </c:pt>
                <c:pt idx="316">
                  <c:v>1.8499999999999999E-2</c:v>
                </c:pt>
                <c:pt idx="317">
                  <c:v>2.4999999999999998E-2</c:v>
                </c:pt>
                <c:pt idx="318">
                  <c:v>3.4999999999999996E-3</c:v>
                </c:pt>
                <c:pt idx="319">
                  <c:v>3.4999999999999996E-3</c:v>
                </c:pt>
                <c:pt idx="320">
                  <c:v>3.4999999999999996E-3</c:v>
                </c:pt>
                <c:pt idx="321">
                  <c:v>9.0000000000000011E-3</c:v>
                </c:pt>
                <c:pt idx="322">
                  <c:v>8.9999999999999976E-3</c:v>
                </c:pt>
                <c:pt idx="323">
                  <c:v>1.6500000000000001E-2</c:v>
                </c:pt>
                <c:pt idx="324">
                  <c:v>-5.000000000000001E-3</c:v>
                </c:pt>
                <c:pt idx="325">
                  <c:v>-1.8500000000000003E-2</c:v>
                </c:pt>
                <c:pt idx="326">
                  <c:v>-1.8500000000000003E-2</c:v>
                </c:pt>
                <c:pt idx="327">
                  <c:v>-1.8500000000000003E-2</c:v>
                </c:pt>
                <c:pt idx="328">
                  <c:v>-2.1500000000000002E-2</c:v>
                </c:pt>
                <c:pt idx="329">
                  <c:v>-2.2500000000000003E-2</c:v>
                </c:pt>
                <c:pt idx="330">
                  <c:v>-8.0000000000000002E-3</c:v>
                </c:pt>
                <c:pt idx="331">
                  <c:v>-2.5999999999999999E-2</c:v>
                </c:pt>
                <c:pt idx="332">
                  <c:v>-2.2499999999999999E-2</c:v>
                </c:pt>
                <c:pt idx="333">
                  <c:v>-2.2499999999999999E-2</c:v>
                </c:pt>
                <c:pt idx="334">
                  <c:v>-2.2499999999999999E-2</c:v>
                </c:pt>
                <c:pt idx="335">
                  <c:v>-3.4000000000000002E-2</c:v>
                </c:pt>
                <c:pt idx="336">
                  <c:v>-3.2000000000000001E-2</c:v>
                </c:pt>
                <c:pt idx="337">
                  <c:v>-2.3000000000000003E-2</c:v>
                </c:pt>
                <c:pt idx="338">
                  <c:v>-2.2500000000000003E-2</c:v>
                </c:pt>
                <c:pt idx="339">
                  <c:v>-4.1499999999999995E-2</c:v>
                </c:pt>
                <c:pt idx="340">
                  <c:v>-4.1499999999999995E-2</c:v>
                </c:pt>
                <c:pt idx="341">
                  <c:v>-4.1499999999999995E-2</c:v>
                </c:pt>
                <c:pt idx="342">
                  <c:v>-3.9999999999999994E-2</c:v>
                </c:pt>
                <c:pt idx="343">
                  <c:v>-3.4000000000000002E-2</c:v>
                </c:pt>
                <c:pt idx="344">
                  <c:v>-2.4E-2</c:v>
                </c:pt>
                <c:pt idx="345">
                  <c:v>-1.9500000000000003E-2</c:v>
                </c:pt>
                <c:pt idx="346">
                  <c:v>-2.1000000000000005E-2</c:v>
                </c:pt>
                <c:pt idx="347">
                  <c:v>-2.1000000000000005E-2</c:v>
                </c:pt>
                <c:pt idx="348">
                  <c:v>-2.1000000000000005E-2</c:v>
                </c:pt>
                <c:pt idx="349">
                  <c:v>-2.1000000000000005E-2</c:v>
                </c:pt>
                <c:pt idx="350">
                  <c:v>-2.1000000000000005E-2</c:v>
                </c:pt>
                <c:pt idx="351">
                  <c:v>5.0000000000000044E-4</c:v>
                </c:pt>
                <c:pt idx="352">
                  <c:v>-5.9999999999999984E-3</c:v>
                </c:pt>
                <c:pt idx="353">
                  <c:v>-6.9999999999999993E-3</c:v>
                </c:pt>
                <c:pt idx="354">
                  <c:v>-6.9999999999999993E-3</c:v>
                </c:pt>
                <c:pt idx="355">
                  <c:v>-6.9999999999999993E-3</c:v>
                </c:pt>
                <c:pt idx="356">
                  <c:v>-6.9999999999999993E-3</c:v>
                </c:pt>
                <c:pt idx="357">
                  <c:v>-1.9000000000000003E-2</c:v>
                </c:pt>
                <c:pt idx="358">
                  <c:v>-2.4499999999999997E-2</c:v>
                </c:pt>
                <c:pt idx="359">
                  <c:v>-1.9999999999999983E-3</c:v>
                </c:pt>
                <c:pt idx="360">
                  <c:v>1.7999999999999999E-2</c:v>
                </c:pt>
                <c:pt idx="361">
                  <c:v>1.7999999999999999E-2</c:v>
                </c:pt>
                <c:pt idx="362">
                  <c:v>1.7999999999999999E-2</c:v>
                </c:pt>
                <c:pt idx="363">
                  <c:v>3.0000000000000002E-2</c:v>
                </c:pt>
                <c:pt idx="364">
                  <c:v>5.0999999999999997E-2</c:v>
                </c:pt>
                <c:pt idx="365">
                  <c:v>4.65E-2</c:v>
                </c:pt>
                <c:pt idx="366">
                  <c:v>3.5999999999999997E-2</c:v>
                </c:pt>
              </c:numCache>
            </c:numRef>
          </c:val>
          <c:smooth val="0"/>
          <c:extLst>
            <c:ext xmlns:c16="http://schemas.microsoft.com/office/drawing/2014/chart" uri="{C3380CC4-5D6E-409C-BE32-E72D297353CC}">
              <c16:uniqueId val="{00000002-37EB-41D0-9C9B-43900FF19D30}"/>
            </c:ext>
          </c:extLst>
        </c:ser>
        <c:ser>
          <c:idx val="3"/>
          <c:order val="3"/>
          <c:tx>
            <c:strRef>
              <c:f>Állandó_ábrák!$B$41</c:f>
              <c:strCache>
                <c:ptCount val="1"/>
                <c:pt idx="0">
                  <c:v>Románia</c:v>
                </c:pt>
              </c:strCache>
            </c:strRef>
          </c:tx>
          <c:spPr>
            <a:ln w="25400">
              <a:solidFill>
                <a:srgbClr val="82827D"/>
              </a:solidFill>
            </a:ln>
          </c:spPr>
          <c:marker>
            <c:symbol val="none"/>
          </c:marker>
          <c:cat>
            <c:numRef>
              <c:f>BB!$A$1:$A$367</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BB!$AH$1:$AH$367</c:f>
              <c:numCache>
                <c:formatCode>0.00</c:formatCode>
                <c:ptCount val="367"/>
                <c:pt idx="0">
                  <c:v>0.17699999999999999</c:v>
                </c:pt>
                <c:pt idx="1">
                  <c:v>0.17399999999999999</c:v>
                </c:pt>
                <c:pt idx="2">
                  <c:v>0.16350000000000001</c:v>
                </c:pt>
                <c:pt idx="3">
                  <c:v>0.16450000000000001</c:v>
                </c:pt>
                <c:pt idx="4">
                  <c:v>0.16450000000000001</c:v>
                </c:pt>
                <c:pt idx="5">
                  <c:v>0.16450000000000001</c:v>
                </c:pt>
                <c:pt idx="6">
                  <c:v>0.16749999999999998</c:v>
                </c:pt>
                <c:pt idx="7">
                  <c:v>0.17049999999999998</c:v>
                </c:pt>
                <c:pt idx="8">
                  <c:v>0.16450000000000001</c:v>
                </c:pt>
                <c:pt idx="9">
                  <c:v>0.16250000000000001</c:v>
                </c:pt>
                <c:pt idx="10">
                  <c:v>0.1525</c:v>
                </c:pt>
                <c:pt idx="11">
                  <c:v>0.1525</c:v>
                </c:pt>
                <c:pt idx="12">
                  <c:v>0.1525</c:v>
                </c:pt>
                <c:pt idx="13">
                  <c:v>0.14150000000000001</c:v>
                </c:pt>
                <c:pt idx="14">
                  <c:v>0.13250000000000001</c:v>
                </c:pt>
                <c:pt idx="15">
                  <c:v>0.13200000000000001</c:v>
                </c:pt>
                <c:pt idx="16">
                  <c:v>0.13700000000000001</c:v>
                </c:pt>
                <c:pt idx="17">
                  <c:v>0.13300000000000001</c:v>
                </c:pt>
                <c:pt idx="18">
                  <c:v>0.13300000000000001</c:v>
                </c:pt>
                <c:pt idx="19">
                  <c:v>0.13300000000000001</c:v>
                </c:pt>
                <c:pt idx="20">
                  <c:v>0.127</c:v>
                </c:pt>
                <c:pt idx="21">
                  <c:v>0.122</c:v>
                </c:pt>
                <c:pt idx="22">
                  <c:v>0.114</c:v>
                </c:pt>
                <c:pt idx="23">
                  <c:v>0.1065</c:v>
                </c:pt>
                <c:pt idx="24">
                  <c:v>0.10299999999999999</c:v>
                </c:pt>
                <c:pt idx="25">
                  <c:v>0.10299999999999999</c:v>
                </c:pt>
                <c:pt idx="26">
                  <c:v>0.10299999999999999</c:v>
                </c:pt>
                <c:pt idx="27">
                  <c:v>0.10099999999999999</c:v>
                </c:pt>
                <c:pt idx="28">
                  <c:v>9.6500000000000002E-2</c:v>
                </c:pt>
                <c:pt idx="29">
                  <c:v>9.1499999999999998E-2</c:v>
                </c:pt>
                <c:pt idx="30">
                  <c:v>8.3000000000000004E-2</c:v>
                </c:pt>
                <c:pt idx="31">
                  <c:v>8.2500000000000004E-2</c:v>
                </c:pt>
                <c:pt idx="32">
                  <c:v>8.2500000000000004E-2</c:v>
                </c:pt>
                <c:pt idx="33">
                  <c:v>8.2500000000000004E-2</c:v>
                </c:pt>
                <c:pt idx="34">
                  <c:v>7.4999999999999997E-2</c:v>
                </c:pt>
                <c:pt idx="35">
                  <c:v>0.08</c:v>
                </c:pt>
                <c:pt idx="36">
                  <c:v>0.10299999999999999</c:v>
                </c:pt>
                <c:pt idx="37">
                  <c:v>9.5000000000000001E-2</c:v>
                </c:pt>
                <c:pt idx="38">
                  <c:v>9.8500000000000004E-2</c:v>
                </c:pt>
                <c:pt idx="39">
                  <c:v>9.8500000000000004E-2</c:v>
                </c:pt>
                <c:pt idx="40">
                  <c:v>9.8500000000000004E-2</c:v>
                </c:pt>
                <c:pt idx="41">
                  <c:v>0.111</c:v>
                </c:pt>
                <c:pt idx="42">
                  <c:v>0.127</c:v>
                </c:pt>
                <c:pt idx="43">
                  <c:v>0.124</c:v>
                </c:pt>
                <c:pt idx="44">
                  <c:v>0.14150000000000001</c:v>
                </c:pt>
                <c:pt idx="45">
                  <c:v>0.155</c:v>
                </c:pt>
                <c:pt idx="46">
                  <c:v>0.155</c:v>
                </c:pt>
                <c:pt idx="47">
                  <c:v>0.155</c:v>
                </c:pt>
                <c:pt idx="48">
                  <c:v>0.13350000000000001</c:v>
                </c:pt>
                <c:pt idx="49">
                  <c:v>0.112</c:v>
                </c:pt>
                <c:pt idx="50">
                  <c:v>0.1095</c:v>
                </c:pt>
                <c:pt idx="51">
                  <c:v>0.1145</c:v>
                </c:pt>
                <c:pt idx="52">
                  <c:v>0.14799999999999999</c:v>
                </c:pt>
                <c:pt idx="53">
                  <c:v>0.14799999999999999</c:v>
                </c:pt>
                <c:pt idx="54">
                  <c:v>0.14799999999999999</c:v>
                </c:pt>
                <c:pt idx="55">
                  <c:v>0.17549999999999999</c:v>
                </c:pt>
                <c:pt idx="56">
                  <c:v>0.16499999999999998</c:v>
                </c:pt>
                <c:pt idx="57">
                  <c:v>0.159</c:v>
                </c:pt>
                <c:pt idx="58">
                  <c:v>0.13450000000000001</c:v>
                </c:pt>
                <c:pt idx="59">
                  <c:v>0.14450000000000002</c:v>
                </c:pt>
                <c:pt idx="60">
                  <c:v>0.14450000000000002</c:v>
                </c:pt>
                <c:pt idx="61">
                  <c:v>0.14450000000000002</c:v>
                </c:pt>
                <c:pt idx="62">
                  <c:v>0.14250000000000002</c:v>
                </c:pt>
                <c:pt idx="63">
                  <c:v>0.14250000000000002</c:v>
                </c:pt>
                <c:pt idx="64">
                  <c:v>0.14899999999999999</c:v>
                </c:pt>
                <c:pt idx="65">
                  <c:v>0.158</c:v>
                </c:pt>
                <c:pt idx="66">
                  <c:v>0.1585</c:v>
                </c:pt>
                <c:pt idx="67">
                  <c:v>0.1585</c:v>
                </c:pt>
                <c:pt idx="68">
                  <c:v>0.1585</c:v>
                </c:pt>
                <c:pt idx="69">
                  <c:v>0.16</c:v>
                </c:pt>
                <c:pt idx="70">
                  <c:v>0.1575</c:v>
                </c:pt>
                <c:pt idx="71">
                  <c:v>0.14349999999999999</c:v>
                </c:pt>
                <c:pt idx="72">
                  <c:v>0.14000000000000001</c:v>
                </c:pt>
                <c:pt idx="73">
                  <c:v>0.13700000000000001</c:v>
                </c:pt>
                <c:pt idx="74">
                  <c:v>0.13700000000000001</c:v>
                </c:pt>
                <c:pt idx="75">
                  <c:v>0.13700000000000001</c:v>
                </c:pt>
                <c:pt idx="76">
                  <c:v>0.13750000000000001</c:v>
                </c:pt>
                <c:pt idx="77">
                  <c:v>0.14349999999999999</c:v>
                </c:pt>
                <c:pt idx="78">
                  <c:v>0.13</c:v>
                </c:pt>
                <c:pt idx="79">
                  <c:v>0.11899999999999999</c:v>
                </c:pt>
                <c:pt idx="80">
                  <c:v>0.11899999999999999</c:v>
                </c:pt>
                <c:pt idx="81">
                  <c:v>0.11899999999999999</c:v>
                </c:pt>
                <c:pt idx="82">
                  <c:v>0.11899999999999999</c:v>
                </c:pt>
                <c:pt idx="83">
                  <c:v>0.11899999999999999</c:v>
                </c:pt>
                <c:pt idx="84">
                  <c:v>0.11649999999999999</c:v>
                </c:pt>
                <c:pt idx="85">
                  <c:v>0.10349999999999999</c:v>
                </c:pt>
                <c:pt idx="86">
                  <c:v>9.0999999999999998E-2</c:v>
                </c:pt>
                <c:pt idx="87">
                  <c:v>8.8499999999999995E-2</c:v>
                </c:pt>
                <c:pt idx="88">
                  <c:v>8.8499999999999995E-2</c:v>
                </c:pt>
                <c:pt idx="89">
                  <c:v>8.8499999999999995E-2</c:v>
                </c:pt>
                <c:pt idx="90">
                  <c:v>8.9499999999999996E-2</c:v>
                </c:pt>
                <c:pt idx="91">
                  <c:v>8.9499999999999996E-2</c:v>
                </c:pt>
                <c:pt idx="92">
                  <c:v>9.799999999999999E-2</c:v>
                </c:pt>
                <c:pt idx="93">
                  <c:v>0.10149999999999999</c:v>
                </c:pt>
                <c:pt idx="94">
                  <c:v>9.8999999999999991E-2</c:v>
                </c:pt>
                <c:pt idx="95">
                  <c:v>9.8999999999999991E-2</c:v>
                </c:pt>
                <c:pt idx="96">
                  <c:v>9.8999999999999991E-2</c:v>
                </c:pt>
                <c:pt idx="97">
                  <c:v>9.6000000000000002E-2</c:v>
                </c:pt>
                <c:pt idx="98">
                  <c:v>9.4500000000000001E-2</c:v>
                </c:pt>
                <c:pt idx="99">
                  <c:v>8.6499999999999994E-2</c:v>
                </c:pt>
                <c:pt idx="100">
                  <c:v>8.3000000000000004E-2</c:v>
                </c:pt>
                <c:pt idx="101">
                  <c:v>7.9500000000000001E-2</c:v>
                </c:pt>
                <c:pt idx="102">
                  <c:v>7.9500000000000001E-2</c:v>
                </c:pt>
                <c:pt idx="103">
                  <c:v>7.9500000000000001E-2</c:v>
                </c:pt>
                <c:pt idx="104">
                  <c:v>7.8E-2</c:v>
                </c:pt>
                <c:pt idx="105">
                  <c:v>7.6499999999999999E-2</c:v>
                </c:pt>
                <c:pt idx="106">
                  <c:v>8.6999999999999994E-2</c:v>
                </c:pt>
                <c:pt idx="107">
                  <c:v>8.6499999999999994E-2</c:v>
                </c:pt>
                <c:pt idx="108">
                  <c:v>7.8E-2</c:v>
                </c:pt>
                <c:pt idx="109">
                  <c:v>7.8E-2</c:v>
                </c:pt>
                <c:pt idx="110">
                  <c:v>7.8E-2</c:v>
                </c:pt>
                <c:pt idx="111">
                  <c:v>0.08</c:v>
                </c:pt>
                <c:pt idx="112">
                  <c:v>7.9000000000000001E-2</c:v>
                </c:pt>
                <c:pt idx="113">
                  <c:v>7.85E-2</c:v>
                </c:pt>
                <c:pt idx="114">
                  <c:v>7.2999999999999995E-2</c:v>
                </c:pt>
                <c:pt idx="115">
                  <c:v>7.0999999999999994E-2</c:v>
                </c:pt>
                <c:pt idx="116">
                  <c:v>7.0999999999999994E-2</c:v>
                </c:pt>
                <c:pt idx="117">
                  <c:v>7.0999999999999994E-2</c:v>
                </c:pt>
                <c:pt idx="118">
                  <c:v>7.1000000000000008E-2</c:v>
                </c:pt>
                <c:pt idx="119">
                  <c:v>7.3000000000000009E-2</c:v>
                </c:pt>
                <c:pt idx="120">
                  <c:v>8.2000000000000003E-2</c:v>
                </c:pt>
                <c:pt idx="121">
                  <c:v>0.108</c:v>
                </c:pt>
                <c:pt idx="122">
                  <c:v>0.106</c:v>
                </c:pt>
                <c:pt idx="123">
                  <c:v>0.106</c:v>
                </c:pt>
                <c:pt idx="124">
                  <c:v>0.106</c:v>
                </c:pt>
                <c:pt idx="125">
                  <c:v>0.109</c:v>
                </c:pt>
                <c:pt idx="126">
                  <c:v>0.11799999999999999</c:v>
                </c:pt>
                <c:pt idx="127">
                  <c:v>0.124</c:v>
                </c:pt>
                <c:pt idx="128">
                  <c:v>0.1195</c:v>
                </c:pt>
                <c:pt idx="129">
                  <c:v>0.113</c:v>
                </c:pt>
                <c:pt idx="130">
                  <c:v>0.113</c:v>
                </c:pt>
                <c:pt idx="131">
                  <c:v>0.113</c:v>
                </c:pt>
                <c:pt idx="132">
                  <c:v>0.1055</c:v>
                </c:pt>
                <c:pt idx="133">
                  <c:v>0.10249999999999999</c:v>
                </c:pt>
                <c:pt idx="134">
                  <c:v>9.6000000000000002E-2</c:v>
                </c:pt>
                <c:pt idx="135">
                  <c:v>9.1999999999999998E-2</c:v>
                </c:pt>
                <c:pt idx="136">
                  <c:v>9.35E-2</c:v>
                </c:pt>
                <c:pt idx="137">
                  <c:v>9.35E-2</c:v>
                </c:pt>
                <c:pt idx="138">
                  <c:v>9.35E-2</c:v>
                </c:pt>
                <c:pt idx="139">
                  <c:v>9.0500000000000011E-2</c:v>
                </c:pt>
                <c:pt idx="140">
                  <c:v>8.1500000000000003E-2</c:v>
                </c:pt>
                <c:pt idx="141">
                  <c:v>8.0500000000000002E-2</c:v>
                </c:pt>
                <c:pt idx="142">
                  <c:v>7.85E-2</c:v>
                </c:pt>
                <c:pt idx="143">
                  <c:v>7.7499999999999999E-2</c:v>
                </c:pt>
                <c:pt idx="144">
                  <c:v>7.7499999999999999E-2</c:v>
                </c:pt>
                <c:pt idx="145">
                  <c:v>7.7499999999999999E-2</c:v>
                </c:pt>
                <c:pt idx="146">
                  <c:v>7.3999999999999996E-2</c:v>
                </c:pt>
                <c:pt idx="147">
                  <c:v>7.0499999999999993E-2</c:v>
                </c:pt>
                <c:pt idx="148">
                  <c:v>6.7500000000000004E-2</c:v>
                </c:pt>
                <c:pt idx="149">
                  <c:v>5.8500000000000003E-2</c:v>
                </c:pt>
                <c:pt idx="150">
                  <c:v>4.9000000000000002E-2</c:v>
                </c:pt>
                <c:pt idx="151">
                  <c:v>4.9000000000000002E-2</c:v>
                </c:pt>
                <c:pt idx="152">
                  <c:v>4.9000000000000002E-2</c:v>
                </c:pt>
                <c:pt idx="153">
                  <c:v>5.0999999999999997E-2</c:v>
                </c:pt>
                <c:pt idx="154">
                  <c:v>5.7999999999999996E-2</c:v>
                </c:pt>
                <c:pt idx="155">
                  <c:v>5.7000000000000002E-2</c:v>
                </c:pt>
                <c:pt idx="156">
                  <c:v>6.6000000000000003E-2</c:v>
                </c:pt>
                <c:pt idx="157">
                  <c:v>6.0500000000000005E-2</c:v>
                </c:pt>
                <c:pt idx="158">
                  <c:v>6.0500000000000005E-2</c:v>
                </c:pt>
                <c:pt idx="159">
                  <c:v>6.0500000000000005E-2</c:v>
                </c:pt>
                <c:pt idx="160">
                  <c:v>5.9000000000000004E-2</c:v>
                </c:pt>
                <c:pt idx="161">
                  <c:v>6.1000000000000006E-2</c:v>
                </c:pt>
                <c:pt idx="162">
                  <c:v>5.8000000000000003E-2</c:v>
                </c:pt>
                <c:pt idx="163">
                  <c:v>5.2999999999999999E-2</c:v>
                </c:pt>
                <c:pt idx="164">
                  <c:v>6.0000000000000005E-2</c:v>
                </c:pt>
                <c:pt idx="165">
                  <c:v>6.0000000000000005E-2</c:v>
                </c:pt>
                <c:pt idx="166">
                  <c:v>6.0000000000000005E-2</c:v>
                </c:pt>
                <c:pt idx="167">
                  <c:v>5.6000000000000001E-2</c:v>
                </c:pt>
                <c:pt idx="168">
                  <c:v>5.6000000000000001E-2</c:v>
                </c:pt>
                <c:pt idx="169">
                  <c:v>5.1499999999999997E-2</c:v>
                </c:pt>
                <c:pt idx="170">
                  <c:v>4.8000000000000001E-2</c:v>
                </c:pt>
                <c:pt idx="171">
                  <c:v>4.8999999999999995E-2</c:v>
                </c:pt>
                <c:pt idx="172">
                  <c:v>4.8999999999999995E-2</c:v>
                </c:pt>
                <c:pt idx="173">
                  <c:v>4.8999999999999995E-2</c:v>
                </c:pt>
                <c:pt idx="174">
                  <c:v>4.7500000000000001E-2</c:v>
                </c:pt>
                <c:pt idx="175">
                  <c:v>4.1000000000000002E-2</c:v>
                </c:pt>
                <c:pt idx="176">
                  <c:v>3.6499999999999998E-2</c:v>
                </c:pt>
                <c:pt idx="177">
                  <c:v>4.2500000000000003E-2</c:v>
                </c:pt>
                <c:pt idx="178">
                  <c:v>4.8000000000000001E-2</c:v>
                </c:pt>
                <c:pt idx="179">
                  <c:v>4.8000000000000001E-2</c:v>
                </c:pt>
                <c:pt idx="180">
                  <c:v>4.8000000000000001E-2</c:v>
                </c:pt>
                <c:pt idx="181">
                  <c:v>5.9499999999999997E-2</c:v>
                </c:pt>
                <c:pt idx="182">
                  <c:v>7.1999999999999995E-2</c:v>
                </c:pt>
                <c:pt idx="183">
                  <c:v>8.5499999999999993E-2</c:v>
                </c:pt>
                <c:pt idx="184">
                  <c:v>6.4500000000000002E-2</c:v>
                </c:pt>
                <c:pt idx="185">
                  <c:v>7.1000000000000008E-2</c:v>
                </c:pt>
                <c:pt idx="186">
                  <c:v>7.1000000000000008E-2</c:v>
                </c:pt>
                <c:pt idx="187">
                  <c:v>7.1000000000000008E-2</c:v>
                </c:pt>
                <c:pt idx="188">
                  <c:v>7.3000000000000009E-2</c:v>
                </c:pt>
                <c:pt idx="189">
                  <c:v>6.7500000000000004E-2</c:v>
                </c:pt>
                <c:pt idx="190">
                  <c:v>6.9000000000000006E-2</c:v>
                </c:pt>
                <c:pt idx="191">
                  <c:v>6.9000000000000006E-2</c:v>
                </c:pt>
                <c:pt idx="192">
                  <c:v>6.5500000000000003E-2</c:v>
                </c:pt>
                <c:pt idx="193">
                  <c:v>6.5500000000000003E-2</c:v>
                </c:pt>
                <c:pt idx="194">
                  <c:v>6.5500000000000003E-2</c:v>
                </c:pt>
                <c:pt idx="195">
                  <c:v>7.8E-2</c:v>
                </c:pt>
                <c:pt idx="196">
                  <c:v>7.4999999999999997E-2</c:v>
                </c:pt>
                <c:pt idx="197">
                  <c:v>7.4999999999999997E-2</c:v>
                </c:pt>
                <c:pt idx="198">
                  <c:v>6.8500000000000005E-2</c:v>
                </c:pt>
                <c:pt idx="199">
                  <c:v>5.6500000000000002E-2</c:v>
                </c:pt>
                <c:pt idx="200">
                  <c:v>5.6500000000000002E-2</c:v>
                </c:pt>
                <c:pt idx="201">
                  <c:v>5.6500000000000002E-2</c:v>
                </c:pt>
                <c:pt idx="202">
                  <c:v>6.4500000000000002E-2</c:v>
                </c:pt>
                <c:pt idx="203">
                  <c:v>6.3E-2</c:v>
                </c:pt>
                <c:pt idx="204">
                  <c:v>6.2E-2</c:v>
                </c:pt>
                <c:pt idx="205">
                  <c:v>5.7500000000000002E-2</c:v>
                </c:pt>
                <c:pt idx="206">
                  <c:v>5.45E-2</c:v>
                </c:pt>
                <c:pt idx="207">
                  <c:v>5.45E-2</c:v>
                </c:pt>
                <c:pt idx="208">
                  <c:v>5.45E-2</c:v>
                </c:pt>
                <c:pt idx="209">
                  <c:v>5.6500000000000002E-2</c:v>
                </c:pt>
                <c:pt idx="210">
                  <c:v>5.7500000000000002E-2</c:v>
                </c:pt>
                <c:pt idx="211">
                  <c:v>5.7500000000000002E-2</c:v>
                </c:pt>
                <c:pt idx="212">
                  <c:v>4.9999999999999996E-2</c:v>
                </c:pt>
                <c:pt idx="213">
                  <c:v>4.8499999999999995E-2</c:v>
                </c:pt>
                <c:pt idx="214">
                  <c:v>4.8499999999999995E-2</c:v>
                </c:pt>
                <c:pt idx="215">
                  <c:v>4.8499999999999995E-2</c:v>
                </c:pt>
                <c:pt idx="216">
                  <c:v>5.2000000000000005E-2</c:v>
                </c:pt>
                <c:pt idx="217">
                  <c:v>4.9500000000000002E-2</c:v>
                </c:pt>
                <c:pt idx="218">
                  <c:v>4.9500000000000002E-2</c:v>
                </c:pt>
                <c:pt idx="219">
                  <c:v>4.3499999999999997E-2</c:v>
                </c:pt>
                <c:pt idx="220">
                  <c:v>4.2499999999999996E-2</c:v>
                </c:pt>
                <c:pt idx="221">
                  <c:v>4.2499999999999996E-2</c:v>
                </c:pt>
                <c:pt idx="222">
                  <c:v>4.2499999999999996E-2</c:v>
                </c:pt>
                <c:pt idx="223">
                  <c:v>4.1000000000000002E-2</c:v>
                </c:pt>
                <c:pt idx="224">
                  <c:v>3.6999999999999998E-2</c:v>
                </c:pt>
                <c:pt idx="225">
                  <c:v>0.04</c:v>
                </c:pt>
                <c:pt idx="226">
                  <c:v>4.65E-2</c:v>
                </c:pt>
                <c:pt idx="227">
                  <c:v>4.4999999999999998E-2</c:v>
                </c:pt>
                <c:pt idx="228">
                  <c:v>4.4999999999999998E-2</c:v>
                </c:pt>
                <c:pt idx="229">
                  <c:v>4.4999999999999998E-2</c:v>
                </c:pt>
                <c:pt idx="230">
                  <c:v>4.5999999999999999E-2</c:v>
                </c:pt>
                <c:pt idx="231">
                  <c:v>4.3500000000000004E-2</c:v>
                </c:pt>
                <c:pt idx="232">
                  <c:v>4.4499999999999998E-2</c:v>
                </c:pt>
                <c:pt idx="233">
                  <c:v>7.4999999999999997E-2</c:v>
                </c:pt>
                <c:pt idx="234">
                  <c:v>7.5999999999999998E-2</c:v>
                </c:pt>
                <c:pt idx="235">
                  <c:v>7.5999999999999998E-2</c:v>
                </c:pt>
                <c:pt idx="236">
                  <c:v>7.5999999999999998E-2</c:v>
                </c:pt>
                <c:pt idx="237">
                  <c:v>8.3999999999999991E-2</c:v>
                </c:pt>
                <c:pt idx="238">
                  <c:v>8.7999999999999995E-2</c:v>
                </c:pt>
                <c:pt idx="239">
                  <c:v>9.2499999999999999E-2</c:v>
                </c:pt>
                <c:pt idx="240">
                  <c:v>8.4499999999999992E-2</c:v>
                </c:pt>
                <c:pt idx="241">
                  <c:v>8.3499999999999991E-2</c:v>
                </c:pt>
                <c:pt idx="242">
                  <c:v>8.3499999999999991E-2</c:v>
                </c:pt>
                <c:pt idx="243">
                  <c:v>8.3499999999999991E-2</c:v>
                </c:pt>
                <c:pt idx="244">
                  <c:v>9.8000000000000004E-2</c:v>
                </c:pt>
                <c:pt idx="245">
                  <c:v>9.6000000000000002E-2</c:v>
                </c:pt>
                <c:pt idx="246">
                  <c:v>0.10150000000000001</c:v>
                </c:pt>
                <c:pt idx="247">
                  <c:v>9.9500000000000005E-2</c:v>
                </c:pt>
                <c:pt idx="248">
                  <c:v>0.10250000000000001</c:v>
                </c:pt>
                <c:pt idx="249">
                  <c:v>0.10250000000000001</c:v>
                </c:pt>
                <c:pt idx="250">
                  <c:v>0.10250000000000001</c:v>
                </c:pt>
                <c:pt idx="251">
                  <c:v>0.104</c:v>
                </c:pt>
                <c:pt idx="252">
                  <c:v>0.11149999999999999</c:v>
                </c:pt>
                <c:pt idx="253">
                  <c:v>0.11599999999999999</c:v>
                </c:pt>
                <c:pt idx="254">
                  <c:v>0.11899999999999999</c:v>
                </c:pt>
                <c:pt idx="255">
                  <c:v>0.14149999999999999</c:v>
                </c:pt>
                <c:pt idx="256">
                  <c:v>0.14149999999999999</c:v>
                </c:pt>
                <c:pt idx="257">
                  <c:v>0.14149999999999999</c:v>
                </c:pt>
                <c:pt idx="258">
                  <c:v>0.154</c:v>
                </c:pt>
                <c:pt idx="259">
                  <c:v>0.188</c:v>
                </c:pt>
                <c:pt idx="260">
                  <c:v>0.19600000000000001</c:v>
                </c:pt>
                <c:pt idx="261">
                  <c:v>0.21399999999999997</c:v>
                </c:pt>
                <c:pt idx="262">
                  <c:v>0.245</c:v>
                </c:pt>
                <c:pt idx="263">
                  <c:v>0.245</c:v>
                </c:pt>
                <c:pt idx="264">
                  <c:v>0.245</c:v>
                </c:pt>
                <c:pt idx="265">
                  <c:v>0.26850000000000002</c:v>
                </c:pt>
                <c:pt idx="266">
                  <c:v>0.28949999999999998</c:v>
                </c:pt>
                <c:pt idx="267">
                  <c:v>0.30599999999999999</c:v>
                </c:pt>
                <c:pt idx="268">
                  <c:v>0.27300000000000002</c:v>
                </c:pt>
                <c:pt idx="269">
                  <c:v>0.28699999999999998</c:v>
                </c:pt>
                <c:pt idx="270">
                  <c:v>0.28699999999999998</c:v>
                </c:pt>
                <c:pt idx="271">
                  <c:v>0.28699999999999998</c:v>
                </c:pt>
                <c:pt idx="272">
                  <c:v>0.30049999999999999</c:v>
                </c:pt>
                <c:pt idx="273">
                  <c:v>0.3115</c:v>
                </c:pt>
                <c:pt idx="274">
                  <c:v>0.32050000000000001</c:v>
                </c:pt>
                <c:pt idx="275">
                  <c:v>0.30299999999999999</c:v>
                </c:pt>
                <c:pt idx="276">
                  <c:v>0.30549999999999999</c:v>
                </c:pt>
                <c:pt idx="277">
                  <c:v>0.30549999999999999</c:v>
                </c:pt>
                <c:pt idx="278">
                  <c:v>0.30549999999999999</c:v>
                </c:pt>
                <c:pt idx="279">
                  <c:v>0.32350000000000001</c:v>
                </c:pt>
                <c:pt idx="280">
                  <c:v>0.34750000000000003</c:v>
                </c:pt>
                <c:pt idx="281">
                  <c:v>0.35250000000000004</c:v>
                </c:pt>
                <c:pt idx="282">
                  <c:v>0.35749999999999998</c:v>
                </c:pt>
                <c:pt idx="283">
                  <c:v>0.36</c:v>
                </c:pt>
                <c:pt idx="284">
                  <c:v>0.36</c:v>
                </c:pt>
                <c:pt idx="285">
                  <c:v>0.36</c:v>
                </c:pt>
                <c:pt idx="286">
                  <c:v>0.35849999999999999</c:v>
                </c:pt>
                <c:pt idx="287">
                  <c:v>0.35849999999999999</c:v>
                </c:pt>
                <c:pt idx="288">
                  <c:v>0.35699999999999998</c:v>
                </c:pt>
                <c:pt idx="289">
                  <c:v>0.36599999999999999</c:v>
                </c:pt>
                <c:pt idx="290">
                  <c:v>0.43149999999999999</c:v>
                </c:pt>
                <c:pt idx="291">
                  <c:v>0.43149999999999999</c:v>
                </c:pt>
                <c:pt idx="292">
                  <c:v>0.43149999999999999</c:v>
                </c:pt>
                <c:pt idx="293">
                  <c:v>0.42099999999999999</c:v>
                </c:pt>
                <c:pt idx="294">
                  <c:v>0.40849999999999997</c:v>
                </c:pt>
                <c:pt idx="295">
                  <c:v>0.4</c:v>
                </c:pt>
                <c:pt idx="296">
                  <c:v>0.36199999999999999</c:v>
                </c:pt>
                <c:pt idx="297">
                  <c:v>0.32400000000000001</c:v>
                </c:pt>
                <c:pt idx="298">
                  <c:v>0.32400000000000001</c:v>
                </c:pt>
                <c:pt idx="299">
                  <c:v>0.32400000000000001</c:v>
                </c:pt>
                <c:pt idx="300">
                  <c:v>0.30149999999999999</c:v>
                </c:pt>
                <c:pt idx="301">
                  <c:v>0.29449999999999998</c:v>
                </c:pt>
                <c:pt idx="302">
                  <c:v>0.33699999999999997</c:v>
                </c:pt>
                <c:pt idx="303">
                  <c:v>0.36449999999999999</c:v>
                </c:pt>
                <c:pt idx="304">
                  <c:v>0.3785</c:v>
                </c:pt>
                <c:pt idx="305">
                  <c:v>0.3785</c:v>
                </c:pt>
                <c:pt idx="306">
                  <c:v>0.3785</c:v>
                </c:pt>
                <c:pt idx="307">
                  <c:v>0.39250000000000002</c:v>
                </c:pt>
                <c:pt idx="308">
                  <c:v>0.4355</c:v>
                </c:pt>
                <c:pt idx="309">
                  <c:v>0.45850000000000002</c:v>
                </c:pt>
                <c:pt idx="310">
                  <c:v>0.46400000000000002</c:v>
                </c:pt>
                <c:pt idx="311">
                  <c:v>0.45</c:v>
                </c:pt>
                <c:pt idx="312">
                  <c:v>0.45</c:v>
                </c:pt>
                <c:pt idx="313">
                  <c:v>0.45</c:v>
                </c:pt>
                <c:pt idx="314">
                  <c:v>0.4325</c:v>
                </c:pt>
                <c:pt idx="315">
                  <c:v>0.49199999999999999</c:v>
                </c:pt>
                <c:pt idx="316">
                  <c:v>0.504</c:v>
                </c:pt>
                <c:pt idx="317">
                  <c:v>0.498</c:v>
                </c:pt>
                <c:pt idx="318">
                  <c:v>0.57000000000000006</c:v>
                </c:pt>
                <c:pt idx="319">
                  <c:v>0.57000000000000006</c:v>
                </c:pt>
                <c:pt idx="320">
                  <c:v>0.57000000000000006</c:v>
                </c:pt>
                <c:pt idx="321">
                  <c:v>0.59250000000000003</c:v>
                </c:pt>
                <c:pt idx="322">
                  <c:v>0.58650000000000002</c:v>
                </c:pt>
                <c:pt idx="323">
                  <c:v>0.57400000000000007</c:v>
                </c:pt>
                <c:pt idx="324">
                  <c:v>0.51249999999999996</c:v>
                </c:pt>
                <c:pt idx="325">
                  <c:v>0.47250000000000003</c:v>
                </c:pt>
                <c:pt idx="326">
                  <c:v>0.47250000000000003</c:v>
                </c:pt>
                <c:pt idx="327">
                  <c:v>0.47250000000000003</c:v>
                </c:pt>
                <c:pt idx="328">
                  <c:v>0.45200000000000001</c:v>
                </c:pt>
                <c:pt idx="329">
                  <c:v>0.41849999999999998</c:v>
                </c:pt>
                <c:pt idx="330">
                  <c:v>0.41049999999999998</c:v>
                </c:pt>
                <c:pt idx="331">
                  <c:v>0.40500000000000003</c:v>
                </c:pt>
                <c:pt idx="332">
                  <c:v>0.40900000000000003</c:v>
                </c:pt>
                <c:pt idx="333">
                  <c:v>0.40900000000000003</c:v>
                </c:pt>
                <c:pt idx="334">
                  <c:v>0.40900000000000003</c:v>
                </c:pt>
                <c:pt idx="335">
                  <c:v>0.40400000000000003</c:v>
                </c:pt>
                <c:pt idx="336">
                  <c:v>0.40200000000000002</c:v>
                </c:pt>
                <c:pt idx="337">
                  <c:v>0.40300000000000002</c:v>
                </c:pt>
                <c:pt idx="338">
                  <c:v>0.41149999999999998</c:v>
                </c:pt>
                <c:pt idx="339">
                  <c:v>0.40700000000000003</c:v>
                </c:pt>
                <c:pt idx="340">
                  <c:v>0.40700000000000003</c:v>
                </c:pt>
                <c:pt idx="341">
                  <c:v>0.40700000000000003</c:v>
                </c:pt>
                <c:pt idx="342">
                  <c:v>0.41849999999999998</c:v>
                </c:pt>
                <c:pt idx="343">
                  <c:v>0.433</c:v>
                </c:pt>
                <c:pt idx="344">
                  <c:v>0.47400000000000003</c:v>
                </c:pt>
                <c:pt idx="345">
                  <c:v>0.48</c:v>
                </c:pt>
                <c:pt idx="346">
                  <c:v>0.48499999999999999</c:v>
                </c:pt>
                <c:pt idx="347">
                  <c:v>0.48499999999999999</c:v>
                </c:pt>
                <c:pt idx="348">
                  <c:v>0.48499999999999999</c:v>
                </c:pt>
                <c:pt idx="349">
                  <c:v>0.46549999999999997</c:v>
                </c:pt>
                <c:pt idx="350">
                  <c:v>0.46399999999999997</c:v>
                </c:pt>
                <c:pt idx="351">
                  <c:v>0.46250000000000002</c:v>
                </c:pt>
                <c:pt idx="352">
                  <c:v>0.46600000000000003</c:v>
                </c:pt>
                <c:pt idx="353">
                  <c:v>0.46550000000000002</c:v>
                </c:pt>
                <c:pt idx="354">
                  <c:v>0.46550000000000002</c:v>
                </c:pt>
                <c:pt idx="355">
                  <c:v>0.46550000000000002</c:v>
                </c:pt>
                <c:pt idx="356">
                  <c:v>0.44900000000000007</c:v>
                </c:pt>
                <c:pt idx="357">
                  <c:v>0.47749999999999998</c:v>
                </c:pt>
                <c:pt idx="358">
                  <c:v>0.47200000000000003</c:v>
                </c:pt>
                <c:pt idx="359">
                  <c:v>0.49299999999999999</c:v>
                </c:pt>
                <c:pt idx="360">
                  <c:v>0.49649999999999994</c:v>
                </c:pt>
                <c:pt idx="361">
                  <c:v>0.49649999999999994</c:v>
                </c:pt>
                <c:pt idx="362">
                  <c:v>0.49649999999999994</c:v>
                </c:pt>
                <c:pt idx="363">
                  <c:v>0.51649999999999996</c:v>
                </c:pt>
                <c:pt idx="364">
                  <c:v>0.53049999999999997</c:v>
                </c:pt>
                <c:pt idx="365">
                  <c:v>0.51449999999999996</c:v>
                </c:pt>
                <c:pt idx="366">
                  <c:v>0.51</c:v>
                </c:pt>
              </c:numCache>
            </c:numRef>
          </c:val>
          <c:smooth val="0"/>
          <c:extLst>
            <c:ext xmlns:c16="http://schemas.microsoft.com/office/drawing/2014/chart" uri="{C3380CC4-5D6E-409C-BE32-E72D297353CC}">
              <c16:uniqueId val="{00000003-37EB-41D0-9C9B-43900FF19D30}"/>
            </c:ext>
          </c:extLst>
        </c:ser>
        <c:ser>
          <c:idx val="4"/>
          <c:order val="4"/>
          <c:tx>
            <c:strRef>
              <c:f>Állandó_ábrák!$B$42</c:f>
              <c:strCache>
                <c:ptCount val="1"/>
                <c:pt idx="0">
                  <c:v>Oroszo.</c:v>
                </c:pt>
              </c:strCache>
            </c:strRef>
          </c:tx>
          <c:spPr>
            <a:ln w="25400">
              <a:solidFill>
                <a:srgbClr val="BE504B"/>
              </a:solidFill>
            </a:ln>
          </c:spPr>
          <c:marker>
            <c:symbol val="none"/>
          </c:marker>
          <c:cat>
            <c:numRef>
              <c:f>BB!$A$1:$A$367</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BB!$AI$1:$AI$367</c:f>
              <c:numCache>
                <c:formatCode>0.00</c:formatCode>
                <c:ptCount val="367"/>
                <c:pt idx="0">
                  <c:v>1.0914999999999999</c:v>
                </c:pt>
                <c:pt idx="1">
                  <c:v>1.0754999999999999</c:v>
                </c:pt>
                <c:pt idx="2">
                  <c:v>1.0695000000000001</c:v>
                </c:pt>
                <c:pt idx="3">
                  <c:v>1.0710000000000002</c:v>
                </c:pt>
                <c:pt idx="4">
                  <c:v>1.0710000000000002</c:v>
                </c:pt>
                <c:pt idx="5">
                  <c:v>1.0710000000000002</c:v>
                </c:pt>
                <c:pt idx="6">
                  <c:v>1.0735000000000001</c:v>
                </c:pt>
                <c:pt idx="7">
                  <c:v>1.0779999999999998</c:v>
                </c:pt>
                <c:pt idx="8">
                  <c:v>1.08</c:v>
                </c:pt>
                <c:pt idx="9">
                  <c:v>1.1219999999999999</c:v>
                </c:pt>
                <c:pt idx="10">
                  <c:v>1.1735</c:v>
                </c:pt>
                <c:pt idx="11">
                  <c:v>1.1735</c:v>
                </c:pt>
                <c:pt idx="12">
                  <c:v>1.1735</c:v>
                </c:pt>
                <c:pt idx="13">
                  <c:v>1.1695</c:v>
                </c:pt>
                <c:pt idx="14">
                  <c:v>1.161</c:v>
                </c:pt>
                <c:pt idx="15">
                  <c:v>1.1535</c:v>
                </c:pt>
                <c:pt idx="16">
                  <c:v>1.1629999999999998</c:v>
                </c:pt>
                <c:pt idx="17">
                  <c:v>1.1599999999999999</c:v>
                </c:pt>
                <c:pt idx="18">
                  <c:v>1.1599999999999999</c:v>
                </c:pt>
                <c:pt idx="19">
                  <c:v>1.1599999999999999</c:v>
                </c:pt>
                <c:pt idx="20">
                  <c:v>1.1555</c:v>
                </c:pt>
                <c:pt idx="21">
                  <c:v>1.1284999999999998</c:v>
                </c:pt>
                <c:pt idx="22">
                  <c:v>1.1355</c:v>
                </c:pt>
                <c:pt idx="23">
                  <c:v>1.135</c:v>
                </c:pt>
                <c:pt idx="24">
                  <c:v>1.1225000000000001</c:v>
                </c:pt>
                <c:pt idx="25">
                  <c:v>1.1225000000000001</c:v>
                </c:pt>
                <c:pt idx="26">
                  <c:v>1.1225000000000001</c:v>
                </c:pt>
                <c:pt idx="27">
                  <c:v>1.1244999999999998</c:v>
                </c:pt>
                <c:pt idx="28">
                  <c:v>1.1175000000000002</c:v>
                </c:pt>
                <c:pt idx="29">
                  <c:v>1.0985</c:v>
                </c:pt>
                <c:pt idx="30">
                  <c:v>1.073</c:v>
                </c:pt>
                <c:pt idx="31">
                  <c:v>1.08</c:v>
                </c:pt>
                <c:pt idx="32">
                  <c:v>1.08</c:v>
                </c:pt>
                <c:pt idx="33">
                  <c:v>1.08</c:v>
                </c:pt>
                <c:pt idx="34">
                  <c:v>1.0819999999999999</c:v>
                </c:pt>
                <c:pt idx="35">
                  <c:v>1.0945</c:v>
                </c:pt>
                <c:pt idx="36">
                  <c:v>1.1084999999999998</c:v>
                </c:pt>
                <c:pt idx="37">
                  <c:v>1.0975000000000001</c:v>
                </c:pt>
                <c:pt idx="38">
                  <c:v>1.1025</c:v>
                </c:pt>
                <c:pt idx="39">
                  <c:v>1.1025</c:v>
                </c:pt>
                <c:pt idx="40">
                  <c:v>1.1025</c:v>
                </c:pt>
                <c:pt idx="41">
                  <c:v>1.119</c:v>
                </c:pt>
                <c:pt idx="42">
                  <c:v>1.1160000000000001</c:v>
                </c:pt>
                <c:pt idx="43">
                  <c:v>1.125</c:v>
                </c:pt>
                <c:pt idx="44">
                  <c:v>1.1524999999999999</c:v>
                </c:pt>
                <c:pt idx="45">
                  <c:v>1.1764999999999999</c:v>
                </c:pt>
                <c:pt idx="46">
                  <c:v>1.1764999999999999</c:v>
                </c:pt>
                <c:pt idx="47">
                  <c:v>1.1764999999999999</c:v>
                </c:pt>
                <c:pt idx="48">
                  <c:v>1.1355</c:v>
                </c:pt>
                <c:pt idx="49">
                  <c:v>1.1339999999999999</c:v>
                </c:pt>
                <c:pt idx="50">
                  <c:v>1.131</c:v>
                </c:pt>
                <c:pt idx="51">
                  <c:v>1.135</c:v>
                </c:pt>
                <c:pt idx="52">
                  <c:v>1.1859999999999999</c:v>
                </c:pt>
                <c:pt idx="53">
                  <c:v>1.1859999999999999</c:v>
                </c:pt>
                <c:pt idx="54">
                  <c:v>1.1859999999999999</c:v>
                </c:pt>
                <c:pt idx="55">
                  <c:v>1.226</c:v>
                </c:pt>
                <c:pt idx="56">
                  <c:v>1.1819999999999999</c:v>
                </c:pt>
                <c:pt idx="57">
                  <c:v>1.1745000000000001</c:v>
                </c:pt>
                <c:pt idx="58">
                  <c:v>1.1625000000000001</c:v>
                </c:pt>
                <c:pt idx="59">
                  <c:v>1.1884999999999999</c:v>
                </c:pt>
                <c:pt idx="60">
                  <c:v>1.1884999999999999</c:v>
                </c:pt>
                <c:pt idx="61">
                  <c:v>1.1884999999999999</c:v>
                </c:pt>
                <c:pt idx="62">
                  <c:v>1.1815</c:v>
                </c:pt>
                <c:pt idx="63">
                  <c:v>1.1575000000000002</c:v>
                </c:pt>
                <c:pt idx="64">
                  <c:v>1.2130000000000001</c:v>
                </c:pt>
                <c:pt idx="65">
                  <c:v>1.2370000000000001</c:v>
                </c:pt>
                <c:pt idx="66">
                  <c:v>1.2250000000000001</c:v>
                </c:pt>
                <c:pt idx="67">
                  <c:v>1.2250000000000001</c:v>
                </c:pt>
                <c:pt idx="68">
                  <c:v>1.2250000000000001</c:v>
                </c:pt>
                <c:pt idx="69">
                  <c:v>1.2244999999999999</c:v>
                </c:pt>
                <c:pt idx="70">
                  <c:v>1.2475000000000001</c:v>
                </c:pt>
                <c:pt idx="71">
                  <c:v>1.2304999999999999</c:v>
                </c:pt>
                <c:pt idx="72">
                  <c:v>1.2135</c:v>
                </c:pt>
                <c:pt idx="73">
                  <c:v>1.2184999999999999</c:v>
                </c:pt>
                <c:pt idx="74">
                  <c:v>1.2184999999999999</c:v>
                </c:pt>
                <c:pt idx="75">
                  <c:v>1.2184999999999999</c:v>
                </c:pt>
                <c:pt idx="76">
                  <c:v>1.2210000000000001</c:v>
                </c:pt>
                <c:pt idx="77">
                  <c:v>1.2585000000000002</c:v>
                </c:pt>
                <c:pt idx="78">
                  <c:v>1.2450000000000001</c:v>
                </c:pt>
                <c:pt idx="79">
                  <c:v>1.2490000000000001</c:v>
                </c:pt>
                <c:pt idx="80">
                  <c:v>1.2490000000000001</c:v>
                </c:pt>
                <c:pt idx="81">
                  <c:v>1.2490000000000001</c:v>
                </c:pt>
                <c:pt idx="82">
                  <c:v>1.2490000000000001</c:v>
                </c:pt>
                <c:pt idx="83">
                  <c:v>1.2490000000000001</c:v>
                </c:pt>
                <c:pt idx="84">
                  <c:v>1.2450000000000001</c:v>
                </c:pt>
                <c:pt idx="85">
                  <c:v>1.256</c:v>
                </c:pt>
                <c:pt idx="86">
                  <c:v>1.246</c:v>
                </c:pt>
                <c:pt idx="87">
                  <c:v>1.2455000000000001</c:v>
                </c:pt>
                <c:pt idx="88">
                  <c:v>1.2455000000000001</c:v>
                </c:pt>
                <c:pt idx="89">
                  <c:v>1.2455000000000001</c:v>
                </c:pt>
                <c:pt idx="90">
                  <c:v>1.2404999999999999</c:v>
                </c:pt>
                <c:pt idx="91">
                  <c:v>1.2344999999999999</c:v>
                </c:pt>
                <c:pt idx="92">
                  <c:v>1.1745000000000001</c:v>
                </c:pt>
                <c:pt idx="93">
                  <c:v>1.2184999999999999</c:v>
                </c:pt>
                <c:pt idx="94">
                  <c:v>1.1204999999999998</c:v>
                </c:pt>
                <c:pt idx="95">
                  <c:v>1.1204999999999998</c:v>
                </c:pt>
                <c:pt idx="96">
                  <c:v>1.1204999999999998</c:v>
                </c:pt>
                <c:pt idx="97">
                  <c:v>1.1325000000000001</c:v>
                </c:pt>
                <c:pt idx="98">
                  <c:v>1.1960000000000002</c:v>
                </c:pt>
                <c:pt idx="99">
                  <c:v>1.1840000000000002</c:v>
                </c:pt>
                <c:pt idx="100">
                  <c:v>1.1355</c:v>
                </c:pt>
                <c:pt idx="101">
                  <c:v>1.1315</c:v>
                </c:pt>
                <c:pt idx="102">
                  <c:v>1.1315</c:v>
                </c:pt>
                <c:pt idx="103">
                  <c:v>1.1315</c:v>
                </c:pt>
                <c:pt idx="104">
                  <c:v>1.1305000000000001</c:v>
                </c:pt>
                <c:pt idx="105">
                  <c:v>1.137</c:v>
                </c:pt>
                <c:pt idx="106">
                  <c:v>1.1619999999999999</c:v>
                </c:pt>
                <c:pt idx="107">
                  <c:v>1.1619999999999999</c:v>
                </c:pt>
                <c:pt idx="108">
                  <c:v>1.1585000000000001</c:v>
                </c:pt>
                <c:pt idx="109">
                  <c:v>1.1585000000000001</c:v>
                </c:pt>
                <c:pt idx="110">
                  <c:v>1.1585000000000001</c:v>
                </c:pt>
                <c:pt idx="111">
                  <c:v>1.1455000000000002</c:v>
                </c:pt>
                <c:pt idx="112">
                  <c:v>1.1535</c:v>
                </c:pt>
                <c:pt idx="113">
                  <c:v>1.1480000000000001</c:v>
                </c:pt>
                <c:pt idx="114">
                  <c:v>1.1425000000000001</c:v>
                </c:pt>
                <c:pt idx="115">
                  <c:v>1.139</c:v>
                </c:pt>
                <c:pt idx="116">
                  <c:v>1.139</c:v>
                </c:pt>
                <c:pt idx="117">
                  <c:v>1.139</c:v>
                </c:pt>
                <c:pt idx="118">
                  <c:v>1.1320000000000001</c:v>
                </c:pt>
                <c:pt idx="119">
                  <c:v>1.1555</c:v>
                </c:pt>
                <c:pt idx="120">
                  <c:v>1.1659999999999999</c:v>
                </c:pt>
                <c:pt idx="121">
                  <c:v>1.1804999999999999</c:v>
                </c:pt>
                <c:pt idx="122">
                  <c:v>1.1659999999999999</c:v>
                </c:pt>
                <c:pt idx="123">
                  <c:v>1.1659999999999999</c:v>
                </c:pt>
                <c:pt idx="124">
                  <c:v>1.1659999999999999</c:v>
                </c:pt>
                <c:pt idx="125">
                  <c:v>1.1840000000000002</c:v>
                </c:pt>
                <c:pt idx="126">
                  <c:v>1.2335</c:v>
                </c:pt>
                <c:pt idx="127">
                  <c:v>1.2669999999999999</c:v>
                </c:pt>
                <c:pt idx="128">
                  <c:v>1.2810000000000001</c:v>
                </c:pt>
                <c:pt idx="129">
                  <c:v>1.274</c:v>
                </c:pt>
                <c:pt idx="130">
                  <c:v>1.274</c:v>
                </c:pt>
                <c:pt idx="131">
                  <c:v>1.274</c:v>
                </c:pt>
                <c:pt idx="132">
                  <c:v>1.278</c:v>
                </c:pt>
                <c:pt idx="133">
                  <c:v>1.286</c:v>
                </c:pt>
                <c:pt idx="134">
                  <c:v>1.2854999999999999</c:v>
                </c:pt>
                <c:pt idx="135">
                  <c:v>1.2865</c:v>
                </c:pt>
                <c:pt idx="136">
                  <c:v>1.2865000000000002</c:v>
                </c:pt>
                <c:pt idx="137">
                  <c:v>1.2865000000000002</c:v>
                </c:pt>
                <c:pt idx="138">
                  <c:v>1.2865000000000002</c:v>
                </c:pt>
                <c:pt idx="139">
                  <c:v>1.2989999999999999</c:v>
                </c:pt>
                <c:pt idx="140">
                  <c:v>1.2865</c:v>
                </c:pt>
                <c:pt idx="141">
                  <c:v>1.2890000000000001</c:v>
                </c:pt>
                <c:pt idx="142">
                  <c:v>1.2934999999999999</c:v>
                </c:pt>
                <c:pt idx="143">
                  <c:v>1.2929999999999999</c:v>
                </c:pt>
                <c:pt idx="144">
                  <c:v>1.2929999999999999</c:v>
                </c:pt>
                <c:pt idx="145">
                  <c:v>1.2929999999999999</c:v>
                </c:pt>
                <c:pt idx="146">
                  <c:v>1.2875000000000001</c:v>
                </c:pt>
                <c:pt idx="147">
                  <c:v>1.286</c:v>
                </c:pt>
                <c:pt idx="148">
                  <c:v>1.2615000000000001</c:v>
                </c:pt>
                <c:pt idx="149">
                  <c:v>1.2524999999999999</c:v>
                </c:pt>
                <c:pt idx="150">
                  <c:v>1.2395</c:v>
                </c:pt>
                <c:pt idx="151">
                  <c:v>1.2395</c:v>
                </c:pt>
                <c:pt idx="152">
                  <c:v>1.2395</c:v>
                </c:pt>
                <c:pt idx="153">
                  <c:v>1.2435</c:v>
                </c:pt>
                <c:pt idx="154">
                  <c:v>1.25</c:v>
                </c:pt>
                <c:pt idx="155">
                  <c:v>1.2490000000000001</c:v>
                </c:pt>
                <c:pt idx="156">
                  <c:v>1.26</c:v>
                </c:pt>
                <c:pt idx="157">
                  <c:v>1.2384999999999999</c:v>
                </c:pt>
                <c:pt idx="158">
                  <c:v>1.2384999999999999</c:v>
                </c:pt>
                <c:pt idx="159">
                  <c:v>1.2384999999999999</c:v>
                </c:pt>
                <c:pt idx="160">
                  <c:v>1.24</c:v>
                </c:pt>
                <c:pt idx="161">
                  <c:v>1.2364999999999999</c:v>
                </c:pt>
                <c:pt idx="162">
                  <c:v>1.1964999999999999</c:v>
                </c:pt>
                <c:pt idx="163">
                  <c:v>1.1975</c:v>
                </c:pt>
                <c:pt idx="164">
                  <c:v>1.1964999999999999</c:v>
                </c:pt>
                <c:pt idx="165">
                  <c:v>1.1964999999999999</c:v>
                </c:pt>
                <c:pt idx="166">
                  <c:v>1.1964999999999999</c:v>
                </c:pt>
                <c:pt idx="167">
                  <c:v>1.19</c:v>
                </c:pt>
                <c:pt idx="168">
                  <c:v>1.1875</c:v>
                </c:pt>
                <c:pt idx="169">
                  <c:v>1.1875</c:v>
                </c:pt>
                <c:pt idx="170">
                  <c:v>1.1924999999999999</c:v>
                </c:pt>
                <c:pt idx="171">
                  <c:v>1.1890000000000001</c:v>
                </c:pt>
                <c:pt idx="172">
                  <c:v>1.1890000000000001</c:v>
                </c:pt>
                <c:pt idx="173">
                  <c:v>1.1890000000000001</c:v>
                </c:pt>
                <c:pt idx="174">
                  <c:v>1.1884999999999999</c:v>
                </c:pt>
                <c:pt idx="175">
                  <c:v>1.1859999999999999</c:v>
                </c:pt>
                <c:pt idx="176">
                  <c:v>1.1720000000000002</c:v>
                </c:pt>
                <c:pt idx="177">
                  <c:v>1.1619999999999999</c:v>
                </c:pt>
                <c:pt idx="178">
                  <c:v>1.1675</c:v>
                </c:pt>
                <c:pt idx="179">
                  <c:v>1.1675</c:v>
                </c:pt>
                <c:pt idx="180">
                  <c:v>1.1675</c:v>
                </c:pt>
                <c:pt idx="181">
                  <c:v>1.1669999999999998</c:v>
                </c:pt>
                <c:pt idx="182">
                  <c:v>1.1675</c:v>
                </c:pt>
                <c:pt idx="183">
                  <c:v>1.1759999999999999</c:v>
                </c:pt>
                <c:pt idx="184">
                  <c:v>1.1735</c:v>
                </c:pt>
                <c:pt idx="185">
                  <c:v>1.1680000000000001</c:v>
                </c:pt>
                <c:pt idx="186">
                  <c:v>1.1680000000000001</c:v>
                </c:pt>
                <c:pt idx="187">
                  <c:v>1.1680000000000001</c:v>
                </c:pt>
                <c:pt idx="188">
                  <c:v>1.1684999999999999</c:v>
                </c:pt>
                <c:pt idx="189">
                  <c:v>1.1639999999999999</c:v>
                </c:pt>
                <c:pt idx="190">
                  <c:v>1.1665000000000001</c:v>
                </c:pt>
                <c:pt idx="191">
                  <c:v>1.1675</c:v>
                </c:pt>
                <c:pt idx="192">
                  <c:v>1.17</c:v>
                </c:pt>
                <c:pt idx="193">
                  <c:v>1.17</c:v>
                </c:pt>
                <c:pt idx="194">
                  <c:v>1.17</c:v>
                </c:pt>
                <c:pt idx="195">
                  <c:v>1.1695</c:v>
                </c:pt>
                <c:pt idx="196">
                  <c:v>1.1695</c:v>
                </c:pt>
                <c:pt idx="197">
                  <c:v>1.1695</c:v>
                </c:pt>
                <c:pt idx="198">
                  <c:v>1.1655</c:v>
                </c:pt>
                <c:pt idx="199">
                  <c:v>1.1675</c:v>
                </c:pt>
                <c:pt idx="200">
                  <c:v>1.1675</c:v>
                </c:pt>
                <c:pt idx="201">
                  <c:v>1.1675</c:v>
                </c:pt>
                <c:pt idx="202">
                  <c:v>1.1579999999999999</c:v>
                </c:pt>
                <c:pt idx="203">
                  <c:v>1.1560000000000001</c:v>
                </c:pt>
                <c:pt idx="204">
                  <c:v>1.1425000000000001</c:v>
                </c:pt>
                <c:pt idx="205">
                  <c:v>1.1355</c:v>
                </c:pt>
                <c:pt idx="206">
                  <c:v>1.1395</c:v>
                </c:pt>
                <c:pt idx="207">
                  <c:v>1.1395</c:v>
                </c:pt>
                <c:pt idx="208">
                  <c:v>1.1395</c:v>
                </c:pt>
                <c:pt idx="209">
                  <c:v>1.1415000000000002</c:v>
                </c:pt>
                <c:pt idx="210">
                  <c:v>1.1465000000000001</c:v>
                </c:pt>
                <c:pt idx="211">
                  <c:v>1.1599999999999999</c:v>
                </c:pt>
                <c:pt idx="212">
                  <c:v>1.1555</c:v>
                </c:pt>
                <c:pt idx="213">
                  <c:v>1.1585000000000001</c:v>
                </c:pt>
                <c:pt idx="214">
                  <c:v>1.1585000000000001</c:v>
                </c:pt>
                <c:pt idx="215">
                  <c:v>1.1585000000000001</c:v>
                </c:pt>
                <c:pt idx="216">
                  <c:v>1.153</c:v>
                </c:pt>
                <c:pt idx="217">
                  <c:v>1.151</c:v>
                </c:pt>
                <c:pt idx="218">
                  <c:v>1.1520000000000001</c:v>
                </c:pt>
                <c:pt idx="219">
                  <c:v>1.1495</c:v>
                </c:pt>
                <c:pt idx="220">
                  <c:v>1.1539999999999999</c:v>
                </c:pt>
                <c:pt idx="221">
                  <c:v>1.1539999999999999</c:v>
                </c:pt>
                <c:pt idx="222">
                  <c:v>1.1539999999999999</c:v>
                </c:pt>
                <c:pt idx="223">
                  <c:v>1.1555</c:v>
                </c:pt>
                <c:pt idx="224">
                  <c:v>1.151</c:v>
                </c:pt>
                <c:pt idx="225">
                  <c:v>1.1525000000000001</c:v>
                </c:pt>
                <c:pt idx="226">
                  <c:v>1.1625000000000001</c:v>
                </c:pt>
                <c:pt idx="227">
                  <c:v>1.1644999999999999</c:v>
                </c:pt>
                <c:pt idx="228">
                  <c:v>1.1644999999999999</c:v>
                </c:pt>
                <c:pt idx="229">
                  <c:v>1.1644999999999999</c:v>
                </c:pt>
                <c:pt idx="230">
                  <c:v>1.165</c:v>
                </c:pt>
                <c:pt idx="231">
                  <c:v>1.1524999999999999</c:v>
                </c:pt>
                <c:pt idx="232">
                  <c:v>1.1495000000000002</c:v>
                </c:pt>
                <c:pt idx="233">
                  <c:v>1.111</c:v>
                </c:pt>
                <c:pt idx="234">
                  <c:v>1.101</c:v>
                </c:pt>
                <c:pt idx="235">
                  <c:v>1.101</c:v>
                </c:pt>
                <c:pt idx="236">
                  <c:v>1.101</c:v>
                </c:pt>
                <c:pt idx="237">
                  <c:v>1.101</c:v>
                </c:pt>
                <c:pt idx="238">
                  <c:v>1.097</c:v>
                </c:pt>
                <c:pt idx="239">
                  <c:v>1.0960000000000001</c:v>
                </c:pt>
                <c:pt idx="240">
                  <c:v>1.079</c:v>
                </c:pt>
                <c:pt idx="241">
                  <c:v>1.0725</c:v>
                </c:pt>
                <c:pt idx="242">
                  <c:v>1.0725</c:v>
                </c:pt>
                <c:pt idx="243">
                  <c:v>1.0725</c:v>
                </c:pt>
                <c:pt idx="244">
                  <c:v>1.0345</c:v>
                </c:pt>
                <c:pt idx="245">
                  <c:v>1.0255000000000001</c:v>
                </c:pt>
                <c:pt idx="246">
                  <c:v>1.0205</c:v>
                </c:pt>
                <c:pt idx="247">
                  <c:v>1.016</c:v>
                </c:pt>
                <c:pt idx="248">
                  <c:v>1.0129999999999999</c:v>
                </c:pt>
                <c:pt idx="249">
                  <c:v>1.0129999999999999</c:v>
                </c:pt>
                <c:pt idx="250">
                  <c:v>1.0129999999999999</c:v>
                </c:pt>
                <c:pt idx="251">
                  <c:v>1.0335000000000001</c:v>
                </c:pt>
                <c:pt idx="252">
                  <c:v>1.022</c:v>
                </c:pt>
                <c:pt idx="253">
                  <c:v>1.02</c:v>
                </c:pt>
                <c:pt idx="254">
                  <c:v>1.0459999999999998</c:v>
                </c:pt>
                <c:pt idx="255">
                  <c:v>1.0714999999999999</c:v>
                </c:pt>
                <c:pt idx="256">
                  <c:v>1.0714999999999999</c:v>
                </c:pt>
                <c:pt idx="257">
                  <c:v>1.0714999999999999</c:v>
                </c:pt>
                <c:pt idx="258">
                  <c:v>1.1044999999999998</c:v>
                </c:pt>
                <c:pt idx="259">
                  <c:v>1.1545000000000001</c:v>
                </c:pt>
                <c:pt idx="260">
                  <c:v>1.1419999999999999</c:v>
                </c:pt>
                <c:pt idx="261">
                  <c:v>1.151</c:v>
                </c:pt>
                <c:pt idx="262">
                  <c:v>1.1644999999999999</c:v>
                </c:pt>
                <c:pt idx="263">
                  <c:v>1.1644999999999999</c:v>
                </c:pt>
                <c:pt idx="264">
                  <c:v>1.1644999999999999</c:v>
                </c:pt>
                <c:pt idx="265">
                  <c:v>1.1755</c:v>
                </c:pt>
                <c:pt idx="266">
                  <c:v>1.1949999999999998</c:v>
                </c:pt>
                <c:pt idx="267">
                  <c:v>1.2055</c:v>
                </c:pt>
                <c:pt idx="268">
                  <c:v>1.1835</c:v>
                </c:pt>
                <c:pt idx="269">
                  <c:v>1.1924999999999999</c:v>
                </c:pt>
                <c:pt idx="270">
                  <c:v>1.1924999999999999</c:v>
                </c:pt>
                <c:pt idx="271">
                  <c:v>1.1924999999999999</c:v>
                </c:pt>
                <c:pt idx="272">
                  <c:v>1.2070000000000001</c:v>
                </c:pt>
                <c:pt idx="273">
                  <c:v>1.1970000000000001</c:v>
                </c:pt>
                <c:pt idx="274">
                  <c:v>1.1735</c:v>
                </c:pt>
                <c:pt idx="275">
                  <c:v>1.151</c:v>
                </c:pt>
                <c:pt idx="276">
                  <c:v>1.145</c:v>
                </c:pt>
                <c:pt idx="277">
                  <c:v>1.145</c:v>
                </c:pt>
                <c:pt idx="278">
                  <c:v>1.145</c:v>
                </c:pt>
                <c:pt idx="279">
                  <c:v>1.1595</c:v>
                </c:pt>
                <c:pt idx="280">
                  <c:v>1.1435</c:v>
                </c:pt>
                <c:pt idx="281">
                  <c:v>1.1400000000000001</c:v>
                </c:pt>
                <c:pt idx="282">
                  <c:v>1.1465000000000001</c:v>
                </c:pt>
                <c:pt idx="283">
                  <c:v>1.149</c:v>
                </c:pt>
                <c:pt idx="284">
                  <c:v>1.149</c:v>
                </c:pt>
                <c:pt idx="285">
                  <c:v>1.149</c:v>
                </c:pt>
                <c:pt idx="286">
                  <c:v>1.1495000000000002</c:v>
                </c:pt>
                <c:pt idx="287">
                  <c:v>1.149</c:v>
                </c:pt>
                <c:pt idx="288">
                  <c:v>1.1345000000000001</c:v>
                </c:pt>
                <c:pt idx="289">
                  <c:v>1.1320000000000001</c:v>
                </c:pt>
                <c:pt idx="290">
                  <c:v>1.1335000000000002</c:v>
                </c:pt>
                <c:pt idx="291">
                  <c:v>1.1335000000000002</c:v>
                </c:pt>
                <c:pt idx="292">
                  <c:v>1.1335000000000002</c:v>
                </c:pt>
                <c:pt idx="293">
                  <c:v>1.1339999999999999</c:v>
                </c:pt>
                <c:pt idx="294">
                  <c:v>1.1315</c:v>
                </c:pt>
                <c:pt idx="295">
                  <c:v>1.1315</c:v>
                </c:pt>
                <c:pt idx="296">
                  <c:v>1.1280000000000001</c:v>
                </c:pt>
                <c:pt idx="297">
                  <c:v>1.1105</c:v>
                </c:pt>
                <c:pt idx="298">
                  <c:v>1.1105</c:v>
                </c:pt>
                <c:pt idx="299">
                  <c:v>1.1105</c:v>
                </c:pt>
                <c:pt idx="300">
                  <c:v>1.101</c:v>
                </c:pt>
                <c:pt idx="301">
                  <c:v>1.0880000000000001</c:v>
                </c:pt>
                <c:pt idx="302">
                  <c:v>1.099</c:v>
                </c:pt>
                <c:pt idx="303">
                  <c:v>1.1114999999999999</c:v>
                </c:pt>
                <c:pt idx="304">
                  <c:v>1.1455</c:v>
                </c:pt>
                <c:pt idx="305">
                  <c:v>1.1455</c:v>
                </c:pt>
                <c:pt idx="306">
                  <c:v>1.1455</c:v>
                </c:pt>
                <c:pt idx="307">
                  <c:v>1.157</c:v>
                </c:pt>
                <c:pt idx="308">
                  <c:v>1.1735</c:v>
                </c:pt>
                <c:pt idx="309">
                  <c:v>1.1749999999999998</c:v>
                </c:pt>
                <c:pt idx="310">
                  <c:v>1.1739999999999999</c:v>
                </c:pt>
                <c:pt idx="311">
                  <c:v>1.181</c:v>
                </c:pt>
                <c:pt idx="312">
                  <c:v>1.181</c:v>
                </c:pt>
                <c:pt idx="313">
                  <c:v>1.181</c:v>
                </c:pt>
                <c:pt idx="314">
                  <c:v>1.256</c:v>
                </c:pt>
                <c:pt idx="315">
                  <c:v>1.3959999999999999</c:v>
                </c:pt>
                <c:pt idx="316">
                  <c:v>1.3774999999999999</c:v>
                </c:pt>
                <c:pt idx="317">
                  <c:v>1.359</c:v>
                </c:pt>
                <c:pt idx="318">
                  <c:v>1.3704999999999998</c:v>
                </c:pt>
                <c:pt idx="319">
                  <c:v>1.3704999999999998</c:v>
                </c:pt>
                <c:pt idx="320">
                  <c:v>1.3704999999999998</c:v>
                </c:pt>
                <c:pt idx="321">
                  <c:v>1.3354999999999999</c:v>
                </c:pt>
                <c:pt idx="322">
                  <c:v>1.2464999999999999</c:v>
                </c:pt>
                <c:pt idx="323">
                  <c:v>1.2275</c:v>
                </c:pt>
                <c:pt idx="324">
                  <c:v>1.1884999999999999</c:v>
                </c:pt>
                <c:pt idx="325">
                  <c:v>1.181</c:v>
                </c:pt>
                <c:pt idx="326">
                  <c:v>1.181</c:v>
                </c:pt>
                <c:pt idx="327">
                  <c:v>1.181</c:v>
                </c:pt>
                <c:pt idx="328">
                  <c:v>1.1795</c:v>
                </c:pt>
                <c:pt idx="329">
                  <c:v>1.1995</c:v>
                </c:pt>
                <c:pt idx="330">
                  <c:v>1.2</c:v>
                </c:pt>
                <c:pt idx="331">
                  <c:v>1.2065000000000001</c:v>
                </c:pt>
                <c:pt idx="332">
                  <c:v>1.2075</c:v>
                </c:pt>
                <c:pt idx="333">
                  <c:v>1.2075</c:v>
                </c:pt>
                <c:pt idx="334">
                  <c:v>1.2075</c:v>
                </c:pt>
                <c:pt idx="335">
                  <c:v>1.1915</c:v>
                </c:pt>
                <c:pt idx="336">
                  <c:v>1.1745000000000001</c:v>
                </c:pt>
                <c:pt idx="337">
                  <c:v>1.1850000000000001</c:v>
                </c:pt>
                <c:pt idx="338">
                  <c:v>1.1865000000000001</c:v>
                </c:pt>
                <c:pt idx="339">
                  <c:v>1.1869999999999998</c:v>
                </c:pt>
                <c:pt idx="340">
                  <c:v>1.1869999999999998</c:v>
                </c:pt>
                <c:pt idx="341">
                  <c:v>1.1869999999999998</c:v>
                </c:pt>
                <c:pt idx="342">
                  <c:v>1.206</c:v>
                </c:pt>
                <c:pt idx="343">
                  <c:v>1.2130000000000001</c:v>
                </c:pt>
                <c:pt idx="344">
                  <c:v>1.2155</c:v>
                </c:pt>
                <c:pt idx="345">
                  <c:v>1.2164999999999999</c:v>
                </c:pt>
                <c:pt idx="346">
                  <c:v>1.2144999999999999</c:v>
                </c:pt>
                <c:pt idx="347">
                  <c:v>1.2144999999999999</c:v>
                </c:pt>
                <c:pt idx="348">
                  <c:v>1.2144999999999999</c:v>
                </c:pt>
                <c:pt idx="349">
                  <c:v>1.2000000000000002</c:v>
                </c:pt>
                <c:pt idx="350">
                  <c:v>1.2029999999999998</c:v>
                </c:pt>
                <c:pt idx="351">
                  <c:v>1.2109999999999999</c:v>
                </c:pt>
                <c:pt idx="352">
                  <c:v>1.2035</c:v>
                </c:pt>
                <c:pt idx="353">
                  <c:v>1.1995</c:v>
                </c:pt>
                <c:pt idx="354">
                  <c:v>1.1995</c:v>
                </c:pt>
                <c:pt idx="355">
                  <c:v>1.1995</c:v>
                </c:pt>
                <c:pt idx="356">
                  <c:v>1.19</c:v>
                </c:pt>
                <c:pt idx="357">
                  <c:v>1.224</c:v>
                </c:pt>
                <c:pt idx="358">
                  <c:v>1.2250000000000001</c:v>
                </c:pt>
                <c:pt idx="359">
                  <c:v>1.2745000000000002</c:v>
                </c:pt>
                <c:pt idx="360">
                  <c:v>1.2774999999999999</c:v>
                </c:pt>
                <c:pt idx="361">
                  <c:v>1.2774999999999999</c:v>
                </c:pt>
                <c:pt idx="362">
                  <c:v>1.2774999999999999</c:v>
                </c:pt>
                <c:pt idx="363">
                  <c:v>1.321</c:v>
                </c:pt>
                <c:pt idx="364">
                  <c:v>1.3155000000000001</c:v>
                </c:pt>
                <c:pt idx="365">
                  <c:v>1.3134999999999999</c:v>
                </c:pt>
                <c:pt idx="366">
                  <c:v>1.554</c:v>
                </c:pt>
              </c:numCache>
            </c:numRef>
          </c:val>
          <c:smooth val="0"/>
          <c:extLst>
            <c:ext xmlns:c16="http://schemas.microsoft.com/office/drawing/2014/chart" uri="{C3380CC4-5D6E-409C-BE32-E72D297353CC}">
              <c16:uniqueId val="{00000004-37EB-41D0-9C9B-43900FF19D30}"/>
            </c:ext>
          </c:extLst>
        </c:ser>
        <c:dLbls>
          <c:showLegendKey val="0"/>
          <c:showVal val="0"/>
          <c:showCatName val="0"/>
          <c:showSerName val="0"/>
          <c:showPercent val="0"/>
          <c:showBubbleSize val="0"/>
        </c:dLbls>
        <c:smooth val="0"/>
        <c:axId val="115219072"/>
        <c:axId val="115220864"/>
      </c:lineChart>
      <c:dateAx>
        <c:axId val="115219072"/>
        <c:scaling>
          <c:orientation val="minMax"/>
        </c:scaling>
        <c:delete val="0"/>
        <c:axPos val="b"/>
        <c:numFmt formatCode="yy\.mmm" sourceLinked="0"/>
        <c:majorTickMark val="none"/>
        <c:minorTickMark val="none"/>
        <c:tickLblPos val="low"/>
        <c:spPr>
          <a:ln w="3175">
            <a:noFill/>
            <a:prstDash val="solid"/>
          </a:ln>
        </c:spPr>
        <c:txPr>
          <a:bodyPr rot="0" vert="horz"/>
          <a:lstStyle/>
          <a:p>
            <a:pPr>
              <a:defRPr sz="700" b="0" i="0" u="none" strike="noStrike" baseline="0">
                <a:solidFill>
                  <a:srgbClr val="000000"/>
                </a:solidFill>
                <a:latin typeface="Calibri"/>
                <a:ea typeface="Calibri"/>
                <a:cs typeface="Calibri"/>
              </a:defRPr>
            </a:pPr>
            <a:endParaRPr lang="hu-HU"/>
          </a:p>
        </c:txPr>
        <c:crossAx val="115220864"/>
        <c:crosses val="autoZero"/>
        <c:auto val="1"/>
        <c:lblOffset val="100"/>
        <c:baseTimeUnit val="days"/>
        <c:majorUnit val="2"/>
        <c:majorTimeUnit val="months"/>
        <c:minorUnit val="1"/>
        <c:minorTimeUnit val="months"/>
      </c:dateAx>
      <c:valAx>
        <c:axId val="115220864"/>
        <c:scaling>
          <c:orientation val="minMax"/>
          <c:max val="2"/>
          <c:min val="-1"/>
        </c:scaling>
        <c:delete val="0"/>
        <c:axPos val="l"/>
        <c:majorGridlines>
          <c:spPr>
            <a:ln w="3175">
              <a:solidFill>
                <a:srgbClr val="C0C0C0"/>
              </a:solidFill>
              <a:prstDash val="solid"/>
            </a:ln>
          </c:spPr>
        </c:majorGridlines>
        <c:title>
          <c:tx>
            <c:strRef>
              <c:f>Állandó_ábrák!$C$38</c:f>
              <c:strCache>
                <c:ptCount val="1"/>
                <c:pt idx="0">
                  <c:v>százalék</c:v>
                </c:pt>
              </c:strCache>
            </c:strRef>
          </c:tx>
          <c:overlay val="0"/>
          <c:txPr>
            <a:bodyPr rot="-5400000" vert="horz"/>
            <a:lstStyle/>
            <a:p>
              <a:pPr>
                <a:defRPr b="1"/>
              </a:pPr>
              <a:endParaRPr lang="hu-HU"/>
            </a:p>
          </c:txPr>
        </c:title>
        <c:numFmt formatCode="0.0" sourceLinked="0"/>
        <c:majorTickMark val="none"/>
        <c:minorTickMark val="none"/>
        <c:tickLblPos val="low"/>
        <c:spPr>
          <a:ln w="3175">
            <a:noFill/>
            <a:prstDash val="solid"/>
          </a:ln>
        </c:spPr>
        <c:txPr>
          <a:bodyPr rot="0" vert="horz"/>
          <a:lstStyle/>
          <a:p>
            <a:pPr>
              <a:defRPr sz="700" b="0" i="0" u="none" strike="noStrike" baseline="0">
                <a:solidFill>
                  <a:srgbClr val="000000"/>
                </a:solidFill>
                <a:latin typeface="Calibri"/>
                <a:ea typeface="Calibri"/>
                <a:cs typeface="Calibri"/>
              </a:defRPr>
            </a:pPr>
            <a:endParaRPr lang="hu-HU"/>
          </a:p>
        </c:txPr>
        <c:crossAx val="115219072"/>
        <c:crosses val="autoZero"/>
        <c:crossBetween val="between"/>
        <c:majorUnit val="0.5"/>
      </c:valAx>
      <c:spPr>
        <a:solidFill>
          <a:srgbClr val="FFFFFF"/>
        </a:solidFill>
        <a:ln w="25400">
          <a:noFill/>
        </a:ln>
      </c:spPr>
    </c:plotArea>
    <c:legend>
      <c:legendPos val="r"/>
      <c:layout>
        <c:manualLayout>
          <c:xMode val="edge"/>
          <c:yMode val="edge"/>
          <c:x val="0"/>
          <c:y val="4.1439647630253113E-3"/>
          <c:w val="1"/>
          <c:h val="0.11680212387244698"/>
        </c:manualLayout>
      </c:layout>
      <c:overlay val="0"/>
      <c:spPr>
        <a:noFill/>
        <a:ln w="25400">
          <a:noFill/>
        </a:ln>
      </c:spPr>
      <c:txPr>
        <a:bodyPr/>
        <a:lstStyle/>
        <a:p>
          <a:pPr>
            <a:defRPr sz="700" b="0" i="0" u="none" strike="noStrike" baseline="0">
              <a:solidFill>
                <a:srgbClr val="000000"/>
              </a:solidFill>
              <a:latin typeface="Calibri"/>
              <a:ea typeface="Calibri"/>
              <a:cs typeface="Calibri"/>
            </a:defRPr>
          </a:pPr>
          <a:endParaRPr lang="hu-HU"/>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Calibri"/>
          <a:ea typeface="Calibri"/>
          <a:cs typeface="Calibri"/>
        </a:defRPr>
      </a:pPr>
      <a:endParaRPr lang="hu-H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67156862745098"/>
          <c:y val="7.5205662393162398E-2"/>
          <c:w val="0.72049313725490194"/>
          <c:h val="0.81392895299145296"/>
        </c:manualLayout>
      </c:layout>
      <c:areaChart>
        <c:grouping val="standard"/>
        <c:varyColors val="0"/>
        <c:ser>
          <c:idx val="3"/>
          <c:order val="1"/>
          <c:tx>
            <c:v>állomány (j.t.)</c:v>
          </c:tx>
          <c:spPr>
            <a:solidFill>
              <a:schemeClr val="accent1">
                <a:alpha val="80000"/>
              </a:schemeClr>
            </a:solidFill>
            <a:ln w="25400">
              <a:noFill/>
            </a:ln>
          </c:spPr>
          <c:cat>
            <c:numRef>
              <c:f>BB!$A$501:$A$561</c:f>
              <c:numCache>
                <c:formatCode>m/d/yyyy</c:formatCode>
                <c:ptCount val="61"/>
                <c:pt idx="0">
                  <c:v>44489</c:v>
                </c:pt>
                <c:pt idx="1">
                  <c:v>44490</c:v>
                </c:pt>
                <c:pt idx="2">
                  <c:v>44491</c:v>
                </c:pt>
                <c:pt idx="3">
                  <c:v>44494</c:v>
                </c:pt>
                <c:pt idx="4">
                  <c:v>44495</c:v>
                </c:pt>
                <c:pt idx="5">
                  <c:v>44496</c:v>
                </c:pt>
                <c:pt idx="6">
                  <c:v>44497</c:v>
                </c:pt>
                <c:pt idx="7">
                  <c:v>44498</c:v>
                </c:pt>
                <c:pt idx="8">
                  <c:v>44501</c:v>
                </c:pt>
                <c:pt idx="9">
                  <c:v>44502</c:v>
                </c:pt>
                <c:pt idx="10">
                  <c:v>44503</c:v>
                </c:pt>
                <c:pt idx="11">
                  <c:v>44504</c:v>
                </c:pt>
                <c:pt idx="12">
                  <c:v>44505</c:v>
                </c:pt>
                <c:pt idx="13">
                  <c:v>44508</c:v>
                </c:pt>
                <c:pt idx="14">
                  <c:v>44509</c:v>
                </c:pt>
                <c:pt idx="15">
                  <c:v>44510</c:v>
                </c:pt>
                <c:pt idx="16">
                  <c:v>44511</c:v>
                </c:pt>
                <c:pt idx="17">
                  <c:v>44512</c:v>
                </c:pt>
                <c:pt idx="18">
                  <c:v>44515</c:v>
                </c:pt>
                <c:pt idx="19">
                  <c:v>44516</c:v>
                </c:pt>
                <c:pt idx="20">
                  <c:v>44517</c:v>
                </c:pt>
                <c:pt idx="21">
                  <c:v>44518</c:v>
                </c:pt>
                <c:pt idx="22">
                  <c:v>44519</c:v>
                </c:pt>
                <c:pt idx="23">
                  <c:v>44522</c:v>
                </c:pt>
                <c:pt idx="24">
                  <c:v>44523</c:v>
                </c:pt>
                <c:pt idx="25">
                  <c:v>44524</c:v>
                </c:pt>
                <c:pt idx="26">
                  <c:v>44525</c:v>
                </c:pt>
                <c:pt idx="27">
                  <c:v>44526</c:v>
                </c:pt>
                <c:pt idx="28">
                  <c:v>44529</c:v>
                </c:pt>
                <c:pt idx="29">
                  <c:v>44530</c:v>
                </c:pt>
                <c:pt idx="30">
                  <c:v>44531</c:v>
                </c:pt>
                <c:pt idx="31">
                  <c:v>44532</c:v>
                </c:pt>
                <c:pt idx="32">
                  <c:v>44533</c:v>
                </c:pt>
                <c:pt idx="33">
                  <c:v>44536</c:v>
                </c:pt>
                <c:pt idx="34">
                  <c:v>44537</c:v>
                </c:pt>
                <c:pt idx="35">
                  <c:v>44538</c:v>
                </c:pt>
                <c:pt idx="36">
                  <c:v>44539</c:v>
                </c:pt>
                <c:pt idx="37">
                  <c:v>44540</c:v>
                </c:pt>
                <c:pt idx="38">
                  <c:v>44543</c:v>
                </c:pt>
                <c:pt idx="39">
                  <c:v>44544</c:v>
                </c:pt>
                <c:pt idx="40">
                  <c:v>44545</c:v>
                </c:pt>
                <c:pt idx="41">
                  <c:v>44546</c:v>
                </c:pt>
                <c:pt idx="42">
                  <c:v>44547</c:v>
                </c:pt>
                <c:pt idx="43">
                  <c:v>44550</c:v>
                </c:pt>
                <c:pt idx="44">
                  <c:v>44551</c:v>
                </c:pt>
                <c:pt idx="45">
                  <c:v>44552</c:v>
                </c:pt>
                <c:pt idx="46">
                  <c:v>44553</c:v>
                </c:pt>
                <c:pt idx="47">
                  <c:v>44554</c:v>
                </c:pt>
                <c:pt idx="48">
                  <c:v>44557</c:v>
                </c:pt>
                <c:pt idx="49">
                  <c:v>44558</c:v>
                </c:pt>
                <c:pt idx="50">
                  <c:v>44559</c:v>
                </c:pt>
                <c:pt idx="51">
                  <c:v>44560</c:v>
                </c:pt>
                <c:pt idx="52">
                  <c:v>44561</c:v>
                </c:pt>
                <c:pt idx="53">
                  <c:v>44564</c:v>
                </c:pt>
                <c:pt idx="54">
                  <c:v>44565</c:v>
                </c:pt>
                <c:pt idx="55">
                  <c:v>44566</c:v>
                </c:pt>
                <c:pt idx="56">
                  <c:v>44567</c:v>
                </c:pt>
                <c:pt idx="57">
                  <c:v>44568</c:v>
                </c:pt>
                <c:pt idx="58">
                  <c:v>44571</c:v>
                </c:pt>
                <c:pt idx="59">
                  <c:v>44572</c:v>
                </c:pt>
                <c:pt idx="60">
                  <c:v>44573</c:v>
                </c:pt>
              </c:numCache>
            </c:numRef>
          </c:cat>
          <c:val>
            <c:numRef>
              <c:f>BB!$L$501:$L$561</c:f>
              <c:numCache>
                <c:formatCode>General</c:formatCode>
                <c:ptCount val="61"/>
                <c:pt idx="0">
                  <c:v>4703.51</c:v>
                </c:pt>
                <c:pt idx="1">
                  <c:v>4669.95</c:v>
                </c:pt>
                <c:pt idx="2">
                  <c:v>4657.71</c:v>
                </c:pt>
                <c:pt idx="3">
                  <c:v>4688.16</c:v>
                </c:pt>
                <c:pt idx="4">
                  <c:v>4709.1099999999997</c:v>
                </c:pt>
                <c:pt idx="5">
                  <c:v>4626.1400000000003</c:v>
                </c:pt>
                <c:pt idx="6">
                  <c:v>4584.4399999999996</c:v>
                </c:pt>
                <c:pt idx="7">
                  <c:v>4585.91</c:v>
                </c:pt>
                <c:pt idx="8">
                  <c:v>4585.91</c:v>
                </c:pt>
                <c:pt idx="9">
                  <c:v>4609.46</c:v>
                </c:pt>
                <c:pt idx="10">
                  <c:v>4637.58</c:v>
                </c:pt>
                <c:pt idx="11">
                  <c:v>4647.34</c:v>
                </c:pt>
                <c:pt idx="12">
                  <c:v>4647.34</c:v>
                </c:pt>
                <c:pt idx="13">
                  <c:v>4647.34</c:v>
                </c:pt>
                <c:pt idx="14">
                  <c:v>4687.63</c:v>
                </c:pt>
                <c:pt idx="15">
                  <c:v>4689.9799999999996</c:v>
                </c:pt>
                <c:pt idx="16">
                  <c:v>4672.21</c:v>
                </c:pt>
                <c:pt idx="17">
                  <c:v>4658.24</c:v>
                </c:pt>
                <c:pt idx="18">
                  <c:v>4641.16</c:v>
                </c:pt>
                <c:pt idx="19">
                  <c:v>4577.75</c:v>
                </c:pt>
                <c:pt idx="20">
                  <c:v>4577.75</c:v>
                </c:pt>
                <c:pt idx="21">
                  <c:v>4577.75</c:v>
                </c:pt>
                <c:pt idx="22">
                  <c:v>4577.75</c:v>
                </c:pt>
                <c:pt idx="23">
                  <c:v>4491.72</c:v>
                </c:pt>
                <c:pt idx="24">
                  <c:v>4510.12</c:v>
                </c:pt>
                <c:pt idx="25">
                  <c:v>4524.1499999999996</c:v>
                </c:pt>
                <c:pt idx="26">
                  <c:v>4485.7700000000004</c:v>
                </c:pt>
                <c:pt idx="27">
                  <c:v>4485.7700000000004</c:v>
                </c:pt>
                <c:pt idx="28">
                  <c:v>4485.7700000000004</c:v>
                </c:pt>
                <c:pt idx="29">
                  <c:v>4485.7700000000004</c:v>
                </c:pt>
                <c:pt idx="30">
                  <c:v>4485.7700000000004</c:v>
                </c:pt>
                <c:pt idx="31">
                  <c:v>4485.7700000000004</c:v>
                </c:pt>
                <c:pt idx="32">
                  <c:v>4485.7700000000004</c:v>
                </c:pt>
                <c:pt idx="33">
                  <c:v>4485.7700000000004</c:v>
                </c:pt>
                <c:pt idx="34">
                  <c:v>4485.7700000000004</c:v>
                </c:pt>
                <c:pt idx="35">
                  <c:v>4485.7700000000004</c:v>
                </c:pt>
                <c:pt idx="36">
                  <c:v>4485.7700000000004</c:v>
                </c:pt>
                <c:pt idx="37">
                  <c:v>4485.7700000000004</c:v>
                </c:pt>
                <c:pt idx="38">
                  <c:v>4572.1000000000004</c:v>
                </c:pt>
                <c:pt idx="39">
                  <c:v>4532.68</c:v>
                </c:pt>
                <c:pt idx="40">
                  <c:v>4510.43</c:v>
                </c:pt>
                <c:pt idx="41">
                  <c:v>4486.6000000000004</c:v>
                </c:pt>
                <c:pt idx="42">
                  <c:v>4431.13</c:v>
                </c:pt>
                <c:pt idx="43">
                  <c:v>4450.7</c:v>
                </c:pt>
                <c:pt idx="44">
                  <c:v>4474.88</c:v>
                </c:pt>
                <c:pt idx="45">
                  <c:v>4435.8599999999997</c:v>
                </c:pt>
                <c:pt idx="46">
                  <c:v>4312.3900000000003</c:v>
                </c:pt>
                <c:pt idx="47">
                  <c:v>4312.3900000000003</c:v>
                </c:pt>
                <c:pt idx="48">
                  <c:v>4276.4799999999996</c:v>
                </c:pt>
                <c:pt idx="49">
                  <c:v>4247.58</c:v>
                </c:pt>
                <c:pt idx="50">
                  <c:v>4208.17</c:v>
                </c:pt>
                <c:pt idx="51">
                  <c:v>4196.45</c:v>
                </c:pt>
                <c:pt idx="52">
                  <c:v>4196.45</c:v>
                </c:pt>
                <c:pt idx="53">
                  <c:v>4234.72</c:v>
                </c:pt>
                <c:pt idx="54">
                  <c:v>4226</c:v>
                </c:pt>
                <c:pt idx="55">
                  <c:v>4288.07</c:v>
                </c:pt>
                <c:pt idx="56">
                  <c:v>4349.3500000000004</c:v>
                </c:pt>
                <c:pt idx="57">
                  <c:v>4620.93</c:v>
                </c:pt>
                <c:pt idx="58">
                  <c:v>4738.22</c:v>
                </c:pt>
                <c:pt idx="59">
                  <c:v>4748.04</c:v>
                </c:pt>
                <c:pt idx="60">
                  <c:v>4775.2299999999996</c:v>
                </c:pt>
              </c:numCache>
            </c:numRef>
          </c:val>
          <c:extLst>
            <c:ext xmlns:c16="http://schemas.microsoft.com/office/drawing/2014/chart" uri="{C3380CC4-5D6E-409C-BE32-E72D297353CC}">
              <c16:uniqueId val="{00000000-030B-404B-AF71-70C896C9C2CA}"/>
            </c:ext>
          </c:extLst>
        </c:ser>
        <c:dLbls>
          <c:showLegendKey val="0"/>
          <c:showVal val="0"/>
          <c:showCatName val="0"/>
          <c:showSerName val="0"/>
          <c:showPercent val="0"/>
          <c:showBubbleSize val="0"/>
        </c:dLbls>
        <c:axId val="112427008"/>
        <c:axId val="112424832"/>
      </c:areaChart>
      <c:lineChart>
        <c:grouping val="standard"/>
        <c:varyColors val="0"/>
        <c:ser>
          <c:idx val="0"/>
          <c:order val="0"/>
          <c:tx>
            <c:v>átlagos lejárat</c:v>
          </c:tx>
          <c:spPr>
            <a:ln w="25400">
              <a:solidFill>
                <a:srgbClr val="00B0F0"/>
              </a:solidFill>
              <a:prstDash val="solid"/>
            </a:ln>
          </c:spPr>
          <c:marker>
            <c:symbol val="none"/>
          </c:marker>
          <c:cat>
            <c:numRef>
              <c:f>BB!$A$501:$A$561</c:f>
              <c:numCache>
                <c:formatCode>m/d/yyyy</c:formatCode>
                <c:ptCount val="61"/>
                <c:pt idx="0">
                  <c:v>44489</c:v>
                </c:pt>
                <c:pt idx="1">
                  <c:v>44490</c:v>
                </c:pt>
                <c:pt idx="2">
                  <c:v>44491</c:v>
                </c:pt>
                <c:pt idx="3">
                  <c:v>44494</c:v>
                </c:pt>
                <c:pt idx="4">
                  <c:v>44495</c:v>
                </c:pt>
                <c:pt idx="5">
                  <c:v>44496</c:v>
                </c:pt>
                <c:pt idx="6">
                  <c:v>44497</c:v>
                </c:pt>
                <c:pt idx="7">
                  <c:v>44498</c:v>
                </c:pt>
                <c:pt idx="8">
                  <c:v>44501</c:v>
                </c:pt>
                <c:pt idx="9">
                  <c:v>44502</c:v>
                </c:pt>
                <c:pt idx="10">
                  <c:v>44503</c:v>
                </c:pt>
                <c:pt idx="11">
                  <c:v>44504</c:v>
                </c:pt>
                <c:pt idx="12">
                  <c:v>44505</c:v>
                </c:pt>
                <c:pt idx="13">
                  <c:v>44508</c:v>
                </c:pt>
                <c:pt idx="14">
                  <c:v>44509</c:v>
                </c:pt>
                <c:pt idx="15">
                  <c:v>44510</c:v>
                </c:pt>
                <c:pt idx="16">
                  <c:v>44511</c:v>
                </c:pt>
                <c:pt idx="17">
                  <c:v>44512</c:v>
                </c:pt>
                <c:pt idx="18">
                  <c:v>44515</c:v>
                </c:pt>
                <c:pt idx="19">
                  <c:v>44516</c:v>
                </c:pt>
                <c:pt idx="20">
                  <c:v>44517</c:v>
                </c:pt>
                <c:pt idx="21">
                  <c:v>44518</c:v>
                </c:pt>
                <c:pt idx="22">
                  <c:v>44519</c:v>
                </c:pt>
                <c:pt idx="23">
                  <c:v>44522</c:v>
                </c:pt>
                <c:pt idx="24">
                  <c:v>44523</c:v>
                </c:pt>
                <c:pt idx="25">
                  <c:v>44524</c:v>
                </c:pt>
                <c:pt idx="26">
                  <c:v>44525</c:v>
                </c:pt>
                <c:pt idx="27">
                  <c:v>44526</c:v>
                </c:pt>
                <c:pt idx="28">
                  <c:v>44529</c:v>
                </c:pt>
                <c:pt idx="29">
                  <c:v>44530</c:v>
                </c:pt>
                <c:pt idx="30">
                  <c:v>44531</c:v>
                </c:pt>
                <c:pt idx="31">
                  <c:v>44532</c:v>
                </c:pt>
                <c:pt idx="32">
                  <c:v>44533</c:v>
                </c:pt>
                <c:pt idx="33">
                  <c:v>44536</c:v>
                </c:pt>
                <c:pt idx="34">
                  <c:v>44537</c:v>
                </c:pt>
                <c:pt idx="35">
                  <c:v>44538</c:v>
                </c:pt>
                <c:pt idx="36">
                  <c:v>44539</c:v>
                </c:pt>
                <c:pt idx="37">
                  <c:v>44540</c:v>
                </c:pt>
                <c:pt idx="38">
                  <c:v>44543</c:v>
                </c:pt>
                <c:pt idx="39">
                  <c:v>44544</c:v>
                </c:pt>
                <c:pt idx="40">
                  <c:v>44545</c:v>
                </c:pt>
                <c:pt idx="41">
                  <c:v>44546</c:v>
                </c:pt>
                <c:pt idx="42">
                  <c:v>44547</c:v>
                </c:pt>
                <c:pt idx="43">
                  <c:v>44550</c:v>
                </c:pt>
                <c:pt idx="44">
                  <c:v>44551</c:v>
                </c:pt>
                <c:pt idx="45">
                  <c:v>44552</c:v>
                </c:pt>
                <c:pt idx="46">
                  <c:v>44553</c:v>
                </c:pt>
                <c:pt idx="47">
                  <c:v>44554</c:v>
                </c:pt>
                <c:pt idx="48">
                  <c:v>44557</c:v>
                </c:pt>
                <c:pt idx="49">
                  <c:v>44558</c:v>
                </c:pt>
                <c:pt idx="50">
                  <c:v>44559</c:v>
                </c:pt>
                <c:pt idx="51">
                  <c:v>44560</c:v>
                </c:pt>
                <c:pt idx="52">
                  <c:v>44561</c:v>
                </c:pt>
                <c:pt idx="53">
                  <c:v>44564</c:v>
                </c:pt>
                <c:pt idx="54">
                  <c:v>44565</c:v>
                </c:pt>
                <c:pt idx="55">
                  <c:v>44566</c:v>
                </c:pt>
                <c:pt idx="56">
                  <c:v>44567</c:v>
                </c:pt>
                <c:pt idx="57">
                  <c:v>44568</c:v>
                </c:pt>
                <c:pt idx="58">
                  <c:v>44571</c:v>
                </c:pt>
                <c:pt idx="59">
                  <c:v>44572</c:v>
                </c:pt>
                <c:pt idx="60">
                  <c:v>44573</c:v>
                </c:pt>
              </c:numCache>
            </c:numRef>
          </c:cat>
          <c:val>
            <c:numRef>
              <c:f>BB!$M$501:$M$561</c:f>
              <c:numCache>
                <c:formatCode>General</c:formatCode>
                <c:ptCount val="61"/>
                <c:pt idx="0">
                  <c:v>5.97</c:v>
                </c:pt>
                <c:pt idx="1">
                  <c:v>6.02</c:v>
                </c:pt>
                <c:pt idx="2">
                  <c:v>6.03</c:v>
                </c:pt>
                <c:pt idx="3">
                  <c:v>5.91</c:v>
                </c:pt>
                <c:pt idx="4">
                  <c:v>5.91</c:v>
                </c:pt>
                <c:pt idx="5">
                  <c:v>6.12</c:v>
                </c:pt>
                <c:pt idx="6">
                  <c:v>6.09</c:v>
                </c:pt>
                <c:pt idx="7">
                  <c:v>6.07</c:v>
                </c:pt>
                <c:pt idx="8">
                  <c:v>6.07</c:v>
                </c:pt>
                <c:pt idx="9">
                  <c:v>6.05</c:v>
                </c:pt>
                <c:pt idx="10">
                  <c:v>6.04</c:v>
                </c:pt>
                <c:pt idx="11">
                  <c:v>6.04</c:v>
                </c:pt>
                <c:pt idx="12">
                  <c:v>6.04</c:v>
                </c:pt>
                <c:pt idx="13">
                  <c:v>6.04</c:v>
                </c:pt>
                <c:pt idx="14">
                  <c:v>5.99</c:v>
                </c:pt>
                <c:pt idx="15">
                  <c:v>6.03</c:v>
                </c:pt>
                <c:pt idx="16">
                  <c:v>6.04</c:v>
                </c:pt>
                <c:pt idx="17">
                  <c:v>6.04</c:v>
                </c:pt>
                <c:pt idx="18">
                  <c:v>6.04</c:v>
                </c:pt>
                <c:pt idx="19">
                  <c:v>6.06</c:v>
                </c:pt>
                <c:pt idx="20">
                  <c:v>6.06</c:v>
                </c:pt>
                <c:pt idx="21">
                  <c:v>6.06</c:v>
                </c:pt>
                <c:pt idx="22">
                  <c:v>6.06</c:v>
                </c:pt>
                <c:pt idx="23">
                  <c:v>6.12</c:v>
                </c:pt>
                <c:pt idx="24">
                  <c:v>6.14</c:v>
                </c:pt>
                <c:pt idx="25">
                  <c:v>6.19</c:v>
                </c:pt>
                <c:pt idx="26">
                  <c:v>6.18</c:v>
                </c:pt>
                <c:pt idx="27">
                  <c:v>6.18</c:v>
                </c:pt>
                <c:pt idx="28">
                  <c:v>6.18</c:v>
                </c:pt>
                <c:pt idx="29">
                  <c:v>6.18</c:v>
                </c:pt>
                <c:pt idx="30">
                  <c:v>6.18</c:v>
                </c:pt>
                <c:pt idx="31">
                  <c:v>6.18</c:v>
                </c:pt>
                <c:pt idx="32">
                  <c:v>6.18</c:v>
                </c:pt>
                <c:pt idx="33">
                  <c:v>6.18</c:v>
                </c:pt>
                <c:pt idx="34">
                  <c:v>6.18</c:v>
                </c:pt>
                <c:pt idx="35">
                  <c:v>6.18</c:v>
                </c:pt>
                <c:pt idx="36">
                  <c:v>6.18</c:v>
                </c:pt>
                <c:pt idx="37">
                  <c:v>6.18</c:v>
                </c:pt>
                <c:pt idx="38">
                  <c:v>6.25</c:v>
                </c:pt>
                <c:pt idx="39">
                  <c:v>6.24</c:v>
                </c:pt>
                <c:pt idx="40">
                  <c:v>6.25</c:v>
                </c:pt>
                <c:pt idx="41">
                  <c:v>6.26</c:v>
                </c:pt>
                <c:pt idx="42">
                  <c:v>6.23</c:v>
                </c:pt>
                <c:pt idx="43">
                  <c:v>6.21</c:v>
                </c:pt>
                <c:pt idx="44">
                  <c:v>6.2</c:v>
                </c:pt>
                <c:pt idx="45">
                  <c:v>6.22</c:v>
                </c:pt>
                <c:pt idx="46">
                  <c:v>6.26</c:v>
                </c:pt>
                <c:pt idx="47">
                  <c:v>6.26</c:v>
                </c:pt>
                <c:pt idx="48">
                  <c:v>6.28</c:v>
                </c:pt>
                <c:pt idx="49">
                  <c:v>6.28</c:v>
                </c:pt>
                <c:pt idx="50">
                  <c:v>6.3</c:v>
                </c:pt>
                <c:pt idx="51">
                  <c:v>6.26</c:v>
                </c:pt>
                <c:pt idx="52">
                  <c:v>6.26</c:v>
                </c:pt>
                <c:pt idx="53">
                  <c:v>6.24</c:v>
                </c:pt>
                <c:pt idx="54">
                  <c:v>6.24</c:v>
                </c:pt>
                <c:pt idx="55">
                  <c:v>6.24</c:v>
                </c:pt>
                <c:pt idx="56">
                  <c:v>6.24</c:v>
                </c:pt>
                <c:pt idx="57">
                  <c:v>6.12</c:v>
                </c:pt>
                <c:pt idx="58">
                  <c:v>6.09</c:v>
                </c:pt>
                <c:pt idx="59">
                  <c:v>6.08</c:v>
                </c:pt>
                <c:pt idx="60">
                  <c:v>6.09</c:v>
                </c:pt>
              </c:numCache>
            </c:numRef>
          </c:val>
          <c:smooth val="0"/>
          <c:extLst>
            <c:ext xmlns:c16="http://schemas.microsoft.com/office/drawing/2014/chart" uri="{C3380CC4-5D6E-409C-BE32-E72D297353CC}">
              <c16:uniqueId val="{00000001-030B-404B-AF71-70C896C9C2CA}"/>
            </c:ext>
          </c:extLst>
        </c:ser>
        <c:dLbls>
          <c:showLegendKey val="0"/>
          <c:showVal val="0"/>
          <c:showCatName val="0"/>
          <c:showSerName val="0"/>
          <c:showPercent val="0"/>
          <c:showBubbleSize val="0"/>
        </c:dLbls>
        <c:marker val="1"/>
        <c:smooth val="0"/>
        <c:axId val="112412928"/>
        <c:axId val="112422912"/>
      </c:lineChart>
      <c:dateAx>
        <c:axId val="112412928"/>
        <c:scaling>
          <c:orientation val="minMax"/>
        </c:scaling>
        <c:delete val="0"/>
        <c:axPos val="b"/>
        <c:numFmt formatCode="mmmdd" sourceLinked="0"/>
        <c:majorTickMark val="none"/>
        <c:minorTickMark val="none"/>
        <c:tickLblPos val="low"/>
        <c:spPr>
          <a:ln w="3175">
            <a:noFill/>
            <a:prstDash val="solid"/>
          </a:ln>
        </c:spPr>
        <c:txPr>
          <a:bodyPr rot="0" vert="horz"/>
          <a:lstStyle/>
          <a:p>
            <a:pPr>
              <a:defRPr sz="800" b="0" i="0" u="none" strike="noStrike" baseline="0">
                <a:solidFill>
                  <a:srgbClr val="000000"/>
                </a:solidFill>
                <a:latin typeface="Calibri"/>
                <a:ea typeface="Calibri"/>
                <a:cs typeface="Calibri"/>
              </a:defRPr>
            </a:pPr>
            <a:endParaRPr lang="hu-HU"/>
          </a:p>
        </c:txPr>
        <c:crossAx val="112422912"/>
        <c:crosses val="autoZero"/>
        <c:auto val="1"/>
        <c:lblOffset val="100"/>
        <c:baseTimeUnit val="days"/>
      </c:dateAx>
      <c:valAx>
        <c:axId val="112422912"/>
        <c:scaling>
          <c:orientation val="minMax"/>
          <c:max val="6.4"/>
          <c:min val="5.6"/>
        </c:scaling>
        <c:delete val="0"/>
        <c:axPos val="l"/>
        <c:majorGridlines>
          <c:spPr>
            <a:ln w="3175">
              <a:solidFill>
                <a:srgbClr val="C0C0C0"/>
              </a:solidFill>
              <a:prstDash val="solid"/>
            </a:ln>
          </c:spPr>
        </c:majorGridlines>
        <c:title>
          <c:tx>
            <c:rich>
              <a:bodyPr rot="-5400000" vert="horz"/>
              <a:lstStyle/>
              <a:p>
                <a:pPr>
                  <a:defRPr sz="800" b="1"/>
                </a:pPr>
                <a:r>
                  <a:rPr lang="en-US" sz="800" b="1"/>
                  <a:t>év</a:t>
                </a:r>
              </a:p>
            </c:rich>
          </c:tx>
          <c:overlay val="0"/>
        </c:title>
        <c:numFmt formatCode="0.0" sourceLinked="0"/>
        <c:majorTickMark val="none"/>
        <c:minorTickMark val="none"/>
        <c:tickLblPos val="low"/>
        <c:spPr>
          <a:ln>
            <a:noFill/>
          </a:ln>
        </c:spPr>
        <c:txPr>
          <a:bodyPr rot="0" vert="horz"/>
          <a:lstStyle/>
          <a:p>
            <a:pPr>
              <a:defRPr sz="800" baseline="0"/>
            </a:pPr>
            <a:endParaRPr lang="hu-HU"/>
          </a:p>
        </c:txPr>
        <c:crossAx val="112412928"/>
        <c:crosses val="autoZero"/>
        <c:crossBetween val="between"/>
        <c:majorUnit val="0.1"/>
      </c:valAx>
      <c:valAx>
        <c:axId val="112424832"/>
        <c:scaling>
          <c:orientation val="minMax"/>
          <c:max val="5000"/>
          <c:min val="4100"/>
        </c:scaling>
        <c:delete val="0"/>
        <c:axPos val="r"/>
        <c:title>
          <c:tx>
            <c:rich>
              <a:bodyPr rot="-5400000" vert="horz"/>
              <a:lstStyle/>
              <a:p>
                <a:pPr>
                  <a:defRPr sz="800" b="1"/>
                </a:pPr>
                <a:r>
                  <a:rPr lang="en-US" sz="800" b="1"/>
                  <a:t>milliárd Ft</a:t>
                </a:r>
              </a:p>
            </c:rich>
          </c:tx>
          <c:overlay val="0"/>
        </c:title>
        <c:numFmt formatCode="#,##0" sourceLinked="0"/>
        <c:majorTickMark val="out"/>
        <c:minorTickMark val="none"/>
        <c:tickLblPos val="nextTo"/>
        <c:spPr>
          <a:ln>
            <a:noFill/>
          </a:ln>
        </c:spPr>
        <c:txPr>
          <a:bodyPr/>
          <a:lstStyle/>
          <a:p>
            <a:pPr>
              <a:defRPr sz="800"/>
            </a:pPr>
            <a:endParaRPr lang="hu-HU"/>
          </a:p>
        </c:txPr>
        <c:crossAx val="112427008"/>
        <c:crosses val="max"/>
        <c:crossBetween val="between"/>
        <c:majorUnit val="100"/>
      </c:valAx>
      <c:dateAx>
        <c:axId val="112427008"/>
        <c:scaling>
          <c:orientation val="minMax"/>
        </c:scaling>
        <c:delete val="1"/>
        <c:axPos val="b"/>
        <c:numFmt formatCode="m/d/yyyy" sourceLinked="1"/>
        <c:majorTickMark val="out"/>
        <c:minorTickMark val="none"/>
        <c:tickLblPos val="nextTo"/>
        <c:crossAx val="112424832"/>
        <c:crosses val="autoZero"/>
        <c:auto val="1"/>
        <c:lblOffset val="100"/>
        <c:baseTimeUnit val="days"/>
      </c:dateAx>
      <c:spPr>
        <a:solidFill>
          <a:srgbClr val="FFFFFF"/>
        </a:solidFill>
        <a:ln w="25400">
          <a:noFill/>
        </a:ln>
      </c:spPr>
    </c:plotArea>
    <c:legend>
      <c:legendPos val="t"/>
      <c:layout>
        <c:manualLayout>
          <c:xMode val="edge"/>
          <c:yMode val="edge"/>
          <c:x val="0.12697156862745099"/>
          <c:y val="6.0897435897436149E-4"/>
          <c:w val="0.68800653594771244"/>
          <c:h val="6.2072649572649574E-2"/>
        </c:manualLayout>
      </c:layout>
      <c:overlay val="0"/>
      <c:spPr>
        <a:noFill/>
      </c:spPr>
      <c:txPr>
        <a:bodyPr/>
        <a:lstStyle/>
        <a:p>
          <a:pPr>
            <a:defRPr sz="800"/>
          </a:pPr>
          <a:endParaRPr lang="hu-HU"/>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Calibri"/>
          <a:ea typeface="Calibri"/>
          <a:cs typeface="Calibri"/>
        </a:defRPr>
      </a:pPr>
      <a:endParaRPr lang="hu-H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638920134983125E-2"/>
          <c:y val="0.17440078873389558"/>
          <c:w val="0.9024298629337999"/>
          <c:h val="0.71499527026126808"/>
        </c:manualLayout>
      </c:layout>
      <c:lineChart>
        <c:grouping val="standard"/>
        <c:varyColors val="0"/>
        <c:ser>
          <c:idx val="2"/>
          <c:order val="0"/>
          <c:tx>
            <c:strRef>
              <c:f>Baserate_FRA!$C$2</c:f>
              <c:strCache>
                <c:ptCount val="1"/>
                <c:pt idx="0">
                  <c:v>Alapkamat</c:v>
                </c:pt>
              </c:strCache>
            </c:strRef>
          </c:tx>
          <c:spPr>
            <a:ln w="19050">
              <a:solidFill>
                <a:schemeClr val="tx2"/>
              </a:solidFill>
              <a:prstDash val="solid"/>
            </a:ln>
          </c:spPr>
          <c:marker>
            <c:symbol val="none"/>
          </c:marker>
          <c:cat>
            <c:numRef>
              <c:f>Baserate_FRA!$B$3:$B$2880</c:f>
              <c:numCache>
                <c:formatCode>m/d/yyyy</c:formatCode>
                <c:ptCount val="2878"/>
                <c:pt idx="0">
                  <c:v>42248</c:v>
                </c:pt>
                <c:pt idx="1">
                  <c:v>42249</c:v>
                </c:pt>
                <c:pt idx="2">
                  <c:v>42250</c:v>
                </c:pt>
                <c:pt idx="3">
                  <c:v>42251</c:v>
                </c:pt>
                <c:pt idx="4">
                  <c:v>42254</c:v>
                </c:pt>
                <c:pt idx="5">
                  <c:v>42255</c:v>
                </c:pt>
                <c:pt idx="6">
                  <c:v>42256</c:v>
                </c:pt>
                <c:pt idx="7">
                  <c:v>42257</c:v>
                </c:pt>
                <c:pt idx="8">
                  <c:v>42258</c:v>
                </c:pt>
                <c:pt idx="9">
                  <c:v>42261</c:v>
                </c:pt>
                <c:pt idx="10">
                  <c:v>42262</c:v>
                </c:pt>
                <c:pt idx="11">
                  <c:v>42263</c:v>
                </c:pt>
                <c:pt idx="12">
                  <c:v>42264</c:v>
                </c:pt>
                <c:pt idx="13">
                  <c:v>42265</c:v>
                </c:pt>
                <c:pt idx="14">
                  <c:v>42268</c:v>
                </c:pt>
                <c:pt idx="15">
                  <c:v>42269</c:v>
                </c:pt>
                <c:pt idx="16">
                  <c:v>42270</c:v>
                </c:pt>
                <c:pt idx="17">
                  <c:v>42271</c:v>
                </c:pt>
                <c:pt idx="18">
                  <c:v>42272</c:v>
                </c:pt>
                <c:pt idx="19">
                  <c:v>42275</c:v>
                </c:pt>
                <c:pt idx="20">
                  <c:v>42276</c:v>
                </c:pt>
                <c:pt idx="21">
                  <c:v>42277</c:v>
                </c:pt>
                <c:pt idx="22">
                  <c:v>42278</c:v>
                </c:pt>
                <c:pt idx="23">
                  <c:v>42279</c:v>
                </c:pt>
                <c:pt idx="24">
                  <c:v>42282</c:v>
                </c:pt>
                <c:pt idx="25">
                  <c:v>42283</c:v>
                </c:pt>
                <c:pt idx="26">
                  <c:v>42284</c:v>
                </c:pt>
                <c:pt idx="27">
                  <c:v>42285</c:v>
                </c:pt>
                <c:pt idx="28">
                  <c:v>42286</c:v>
                </c:pt>
                <c:pt idx="29">
                  <c:v>42289</c:v>
                </c:pt>
                <c:pt idx="30">
                  <c:v>42290</c:v>
                </c:pt>
                <c:pt idx="31">
                  <c:v>42291</c:v>
                </c:pt>
                <c:pt idx="32">
                  <c:v>42292</c:v>
                </c:pt>
                <c:pt idx="33">
                  <c:v>42293</c:v>
                </c:pt>
                <c:pt idx="34">
                  <c:v>42296</c:v>
                </c:pt>
                <c:pt idx="35">
                  <c:v>42297</c:v>
                </c:pt>
                <c:pt idx="36">
                  <c:v>42298</c:v>
                </c:pt>
                <c:pt idx="37">
                  <c:v>42299</c:v>
                </c:pt>
                <c:pt idx="38">
                  <c:v>42303</c:v>
                </c:pt>
                <c:pt idx="39">
                  <c:v>42304</c:v>
                </c:pt>
                <c:pt idx="40">
                  <c:v>42305</c:v>
                </c:pt>
                <c:pt idx="41">
                  <c:v>42306</c:v>
                </c:pt>
                <c:pt idx="42">
                  <c:v>42307</c:v>
                </c:pt>
                <c:pt idx="43">
                  <c:v>42310</c:v>
                </c:pt>
                <c:pt idx="44">
                  <c:v>42311</c:v>
                </c:pt>
                <c:pt idx="45">
                  <c:v>42312</c:v>
                </c:pt>
                <c:pt idx="46">
                  <c:v>42313</c:v>
                </c:pt>
                <c:pt idx="47">
                  <c:v>42314</c:v>
                </c:pt>
                <c:pt idx="48">
                  <c:v>42317</c:v>
                </c:pt>
                <c:pt idx="49">
                  <c:v>42318</c:v>
                </c:pt>
                <c:pt idx="50">
                  <c:v>42319</c:v>
                </c:pt>
                <c:pt idx="51">
                  <c:v>42320</c:v>
                </c:pt>
                <c:pt idx="52">
                  <c:v>42321</c:v>
                </c:pt>
                <c:pt idx="53">
                  <c:v>42324</c:v>
                </c:pt>
                <c:pt idx="54">
                  <c:v>42325</c:v>
                </c:pt>
                <c:pt idx="55">
                  <c:v>42326</c:v>
                </c:pt>
                <c:pt idx="56">
                  <c:v>42327</c:v>
                </c:pt>
                <c:pt idx="57">
                  <c:v>42328</c:v>
                </c:pt>
                <c:pt idx="58">
                  <c:v>42331</c:v>
                </c:pt>
                <c:pt idx="59">
                  <c:v>42332</c:v>
                </c:pt>
                <c:pt idx="60">
                  <c:v>42333</c:v>
                </c:pt>
                <c:pt idx="61">
                  <c:v>42334</c:v>
                </c:pt>
                <c:pt idx="62">
                  <c:v>42335</c:v>
                </c:pt>
                <c:pt idx="63">
                  <c:v>42338</c:v>
                </c:pt>
                <c:pt idx="64">
                  <c:v>42339</c:v>
                </c:pt>
                <c:pt idx="65">
                  <c:v>42340</c:v>
                </c:pt>
                <c:pt idx="66">
                  <c:v>42341</c:v>
                </c:pt>
                <c:pt idx="67">
                  <c:v>42342</c:v>
                </c:pt>
                <c:pt idx="68">
                  <c:v>42345</c:v>
                </c:pt>
                <c:pt idx="69">
                  <c:v>42346</c:v>
                </c:pt>
                <c:pt idx="70">
                  <c:v>42347</c:v>
                </c:pt>
                <c:pt idx="71">
                  <c:v>42348</c:v>
                </c:pt>
                <c:pt idx="72">
                  <c:v>42349</c:v>
                </c:pt>
                <c:pt idx="73">
                  <c:v>42350</c:v>
                </c:pt>
                <c:pt idx="74">
                  <c:v>42352</c:v>
                </c:pt>
                <c:pt idx="75">
                  <c:v>42353</c:v>
                </c:pt>
                <c:pt idx="76">
                  <c:v>42354</c:v>
                </c:pt>
                <c:pt idx="77">
                  <c:v>42355</c:v>
                </c:pt>
                <c:pt idx="78">
                  <c:v>42356</c:v>
                </c:pt>
                <c:pt idx="79">
                  <c:v>42359</c:v>
                </c:pt>
                <c:pt idx="80">
                  <c:v>42360</c:v>
                </c:pt>
                <c:pt idx="81">
                  <c:v>42361</c:v>
                </c:pt>
                <c:pt idx="82">
                  <c:v>42366</c:v>
                </c:pt>
                <c:pt idx="83">
                  <c:v>42367</c:v>
                </c:pt>
                <c:pt idx="84">
                  <c:v>42368</c:v>
                </c:pt>
                <c:pt idx="85">
                  <c:v>42369</c:v>
                </c:pt>
                <c:pt idx="86">
                  <c:v>42373</c:v>
                </c:pt>
                <c:pt idx="87">
                  <c:v>42374</c:v>
                </c:pt>
                <c:pt idx="88">
                  <c:v>42375</c:v>
                </c:pt>
                <c:pt idx="89">
                  <c:v>42376</c:v>
                </c:pt>
                <c:pt idx="90">
                  <c:v>42377</c:v>
                </c:pt>
                <c:pt idx="91">
                  <c:v>42380</c:v>
                </c:pt>
                <c:pt idx="92">
                  <c:v>42381</c:v>
                </c:pt>
                <c:pt idx="93">
                  <c:v>42382</c:v>
                </c:pt>
                <c:pt idx="94">
                  <c:v>42383</c:v>
                </c:pt>
                <c:pt idx="95">
                  <c:v>42384</c:v>
                </c:pt>
                <c:pt idx="96">
                  <c:v>42387</c:v>
                </c:pt>
                <c:pt idx="97">
                  <c:v>42388</c:v>
                </c:pt>
                <c:pt idx="98">
                  <c:v>42389</c:v>
                </c:pt>
                <c:pt idx="99">
                  <c:v>42390</c:v>
                </c:pt>
                <c:pt idx="100">
                  <c:v>42391</c:v>
                </c:pt>
                <c:pt idx="101">
                  <c:v>42394</c:v>
                </c:pt>
                <c:pt idx="102">
                  <c:v>42395</c:v>
                </c:pt>
                <c:pt idx="103">
                  <c:v>42396</c:v>
                </c:pt>
                <c:pt idx="104">
                  <c:v>42397</c:v>
                </c:pt>
                <c:pt idx="105">
                  <c:v>42398</c:v>
                </c:pt>
                <c:pt idx="106">
                  <c:v>42401</c:v>
                </c:pt>
                <c:pt idx="107">
                  <c:v>42402</c:v>
                </c:pt>
                <c:pt idx="108">
                  <c:v>42403</c:v>
                </c:pt>
                <c:pt idx="109">
                  <c:v>42404</c:v>
                </c:pt>
                <c:pt idx="110">
                  <c:v>42405</c:v>
                </c:pt>
                <c:pt idx="111">
                  <c:v>42408</c:v>
                </c:pt>
                <c:pt idx="112">
                  <c:v>42409</c:v>
                </c:pt>
                <c:pt idx="113">
                  <c:v>42410</c:v>
                </c:pt>
                <c:pt idx="114">
                  <c:v>42411</c:v>
                </c:pt>
                <c:pt idx="115">
                  <c:v>42412</c:v>
                </c:pt>
                <c:pt idx="116">
                  <c:v>42415</c:v>
                </c:pt>
                <c:pt idx="117">
                  <c:v>42416</c:v>
                </c:pt>
                <c:pt idx="118">
                  <c:v>42417</c:v>
                </c:pt>
                <c:pt idx="119">
                  <c:v>42418</c:v>
                </c:pt>
                <c:pt idx="120">
                  <c:v>42419</c:v>
                </c:pt>
                <c:pt idx="121">
                  <c:v>42422</c:v>
                </c:pt>
                <c:pt idx="122">
                  <c:v>42423</c:v>
                </c:pt>
                <c:pt idx="123">
                  <c:v>42424</c:v>
                </c:pt>
                <c:pt idx="124">
                  <c:v>42425</c:v>
                </c:pt>
                <c:pt idx="125">
                  <c:v>42426</c:v>
                </c:pt>
                <c:pt idx="126">
                  <c:v>42429</c:v>
                </c:pt>
                <c:pt idx="127">
                  <c:v>42430</c:v>
                </c:pt>
                <c:pt idx="128">
                  <c:v>42431</c:v>
                </c:pt>
                <c:pt idx="129">
                  <c:v>42432</c:v>
                </c:pt>
                <c:pt idx="130">
                  <c:v>42433</c:v>
                </c:pt>
                <c:pt idx="131">
                  <c:v>42434</c:v>
                </c:pt>
                <c:pt idx="132">
                  <c:v>42436</c:v>
                </c:pt>
                <c:pt idx="133">
                  <c:v>42437</c:v>
                </c:pt>
                <c:pt idx="134">
                  <c:v>42438</c:v>
                </c:pt>
                <c:pt idx="135">
                  <c:v>42439</c:v>
                </c:pt>
                <c:pt idx="136">
                  <c:v>42440</c:v>
                </c:pt>
                <c:pt idx="137">
                  <c:v>42445</c:v>
                </c:pt>
                <c:pt idx="138">
                  <c:v>42446</c:v>
                </c:pt>
                <c:pt idx="139">
                  <c:v>42447</c:v>
                </c:pt>
                <c:pt idx="140">
                  <c:v>42450</c:v>
                </c:pt>
                <c:pt idx="141">
                  <c:v>42451</c:v>
                </c:pt>
                <c:pt idx="142">
                  <c:v>42452</c:v>
                </c:pt>
                <c:pt idx="143">
                  <c:v>42453</c:v>
                </c:pt>
                <c:pt idx="144">
                  <c:v>42454</c:v>
                </c:pt>
                <c:pt idx="145">
                  <c:v>42458</c:v>
                </c:pt>
                <c:pt idx="146">
                  <c:v>42459</c:v>
                </c:pt>
                <c:pt idx="147">
                  <c:v>42460</c:v>
                </c:pt>
                <c:pt idx="148">
                  <c:v>42461</c:v>
                </c:pt>
                <c:pt idx="149">
                  <c:v>42464</c:v>
                </c:pt>
                <c:pt idx="150">
                  <c:v>42465</c:v>
                </c:pt>
                <c:pt idx="151">
                  <c:v>42466</c:v>
                </c:pt>
                <c:pt idx="152">
                  <c:v>42467</c:v>
                </c:pt>
                <c:pt idx="153">
                  <c:v>42468</c:v>
                </c:pt>
                <c:pt idx="154">
                  <c:v>42471</c:v>
                </c:pt>
                <c:pt idx="155">
                  <c:v>42472</c:v>
                </c:pt>
                <c:pt idx="156">
                  <c:v>42473</c:v>
                </c:pt>
                <c:pt idx="157">
                  <c:v>42474</c:v>
                </c:pt>
                <c:pt idx="158">
                  <c:v>42475</c:v>
                </c:pt>
                <c:pt idx="159">
                  <c:v>42478</c:v>
                </c:pt>
                <c:pt idx="160">
                  <c:v>42479</c:v>
                </c:pt>
                <c:pt idx="161">
                  <c:v>42480</c:v>
                </c:pt>
                <c:pt idx="162">
                  <c:v>42481</c:v>
                </c:pt>
                <c:pt idx="163">
                  <c:v>42482</c:v>
                </c:pt>
                <c:pt idx="164">
                  <c:v>42485</c:v>
                </c:pt>
                <c:pt idx="165">
                  <c:v>42486</c:v>
                </c:pt>
                <c:pt idx="166">
                  <c:v>42487</c:v>
                </c:pt>
                <c:pt idx="167">
                  <c:v>42488</c:v>
                </c:pt>
                <c:pt idx="168">
                  <c:v>42489</c:v>
                </c:pt>
                <c:pt idx="169">
                  <c:v>42492</c:v>
                </c:pt>
                <c:pt idx="170">
                  <c:v>42493</c:v>
                </c:pt>
                <c:pt idx="171">
                  <c:v>42494</c:v>
                </c:pt>
                <c:pt idx="172">
                  <c:v>42495</c:v>
                </c:pt>
                <c:pt idx="173">
                  <c:v>42496</c:v>
                </c:pt>
                <c:pt idx="174">
                  <c:v>42499</c:v>
                </c:pt>
                <c:pt idx="175">
                  <c:v>42500</c:v>
                </c:pt>
                <c:pt idx="176">
                  <c:v>42501</c:v>
                </c:pt>
                <c:pt idx="177">
                  <c:v>42502</c:v>
                </c:pt>
                <c:pt idx="178">
                  <c:v>42503</c:v>
                </c:pt>
                <c:pt idx="179">
                  <c:v>42507</c:v>
                </c:pt>
                <c:pt idx="180">
                  <c:v>42508</c:v>
                </c:pt>
                <c:pt idx="181">
                  <c:v>42509</c:v>
                </c:pt>
                <c:pt idx="182">
                  <c:v>42510</c:v>
                </c:pt>
                <c:pt idx="183">
                  <c:v>42513</c:v>
                </c:pt>
                <c:pt idx="184">
                  <c:v>42514</c:v>
                </c:pt>
                <c:pt idx="185">
                  <c:v>42515</c:v>
                </c:pt>
                <c:pt idx="186">
                  <c:v>42516</c:v>
                </c:pt>
                <c:pt idx="187">
                  <c:v>42517</c:v>
                </c:pt>
                <c:pt idx="188">
                  <c:v>42520</c:v>
                </c:pt>
                <c:pt idx="189">
                  <c:v>42521</c:v>
                </c:pt>
                <c:pt idx="190">
                  <c:v>42522</c:v>
                </c:pt>
                <c:pt idx="191">
                  <c:v>42523</c:v>
                </c:pt>
                <c:pt idx="192">
                  <c:v>42524</c:v>
                </c:pt>
                <c:pt idx="193">
                  <c:v>42527</c:v>
                </c:pt>
                <c:pt idx="194">
                  <c:v>42528</c:v>
                </c:pt>
                <c:pt idx="195">
                  <c:v>42529</c:v>
                </c:pt>
                <c:pt idx="196">
                  <c:v>42530</c:v>
                </c:pt>
                <c:pt idx="197">
                  <c:v>42531</c:v>
                </c:pt>
                <c:pt idx="198">
                  <c:v>42534</c:v>
                </c:pt>
                <c:pt idx="199">
                  <c:v>42535</c:v>
                </c:pt>
                <c:pt idx="200">
                  <c:v>42536</c:v>
                </c:pt>
                <c:pt idx="201">
                  <c:v>42537</c:v>
                </c:pt>
                <c:pt idx="202">
                  <c:v>42538</c:v>
                </c:pt>
                <c:pt idx="203">
                  <c:v>42541</c:v>
                </c:pt>
                <c:pt idx="204">
                  <c:v>42542</c:v>
                </c:pt>
                <c:pt idx="205">
                  <c:v>42543</c:v>
                </c:pt>
                <c:pt idx="206">
                  <c:v>42544</c:v>
                </c:pt>
                <c:pt idx="207">
                  <c:v>42545</c:v>
                </c:pt>
                <c:pt idx="208">
                  <c:v>42548</c:v>
                </c:pt>
                <c:pt idx="209">
                  <c:v>42549</c:v>
                </c:pt>
                <c:pt idx="210">
                  <c:v>42550</c:v>
                </c:pt>
                <c:pt idx="211">
                  <c:v>42551</c:v>
                </c:pt>
                <c:pt idx="212">
                  <c:v>42552</c:v>
                </c:pt>
                <c:pt idx="213">
                  <c:v>42555</c:v>
                </c:pt>
                <c:pt idx="214">
                  <c:v>42556</c:v>
                </c:pt>
                <c:pt idx="215">
                  <c:v>42557</c:v>
                </c:pt>
                <c:pt idx="216">
                  <c:v>42558</c:v>
                </c:pt>
                <c:pt idx="217">
                  <c:v>42559</c:v>
                </c:pt>
                <c:pt idx="218">
                  <c:v>42562</c:v>
                </c:pt>
                <c:pt idx="219">
                  <c:v>42563</c:v>
                </c:pt>
                <c:pt idx="220">
                  <c:v>42564</c:v>
                </c:pt>
                <c:pt idx="221">
                  <c:v>42565</c:v>
                </c:pt>
                <c:pt idx="222">
                  <c:v>42566</c:v>
                </c:pt>
                <c:pt idx="223">
                  <c:v>42569</c:v>
                </c:pt>
                <c:pt idx="224">
                  <c:v>42570</c:v>
                </c:pt>
                <c:pt idx="225">
                  <c:v>42571</c:v>
                </c:pt>
                <c:pt idx="226">
                  <c:v>42572</c:v>
                </c:pt>
                <c:pt idx="227">
                  <c:v>42573</c:v>
                </c:pt>
                <c:pt idx="228">
                  <c:v>42576</c:v>
                </c:pt>
                <c:pt idx="229">
                  <c:v>42577</c:v>
                </c:pt>
                <c:pt idx="230">
                  <c:v>42578</c:v>
                </c:pt>
                <c:pt idx="231">
                  <c:v>42579</c:v>
                </c:pt>
                <c:pt idx="232">
                  <c:v>42580</c:v>
                </c:pt>
                <c:pt idx="233">
                  <c:v>42583</c:v>
                </c:pt>
                <c:pt idx="234">
                  <c:v>42584</c:v>
                </c:pt>
                <c:pt idx="235">
                  <c:v>42585</c:v>
                </c:pt>
                <c:pt idx="236">
                  <c:v>42586</c:v>
                </c:pt>
                <c:pt idx="237">
                  <c:v>42587</c:v>
                </c:pt>
                <c:pt idx="238">
                  <c:v>42590</c:v>
                </c:pt>
                <c:pt idx="239">
                  <c:v>42591</c:v>
                </c:pt>
                <c:pt idx="240">
                  <c:v>42592</c:v>
                </c:pt>
                <c:pt idx="241">
                  <c:v>42593</c:v>
                </c:pt>
                <c:pt idx="242">
                  <c:v>42594</c:v>
                </c:pt>
                <c:pt idx="243">
                  <c:v>42597</c:v>
                </c:pt>
                <c:pt idx="244">
                  <c:v>42598</c:v>
                </c:pt>
                <c:pt idx="245">
                  <c:v>42599</c:v>
                </c:pt>
                <c:pt idx="246">
                  <c:v>42600</c:v>
                </c:pt>
                <c:pt idx="247">
                  <c:v>42601</c:v>
                </c:pt>
                <c:pt idx="248">
                  <c:v>42604</c:v>
                </c:pt>
                <c:pt idx="249">
                  <c:v>42605</c:v>
                </c:pt>
                <c:pt idx="250">
                  <c:v>42606</c:v>
                </c:pt>
                <c:pt idx="251">
                  <c:v>42607</c:v>
                </c:pt>
                <c:pt idx="252">
                  <c:v>42608</c:v>
                </c:pt>
                <c:pt idx="253">
                  <c:v>42611</c:v>
                </c:pt>
                <c:pt idx="254">
                  <c:v>42612</c:v>
                </c:pt>
                <c:pt idx="255">
                  <c:v>42613</c:v>
                </c:pt>
                <c:pt idx="256">
                  <c:v>42614</c:v>
                </c:pt>
                <c:pt idx="257">
                  <c:v>42615</c:v>
                </c:pt>
                <c:pt idx="258">
                  <c:v>42618</c:v>
                </c:pt>
                <c:pt idx="259">
                  <c:v>42619</c:v>
                </c:pt>
                <c:pt idx="260">
                  <c:v>42620</c:v>
                </c:pt>
                <c:pt idx="261">
                  <c:v>42621</c:v>
                </c:pt>
                <c:pt idx="262">
                  <c:v>42622</c:v>
                </c:pt>
                <c:pt idx="263">
                  <c:v>42625</c:v>
                </c:pt>
                <c:pt idx="264">
                  <c:v>42626</c:v>
                </c:pt>
                <c:pt idx="265">
                  <c:v>42627</c:v>
                </c:pt>
                <c:pt idx="266">
                  <c:v>42628</c:v>
                </c:pt>
                <c:pt idx="267">
                  <c:v>42629</c:v>
                </c:pt>
                <c:pt idx="268">
                  <c:v>42632</c:v>
                </c:pt>
                <c:pt idx="269">
                  <c:v>42633</c:v>
                </c:pt>
                <c:pt idx="270">
                  <c:v>42634</c:v>
                </c:pt>
                <c:pt idx="271">
                  <c:v>42635</c:v>
                </c:pt>
                <c:pt idx="272">
                  <c:v>42636</c:v>
                </c:pt>
                <c:pt idx="273">
                  <c:v>42639</c:v>
                </c:pt>
                <c:pt idx="274">
                  <c:v>42640</c:v>
                </c:pt>
                <c:pt idx="275">
                  <c:v>42641</c:v>
                </c:pt>
                <c:pt idx="276">
                  <c:v>42642</c:v>
                </c:pt>
                <c:pt idx="277">
                  <c:v>42643</c:v>
                </c:pt>
                <c:pt idx="278">
                  <c:v>42646</c:v>
                </c:pt>
                <c:pt idx="279">
                  <c:v>42647</c:v>
                </c:pt>
                <c:pt idx="280">
                  <c:v>42648</c:v>
                </c:pt>
                <c:pt idx="281">
                  <c:v>42649</c:v>
                </c:pt>
                <c:pt idx="282">
                  <c:v>42650</c:v>
                </c:pt>
                <c:pt idx="283">
                  <c:v>42653</c:v>
                </c:pt>
                <c:pt idx="284">
                  <c:v>42654</c:v>
                </c:pt>
                <c:pt idx="285">
                  <c:v>42655</c:v>
                </c:pt>
                <c:pt idx="286">
                  <c:v>42656</c:v>
                </c:pt>
                <c:pt idx="287">
                  <c:v>42657</c:v>
                </c:pt>
                <c:pt idx="288">
                  <c:v>42658</c:v>
                </c:pt>
                <c:pt idx="289">
                  <c:v>42660</c:v>
                </c:pt>
                <c:pt idx="290">
                  <c:v>42661</c:v>
                </c:pt>
                <c:pt idx="291">
                  <c:v>42662</c:v>
                </c:pt>
                <c:pt idx="292">
                  <c:v>42663</c:v>
                </c:pt>
                <c:pt idx="293">
                  <c:v>42664</c:v>
                </c:pt>
                <c:pt idx="294">
                  <c:v>42667</c:v>
                </c:pt>
                <c:pt idx="295">
                  <c:v>42668</c:v>
                </c:pt>
                <c:pt idx="296">
                  <c:v>42669</c:v>
                </c:pt>
                <c:pt idx="297">
                  <c:v>42670</c:v>
                </c:pt>
                <c:pt idx="298">
                  <c:v>42671</c:v>
                </c:pt>
                <c:pt idx="299">
                  <c:v>42676</c:v>
                </c:pt>
                <c:pt idx="300">
                  <c:v>42677</c:v>
                </c:pt>
                <c:pt idx="301">
                  <c:v>42678</c:v>
                </c:pt>
                <c:pt idx="302">
                  <c:v>42681</c:v>
                </c:pt>
                <c:pt idx="303">
                  <c:v>42682</c:v>
                </c:pt>
                <c:pt idx="304">
                  <c:v>42683</c:v>
                </c:pt>
                <c:pt idx="305">
                  <c:v>42684</c:v>
                </c:pt>
                <c:pt idx="306">
                  <c:v>42685</c:v>
                </c:pt>
                <c:pt idx="307">
                  <c:v>42688</c:v>
                </c:pt>
                <c:pt idx="308">
                  <c:v>42689</c:v>
                </c:pt>
                <c:pt idx="309">
                  <c:v>42690</c:v>
                </c:pt>
                <c:pt idx="310">
                  <c:v>42691</c:v>
                </c:pt>
                <c:pt idx="311">
                  <c:v>42692</c:v>
                </c:pt>
                <c:pt idx="312">
                  <c:v>42695</c:v>
                </c:pt>
                <c:pt idx="313">
                  <c:v>42696</c:v>
                </c:pt>
                <c:pt idx="314">
                  <c:v>42697</c:v>
                </c:pt>
                <c:pt idx="315">
                  <c:v>42698</c:v>
                </c:pt>
                <c:pt idx="316">
                  <c:v>42699</c:v>
                </c:pt>
                <c:pt idx="317">
                  <c:v>42702</c:v>
                </c:pt>
                <c:pt idx="318">
                  <c:v>42703</c:v>
                </c:pt>
                <c:pt idx="319">
                  <c:v>42704</c:v>
                </c:pt>
                <c:pt idx="320">
                  <c:v>42705</c:v>
                </c:pt>
                <c:pt idx="321">
                  <c:v>42706</c:v>
                </c:pt>
                <c:pt idx="322">
                  <c:v>42709</c:v>
                </c:pt>
                <c:pt idx="323">
                  <c:v>42710</c:v>
                </c:pt>
                <c:pt idx="324">
                  <c:v>42711</c:v>
                </c:pt>
                <c:pt idx="325">
                  <c:v>42712</c:v>
                </c:pt>
                <c:pt idx="326">
                  <c:v>42713</c:v>
                </c:pt>
                <c:pt idx="327">
                  <c:v>42716</c:v>
                </c:pt>
                <c:pt idx="328">
                  <c:v>42717</c:v>
                </c:pt>
                <c:pt idx="329">
                  <c:v>42718</c:v>
                </c:pt>
                <c:pt idx="330">
                  <c:v>42719</c:v>
                </c:pt>
                <c:pt idx="331">
                  <c:v>42720</c:v>
                </c:pt>
                <c:pt idx="332">
                  <c:v>42723</c:v>
                </c:pt>
                <c:pt idx="333">
                  <c:v>42724</c:v>
                </c:pt>
                <c:pt idx="334">
                  <c:v>42725</c:v>
                </c:pt>
                <c:pt idx="335">
                  <c:v>42726</c:v>
                </c:pt>
                <c:pt idx="336">
                  <c:v>42727</c:v>
                </c:pt>
                <c:pt idx="337">
                  <c:v>42731</c:v>
                </c:pt>
                <c:pt idx="338">
                  <c:v>42732</c:v>
                </c:pt>
                <c:pt idx="339">
                  <c:v>42733</c:v>
                </c:pt>
                <c:pt idx="340">
                  <c:v>42734</c:v>
                </c:pt>
                <c:pt idx="341">
                  <c:v>42737</c:v>
                </c:pt>
                <c:pt idx="342">
                  <c:v>42738</c:v>
                </c:pt>
                <c:pt idx="343">
                  <c:v>42739</c:v>
                </c:pt>
                <c:pt idx="344">
                  <c:v>42740</c:v>
                </c:pt>
                <c:pt idx="345">
                  <c:v>42741</c:v>
                </c:pt>
                <c:pt idx="346">
                  <c:v>42744</c:v>
                </c:pt>
                <c:pt idx="347">
                  <c:v>42745</c:v>
                </c:pt>
                <c:pt idx="348">
                  <c:v>42746</c:v>
                </c:pt>
                <c:pt idx="349">
                  <c:v>42747</c:v>
                </c:pt>
                <c:pt idx="350">
                  <c:v>42748</c:v>
                </c:pt>
                <c:pt idx="351">
                  <c:v>42751</c:v>
                </c:pt>
                <c:pt idx="352">
                  <c:v>42752</c:v>
                </c:pt>
                <c:pt idx="353">
                  <c:v>42753</c:v>
                </c:pt>
                <c:pt idx="354">
                  <c:v>42754</c:v>
                </c:pt>
                <c:pt idx="355">
                  <c:v>42755</c:v>
                </c:pt>
                <c:pt idx="356">
                  <c:v>42758</c:v>
                </c:pt>
                <c:pt idx="357">
                  <c:v>42759</c:v>
                </c:pt>
                <c:pt idx="358">
                  <c:v>42760</c:v>
                </c:pt>
                <c:pt idx="359">
                  <c:v>42761</c:v>
                </c:pt>
                <c:pt idx="360">
                  <c:v>42762</c:v>
                </c:pt>
                <c:pt idx="361">
                  <c:v>42765</c:v>
                </c:pt>
                <c:pt idx="362">
                  <c:v>42766</c:v>
                </c:pt>
                <c:pt idx="363">
                  <c:v>42767</c:v>
                </c:pt>
                <c:pt idx="364">
                  <c:v>42768</c:v>
                </c:pt>
                <c:pt idx="365">
                  <c:v>42769</c:v>
                </c:pt>
                <c:pt idx="366">
                  <c:v>42772</c:v>
                </c:pt>
                <c:pt idx="367">
                  <c:v>42773</c:v>
                </c:pt>
                <c:pt idx="368">
                  <c:v>42774</c:v>
                </c:pt>
                <c:pt idx="369">
                  <c:v>42775</c:v>
                </c:pt>
                <c:pt idx="370">
                  <c:v>42776</c:v>
                </c:pt>
                <c:pt idx="371">
                  <c:v>42779</c:v>
                </c:pt>
                <c:pt idx="372">
                  <c:v>42780</c:v>
                </c:pt>
                <c:pt idx="373">
                  <c:v>42781</c:v>
                </c:pt>
                <c:pt idx="374">
                  <c:v>42782</c:v>
                </c:pt>
                <c:pt idx="375">
                  <c:v>42783</c:v>
                </c:pt>
                <c:pt idx="376">
                  <c:v>42786</c:v>
                </c:pt>
                <c:pt idx="377">
                  <c:v>42787</c:v>
                </c:pt>
                <c:pt idx="378">
                  <c:v>42788</c:v>
                </c:pt>
                <c:pt idx="379">
                  <c:v>42789</c:v>
                </c:pt>
                <c:pt idx="380">
                  <c:v>42790</c:v>
                </c:pt>
                <c:pt idx="381">
                  <c:v>42793</c:v>
                </c:pt>
                <c:pt idx="382">
                  <c:v>42794</c:v>
                </c:pt>
                <c:pt idx="383">
                  <c:v>42795</c:v>
                </c:pt>
                <c:pt idx="384">
                  <c:v>42796</c:v>
                </c:pt>
                <c:pt idx="385">
                  <c:v>42797</c:v>
                </c:pt>
                <c:pt idx="386">
                  <c:v>42800</c:v>
                </c:pt>
                <c:pt idx="387">
                  <c:v>42801</c:v>
                </c:pt>
                <c:pt idx="388">
                  <c:v>42802</c:v>
                </c:pt>
                <c:pt idx="389">
                  <c:v>42803</c:v>
                </c:pt>
                <c:pt idx="390">
                  <c:v>42804</c:v>
                </c:pt>
                <c:pt idx="391">
                  <c:v>42807</c:v>
                </c:pt>
                <c:pt idx="392">
                  <c:v>42808</c:v>
                </c:pt>
                <c:pt idx="393">
                  <c:v>42810</c:v>
                </c:pt>
                <c:pt idx="394">
                  <c:v>42811</c:v>
                </c:pt>
                <c:pt idx="395">
                  <c:v>42814</c:v>
                </c:pt>
                <c:pt idx="396">
                  <c:v>42815</c:v>
                </c:pt>
                <c:pt idx="397">
                  <c:v>42816</c:v>
                </c:pt>
                <c:pt idx="398">
                  <c:v>42817</c:v>
                </c:pt>
                <c:pt idx="399">
                  <c:v>42818</c:v>
                </c:pt>
                <c:pt idx="400">
                  <c:v>42821</c:v>
                </c:pt>
                <c:pt idx="401">
                  <c:v>42822</c:v>
                </c:pt>
                <c:pt idx="402">
                  <c:v>42823</c:v>
                </c:pt>
                <c:pt idx="403">
                  <c:v>42824</c:v>
                </c:pt>
                <c:pt idx="404">
                  <c:v>42825</c:v>
                </c:pt>
                <c:pt idx="405">
                  <c:v>42828</c:v>
                </c:pt>
                <c:pt idx="406">
                  <c:v>42829</c:v>
                </c:pt>
                <c:pt idx="407">
                  <c:v>42830</c:v>
                </c:pt>
                <c:pt idx="408">
                  <c:v>42831</c:v>
                </c:pt>
                <c:pt idx="409">
                  <c:v>42832</c:v>
                </c:pt>
                <c:pt idx="410">
                  <c:v>42835</c:v>
                </c:pt>
                <c:pt idx="411">
                  <c:v>42836</c:v>
                </c:pt>
                <c:pt idx="412">
                  <c:v>42837</c:v>
                </c:pt>
                <c:pt idx="413">
                  <c:v>42838</c:v>
                </c:pt>
                <c:pt idx="414">
                  <c:v>42843</c:v>
                </c:pt>
                <c:pt idx="415">
                  <c:v>42844</c:v>
                </c:pt>
                <c:pt idx="416">
                  <c:v>42845</c:v>
                </c:pt>
                <c:pt idx="417">
                  <c:v>42846</c:v>
                </c:pt>
                <c:pt idx="418">
                  <c:v>42849</c:v>
                </c:pt>
                <c:pt idx="419">
                  <c:v>42850</c:v>
                </c:pt>
                <c:pt idx="420">
                  <c:v>42851</c:v>
                </c:pt>
                <c:pt idx="421">
                  <c:v>42852</c:v>
                </c:pt>
                <c:pt idx="422">
                  <c:v>42853</c:v>
                </c:pt>
                <c:pt idx="423">
                  <c:v>42854</c:v>
                </c:pt>
                <c:pt idx="424">
                  <c:v>42855</c:v>
                </c:pt>
                <c:pt idx="425">
                  <c:v>42856</c:v>
                </c:pt>
                <c:pt idx="426">
                  <c:v>42857</c:v>
                </c:pt>
                <c:pt idx="427">
                  <c:v>42858</c:v>
                </c:pt>
                <c:pt idx="428">
                  <c:v>42859</c:v>
                </c:pt>
                <c:pt idx="429">
                  <c:v>42860</c:v>
                </c:pt>
                <c:pt idx="430">
                  <c:v>42861</c:v>
                </c:pt>
                <c:pt idx="431">
                  <c:v>42862</c:v>
                </c:pt>
                <c:pt idx="432">
                  <c:v>42863</c:v>
                </c:pt>
                <c:pt idx="433">
                  <c:v>42864</c:v>
                </c:pt>
                <c:pt idx="434">
                  <c:v>42865</c:v>
                </c:pt>
                <c:pt idx="435">
                  <c:v>42866</c:v>
                </c:pt>
                <c:pt idx="436">
                  <c:v>42867</c:v>
                </c:pt>
                <c:pt idx="437">
                  <c:v>42868</c:v>
                </c:pt>
                <c:pt idx="438">
                  <c:v>42869</c:v>
                </c:pt>
                <c:pt idx="439">
                  <c:v>42870</c:v>
                </c:pt>
                <c:pt idx="440">
                  <c:v>42871</c:v>
                </c:pt>
                <c:pt idx="441">
                  <c:v>42872</c:v>
                </c:pt>
                <c:pt idx="442">
                  <c:v>42873</c:v>
                </c:pt>
                <c:pt idx="443">
                  <c:v>42874</c:v>
                </c:pt>
                <c:pt idx="444">
                  <c:v>42875</c:v>
                </c:pt>
                <c:pt idx="445">
                  <c:v>42876</c:v>
                </c:pt>
                <c:pt idx="446">
                  <c:v>42877</c:v>
                </c:pt>
                <c:pt idx="447">
                  <c:v>42878</c:v>
                </c:pt>
                <c:pt idx="448">
                  <c:v>42879</c:v>
                </c:pt>
                <c:pt idx="449">
                  <c:v>42880</c:v>
                </c:pt>
                <c:pt idx="450">
                  <c:v>42881</c:v>
                </c:pt>
                <c:pt idx="451">
                  <c:v>42882</c:v>
                </c:pt>
                <c:pt idx="452">
                  <c:v>42883</c:v>
                </c:pt>
                <c:pt idx="453">
                  <c:v>42884</c:v>
                </c:pt>
                <c:pt idx="454">
                  <c:v>42885</c:v>
                </c:pt>
                <c:pt idx="455">
                  <c:v>42886</c:v>
                </c:pt>
                <c:pt idx="456">
                  <c:v>42887</c:v>
                </c:pt>
                <c:pt idx="457">
                  <c:v>42888</c:v>
                </c:pt>
                <c:pt idx="458">
                  <c:v>42889</c:v>
                </c:pt>
                <c:pt idx="459">
                  <c:v>42890</c:v>
                </c:pt>
                <c:pt idx="460">
                  <c:v>42891</c:v>
                </c:pt>
                <c:pt idx="461">
                  <c:v>42892</c:v>
                </c:pt>
                <c:pt idx="462">
                  <c:v>42893</c:v>
                </c:pt>
                <c:pt idx="463">
                  <c:v>42894</c:v>
                </c:pt>
                <c:pt idx="464">
                  <c:v>42895</c:v>
                </c:pt>
                <c:pt idx="465">
                  <c:v>42896</c:v>
                </c:pt>
                <c:pt idx="466">
                  <c:v>42897</c:v>
                </c:pt>
                <c:pt idx="467">
                  <c:v>42898</c:v>
                </c:pt>
                <c:pt idx="468">
                  <c:v>42899</c:v>
                </c:pt>
                <c:pt idx="469">
                  <c:v>42900</c:v>
                </c:pt>
                <c:pt idx="470">
                  <c:v>42901</c:v>
                </c:pt>
                <c:pt idx="471">
                  <c:v>42902</c:v>
                </c:pt>
                <c:pt idx="472">
                  <c:v>42903</c:v>
                </c:pt>
                <c:pt idx="473">
                  <c:v>42904</c:v>
                </c:pt>
                <c:pt idx="474">
                  <c:v>42905</c:v>
                </c:pt>
                <c:pt idx="475">
                  <c:v>42906</c:v>
                </c:pt>
                <c:pt idx="476">
                  <c:v>42907</c:v>
                </c:pt>
                <c:pt idx="477">
                  <c:v>42908</c:v>
                </c:pt>
                <c:pt idx="478">
                  <c:v>42909</c:v>
                </c:pt>
                <c:pt idx="479">
                  <c:v>42910</c:v>
                </c:pt>
                <c:pt idx="480">
                  <c:v>42911</c:v>
                </c:pt>
                <c:pt idx="481">
                  <c:v>42912</c:v>
                </c:pt>
                <c:pt idx="482">
                  <c:v>42913</c:v>
                </c:pt>
                <c:pt idx="483">
                  <c:v>42914</c:v>
                </c:pt>
                <c:pt idx="484">
                  <c:v>42915</c:v>
                </c:pt>
                <c:pt idx="485">
                  <c:v>42916</c:v>
                </c:pt>
                <c:pt idx="486">
                  <c:v>42917</c:v>
                </c:pt>
                <c:pt idx="487">
                  <c:v>42918</c:v>
                </c:pt>
                <c:pt idx="488">
                  <c:v>42919</c:v>
                </c:pt>
                <c:pt idx="489">
                  <c:v>42920</c:v>
                </c:pt>
                <c:pt idx="490">
                  <c:v>42921</c:v>
                </c:pt>
                <c:pt idx="491">
                  <c:v>42922</c:v>
                </c:pt>
                <c:pt idx="492">
                  <c:v>42923</c:v>
                </c:pt>
                <c:pt idx="493">
                  <c:v>42924</c:v>
                </c:pt>
                <c:pt idx="494">
                  <c:v>42925</c:v>
                </c:pt>
                <c:pt idx="495">
                  <c:v>42926</c:v>
                </c:pt>
                <c:pt idx="496">
                  <c:v>42927</c:v>
                </c:pt>
                <c:pt idx="497">
                  <c:v>42928</c:v>
                </c:pt>
                <c:pt idx="498">
                  <c:v>42929</c:v>
                </c:pt>
                <c:pt idx="499">
                  <c:v>42930</c:v>
                </c:pt>
                <c:pt idx="500">
                  <c:v>42931</c:v>
                </c:pt>
                <c:pt idx="501">
                  <c:v>42932</c:v>
                </c:pt>
                <c:pt idx="502">
                  <c:v>42933</c:v>
                </c:pt>
                <c:pt idx="503">
                  <c:v>42934</c:v>
                </c:pt>
                <c:pt idx="504">
                  <c:v>42935</c:v>
                </c:pt>
                <c:pt idx="505">
                  <c:v>42936</c:v>
                </c:pt>
                <c:pt idx="506">
                  <c:v>42937</c:v>
                </c:pt>
                <c:pt idx="507">
                  <c:v>42938</c:v>
                </c:pt>
                <c:pt idx="508">
                  <c:v>42939</c:v>
                </c:pt>
                <c:pt idx="509">
                  <c:v>42940</c:v>
                </c:pt>
                <c:pt idx="510">
                  <c:v>42941</c:v>
                </c:pt>
                <c:pt idx="511">
                  <c:v>42942</c:v>
                </c:pt>
                <c:pt idx="512">
                  <c:v>42943</c:v>
                </c:pt>
                <c:pt idx="513">
                  <c:v>42944</c:v>
                </c:pt>
                <c:pt idx="514">
                  <c:v>42945</c:v>
                </c:pt>
                <c:pt idx="515">
                  <c:v>42946</c:v>
                </c:pt>
                <c:pt idx="516">
                  <c:v>42947</c:v>
                </c:pt>
                <c:pt idx="517">
                  <c:v>42948</c:v>
                </c:pt>
                <c:pt idx="518">
                  <c:v>42949</c:v>
                </c:pt>
                <c:pt idx="519">
                  <c:v>42950</c:v>
                </c:pt>
                <c:pt idx="520">
                  <c:v>42951</c:v>
                </c:pt>
                <c:pt idx="521">
                  <c:v>42952</c:v>
                </c:pt>
                <c:pt idx="522">
                  <c:v>42953</c:v>
                </c:pt>
                <c:pt idx="523">
                  <c:v>42954</c:v>
                </c:pt>
                <c:pt idx="524">
                  <c:v>42955</c:v>
                </c:pt>
                <c:pt idx="525">
                  <c:v>42956</c:v>
                </c:pt>
                <c:pt idx="526">
                  <c:v>42957</c:v>
                </c:pt>
                <c:pt idx="527">
                  <c:v>42958</c:v>
                </c:pt>
                <c:pt idx="528">
                  <c:v>42959</c:v>
                </c:pt>
                <c:pt idx="529">
                  <c:v>42960</c:v>
                </c:pt>
                <c:pt idx="530">
                  <c:v>42961</c:v>
                </c:pt>
                <c:pt idx="531">
                  <c:v>42962</c:v>
                </c:pt>
                <c:pt idx="532">
                  <c:v>42963</c:v>
                </c:pt>
                <c:pt idx="533">
                  <c:v>42964</c:v>
                </c:pt>
                <c:pt idx="534">
                  <c:v>42965</c:v>
                </c:pt>
                <c:pt idx="535">
                  <c:v>42966</c:v>
                </c:pt>
                <c:pt idx="536">
                  <c:v>42967</c:v>
                </c:pt>
                <c:pt idx="537">
                  <c:v>42968</c:v>
                </c:pt>
                <c:pt idx="538">
                  <c:v>42969</c:v>
                </c:pt>
                <c:pt idx="539">
                  <c:v>42970</c:v>
                </c:pt>
                <c:pt idx="540">
                  <c:v>42971</c:v>
                </c:pt>
                <c:pt idx="541">
                  <c:v>42972</c:v>
                </c:pt>
                <c:pt idx="542">
                  <c:v>42973</c:v>
                </c:pt>
                <c:pt idx="543">
                  <c:v>42974</c:v>
                </c:pt>
                <c:pt idx="544">
                  <c:v>42975</c:v>
                </c:pt>
                <c:pt idx="545">
                  <c:v>42976</c:v>
                </c:pt>
                <c:pt idx="546">
                  <c:v>42977</c:v>
                </c:pt>
                <c:pt idx="547">
                  <c:v>42978</c:v>
                </c:pt>
                <c:pt idx="548">
                  <c:v>42979</c:v>
                </c:pt>
                <c:pt idx="549">
                  <c:v>42980</c:v>
                </c:pt>
                <c:pt idx="550">
                  <c:v>42981</c:v>
                </c:pt>
                <c:pt idx="551">
                  <c:v>42982</c:v>
                </c:pt>
                <c:pt idx="552">
                  <c:v>42983</c:v>
                </c:pt>
                <c:pt idx="553">
                  <c:v>42984</c:v>
                </c:pt>
                <c:pt idx="554">
                  <c:v>42985</c:v>
                </c:pt>
                <c:pt idx="555">
                  <c:v>42986</c:v>
                </c:pt>
                <c:pt idx="556">
                  <c:v>42987</c:v>
                </c:pt>
                <c:pt idx="557">
                  <c:v>42988</c:v>
                </c:pt>
                <c:pt idx="558">
                  <c:v>42989</c:v>
                </c:pt>
                <c:pt idx="559">
                  <c:v>42990</c:v>
                </c:pt>
                <c:pt idx="560">
                  <c:v>42991</c:v>
                </c:pt>
                <c:pt idx="561">
                  <c:v>42992</c:v>
                </c:pt>
                <c:pt idx="562">
                  <c:v>42993</c:v>
                </c:pt>
                <c:pt idx="563">
                  <c:v>42994</c:v>
                </c:pt>
                <c:pt idx="564">
                  <c:v>42995</c:v>
                </c:pt>
                <c:pt idx="565">
                  <c:v>42996</c:v>
                </c:pt>
                <c:pt idx="566">
                  <c:v>42997</c:v>
                </c:pt>
                <c:pt idx="567">
                  <c:v>42998</c:v>
                </c:pt>
                <c:pt idx="568">
                  <c:v>42999</c:v>
                </c:pt>
                <c:pt idx="569">
                  <c:v>43000</c:v>
                </c:pt>
                <c:pt idx="570">
                  <c:v>43001</c:v>
                </c:pt>
                <c:pt idx="571">
                  <c:v>43002</c:v>
                </c:pt>
                <c:pt idx="572">
                  <c:v>43003</c:v>
                </c:pt>
                <c:pt idx="573">
                  <c:v>43004</c:v>
                </c:pt>
                <c:pt idx="574">
                  <c:v>43005</c:v>
                </c:pt>
                <c:pt idx="575">
                  <c:v>43006</c:v>
                </c:pt>
                <c:pt idx="576">
                  <c:v>43007</c:v>
                </c:pt>
                <c:pt idx="577">
                  <c:v>43008</c:v>
                </c:pt>
                <c:pt idx="578">
                  <c:v>43009</c:v>
                </c:pt>
                <c:pt idx="579">
                  <c:v>43010</c:v>
                </c:pt>
                <c:pt idx="580">
                  <c:v>43011</c:v>
                </c:pt>
                <c:pt idx="581">
                  <c:v>43012</c:v>
                </c:pt>
                <c:pt idx="582">
                  <c:v>43013</c:v>
                </c:pt>
                <c:pt idx="583">
                  <c:v>43014</c:v>
                </c:pt>
                <c:pt idx="584">
                  <c:v>43015</c:v>
                </c:pt>
                <c:pt idx="585">
                  <c:v>43016</c:v>
                </c:pt>
                <c:pt idx="586">
                  <c:v>43017</c:v>
                </c:pt>
                <c:pt idx="587">
                  <c:v>43018</c:v>
                </c:pt>
                <c:pt idx="588">
                  <c:v>43019</c:v>
                </c:pt>
                <c:pt idx="589">
                  <c:v>43020</c:v>
                </c:pt>
                <c:pt idx="590">
                  <c:v>43021</c:v>
                </c:pt>
                <c:pt idx="591">
                  <c:v>43022</c:v>
                </c:pt>
                <c:pt idx="592">
                  <c:v>43023</c:v>
                </c:pt>
                <c:pt idx="593">
                  <c:v>43024</c:v>
                </c:pt>
                <c:pt idx="594">
                  <c:v>43025</c:v>
                </c:pt>
                <c:pt idx="595">
                  <c:v>43026</c:v>
                </c:pt>
                <c:pt idx="596">
                  <c:v>43027</c:v>
                </c:pt>
                <c:pt idx="597">
                  <c:v>43028</c:v>
                </c:pt>
                <c:pt idx="598">
                  <c:v>43029</c:v>
                </c:pt>
                <c:pt idx="599">
                  <c:v>43030</c:v>
                </c:pt>
                <c:pt idx="600">
                  <c:v>43031</c:v>
                </c:pt>
                <c:pt idx="601">
                  <c:v>43032</c:v>
                </c:pt>
                <c:pt idx="602">
                  <c:v>43033</c:v>
                </c:pt>
                <c:pt idx="603">
                  <c:v>43034</c:v>
                </c:pt>
                <c:pt idx="604">
                  <c:v>43035</c:v>
                </c:pt>
                <c:pt idx="605">
                  <c:v>43036</c:v>
                </c:pt>
                <c:pt idx="606">
                  <c:v>43037</c:v>
                </c:pt>
                <c:pt idx="607">
                  <c:v>43038</c:v>
                </c:pt>
                <c:pt idx="608">
                  <c:v>43039</c:v>
                </c:pt>
                <c:pt idx="609">
                  <c:v>43040</c:v>
                </c:pt>
                <c:pt idx="610">
                  <c:v>43041</c:v>
                </c:pt>
                <c:pt idx="611">
                  <c:v>43042</c:v>
                </c:pt>
                <c:pt idx="612">
                  <c:v>43043</c:v>
                </c:pt>
                <c:pt idx="613">
                  <c:v>43044</c:v>
                </c:pt>
                <c:pt idx="614">
                  <c:v>43045</c:v>
                </c:pt>
                <c:pt idx="615">
                  <c:v>43046</c:v>
                </c:pt>
                <c:pt idx="616">
                  <c:v>43047</c:v>
                </c:pt>
                <c:pt idx="617">
                  <c:v>43048</c:v>
                </c:pt>
                <c:pt idx="618">
                  <c:v>43049</c:v>
                </c:pt>
                <c:pt idx="619">
                  <c:v>43050</c:v>
                </c:pt>
                <c:pt idx="620">
                  <c:v>43051</c:v>
                </c:pt>
                <c:pt idx="621">
                  <c:v>43052</c:v>
                </c:pt>
                <c:pt idx="622">
                  <c:v>43053</c:v>
                </c:pt>
                <c:pt idx="623">
                  <c:v>43054</c:v>
                </c:pt>
                <c:pt idx="624">
                  <c:v>43055</c:v>
                </c:pt>
                <c:pt idx="625">
                  <c:v>43056</c:v>
                </c:pt>
                <c:pt idx="626">
                  <c:v>43057</c:v>
                </c:pt>
                <c:pt idx="627">
                  <c:v>43058</c:v>
                </c:pt>
                <c:pt idx="628">
                  <c:v>43059</c:v>
                </c:pt>
                <c:pt idx="629">
                  <c:v>43060</c:v>
                </c:pt>
                <c:pt idx="630">
                  <c:v>43061</c:v>
                </c:pt>
                <c:pt idx="631">
                  <c:v>43062</c:v>
                </c:pt>
                <c:pt idx="632">
                  <c:v>43063</c:v>
                </c:pt>
                <c:pt idx="633">
                  <c:v>43064</c:v>
                </c:pt>
                <c:pt idx="634">
                  <c:v>43065</c:v>
                </c:pt>
                <c:pt idx="635">
                  <c:v>43066</c:v>
                </c:pt>
                <c:pt idx="636">
                  <c:v>43067</c:v>
                </c:pt>
                <c:pt idx="637">
                  <c:v>43068</c:v>
                </c:pt>
                <c:pt idx="638">
                  <c:v>43069</c:v>
                </c:pt>
                <c:pt idx="639">
                  <c:v>43070</c:v>
                </c:pt>
                <c:pt idx="640">
                  <c:v>43071</c:v>
                </c:pt>
                <c:pt idx="641">
                  <c:v>43072</c:v>
                </c:pt>
                <c:pt idx="642">
                  <c:v>43073</c:v>
                </c:pt>
                <c:pt idx="643">
                  <c:v>43074</c:v>
                </c:pt>
                <c:pt idx="644">
                  <c:v>43075</c:v>
                </c:pt>
                <c:pt idx="645">
                  <c:v>43076</c:v>
                </c:pt>
                <c:pt idx="646">
                  <c:v>43077</c:v>
                </c:pt>
                <c:pt idx="647">
                  <c:v>43078</c:v>
                </c:pt>
                <c:pt idx="648">
                  <c:v>43079</c:v>
                </c:pt>
                <c:pt idx="649">
                  <c:v>43080</c:v>
                </c:pt>
                <c:pt idx="650">
                  <c:v>43081</c:v>
                </c:pt>
                <c:pt idx="651">
                  <c:v>43082</c:v>
                </c:pt>
                <c:pt idx="652">
                  <c:v>43083</c:v>
                </c:pt>
                <c:pt idx="653">
                  <c:v>43084</c:v>
                </c:pt>
                <c:pt idx="654">
                  <c:v>43085</c:v>
                </c:pt>
                <c:pt idx="655">
                  <c:v>43086</c:v>
                </c:pt>
                <c:pt idx="656">
                  <c:v>43087</c:v>
                </c:pt>
                <c:pt idx="657">
                  <c:v>43088</c:v>
                </c:pt>
                <c:pt idx="658">
                  <c:v>43089</c:v>
                </c:pt>
                <c:pt idx="659">
                  <c:v>43090</c:v>
                </c:pt>
                <c:pt idx="660">
                  <c:v>43091</c:v>
                </c:pt>
                <c:pt idx="661">
                  <c:v>43092</c:v>
                </c:pt>
                <c:pt idx="662">
                  <c:v>43093</c:v>
                </c:pt>
                <c:pt idx="663">
                  <c:v>43094</c:v>
                </c:pt>
                <c:pt idx="664">
                  <c:v>43095</c:v>
                </c:pt>
                <c:pt idx="665">
                  <c:v>43096</c:v>
                </c:pt>
                <c:pt idx="666">
                  <c:v>43097</c:v>
                </c:pt>
                <c:pt idx="667">
                  <c:v>43098</c:v>
                </c:pt>
                <c:pt idx="668">
                  <c:v>43099</c:v>
                </c:pt>
                <c:pt idx="669">
                  <c:v>43100</c:v>
                </c:pt>
                <c:pt idx="670">
                  <c:v>43101</c:v>
                </c:pt>
                <c:pt idx="671">
                  <c:v>43102</c:v>
                </c:pt>
                <c:pt idx="672">
                  <c:v>43103</c:v>
                </c:pt>
                <c:pt idx="673">
                  <c:v>43104</c:v>
                </c:pt>
                <c:pt idx="674">
                  <c:v>43105</c:v>
                </c:pt>
                <c:pt idx="675">
                  <c:v>43106</c:v>
                </c:pt>
                <c:pt idx="676">
                  <c:v>43107</c:v>
                </c:pt>
                <c:pt idx="677">
                  <c:v>43108</c:v>
                </c:pt>
                <c:pt idx="678">
                  <c:v>43109</c:v>
                </c:pt>
                <c:pt idx="679">
                  <c:v>43110</c:v>
                </c:pt>
                <c:pt idx="680">
                  <c:v>43111</c:v>
                </c:pt>
                <c:pt idx="681">
                  <c:v>43112</c:v>
                </c:pt>
                <c:pt idx="682">
                  <c:v>43113</c:v>
                </c:pt>
                <c:pt idx="683">
                  <c:v>43114</c:v>
                </c:pt>
                <c:pt idx="684">
                  <c:v>43115</c:v>
                </c:pt>
                <c:pt idx="685">
                  <c:v>43116</c:v>
                </c:pt>
                <c:pt idx="686">
                  <c:v>43117</c:v>
                </c:pt>
                <c:pt idx="687">
                  <c:v>43118</c:v>
                </c:pt>
                <c:pt idx="688">
                  <c:v>43119</c:v>
                </c:pt>
                <c:pt idx="689">
                  <c:v>43120</c:v>
                </c:pt>
                <c:pt idx="690">
                  <c:v>43121</c:v>
                </c:pt>
                <c:pt idx="691">
                  <c:v>43122</c:v>
                </c:pt>
                <c:pt idx="692">
                  <c:v>43123</c:v>
                </c:pt>
                <c:pt idx="693">
                  <c:v>43124</c:v>
                </c:pt>
                <c:pt idx="694">
                  <c:v>43125</c:v>
                </c:pt>
                <c:pt idx="695">
                  <c:v>43126</c:v>
                </c:pt>
                <c:pt idx="696">
                  <c:v>43127</c:v>
                </c:pt>
                <c:pt idx="697">
                  <c:v>43128</c:v>
                </c:pt>
                <c:pt idx="698">
                  <c:v>43129</c:v>
                </c:pt>
                <c:pt idx="699">
                  <c:v>43130</c:v>
                </c:pt>
                <c:pt idx="700">
                  <c:v>43131</c:v>
                </c:pt>
                <c:pt idx="701">
                  <c:v>43132</c:v>
                </c:pt>
                <c:pt idx="702">
                  <c:v>43133</c:v>
                </c:pt>
                <c:pt idx="703">
                  <c:v>43134</c:v>
                </c:pt>
                <c:pt idx="704">
                  <c:v>43135</c:v>
                </c:pt>
                <c:pt idx="705">
                  <c:v>43136</c:v>
                </c:pt>
                <c:pt idx="706">
                  <c:v>43137</c:v>
                </c:pt>
                <c:pt idx="707">
                  <c:v>43138</c:v>
                </c:pt>
                <c:pt idx="708">
                  <c:v>43139</c:v>
                </c:pt>
                <c:pt idx="709">
                  <c:v>43140</c:v>
                </c:pt>
                <c:pt idx="710">
                  <c:v>43141</c:v>
                </c:pt>
                <c:pt idx="711">
                  <c:v>43142</c:v>
                </c:pt>
                <c:pt idx="712">
                  <c:v>43143</c:v>
                </c:pt>
                <c:pt idx="713">
                  <c:v>43144</c:v>
                </c:pt>
                <c:pt idx="714">
                  <c:v>43145</c:v>
                </c:pt>
                <c:pt idx="715">
                  <c:v>43146</c:v>
                </c:pt>
                <c:pt idx="716">
                  <c:v>43147</c:v>
                </c:pt>
                <c:pt idx="717">
                  <c:v>43148</c:v>
                </c:pt>
                <c:pt idx="718">
                  <c:v>43149</c:v>
                </c:pt>
                <c:pt idx="719">
                  <c:v>43150</c:v>
                </c:pt>
                <c:pt idx="720">
                  <c:v>43151</c:v>
                </c:pt>
                <c:pt idx="721">
                  <c:v>43152</c:v>
                </c:pt>
                <c:pt idx="722">
                  <c:v>43153</c:v>
                </c:pt>
                <c:pt idx="723">
                  <c:v>43154</c:v>
                </c:pt>
                <c:pt idx="724">
                  <c:v>43155</c:v>
                </c:pt>
                <c:pt idx="725">
                  <c:v>43156</c:v>
                </c:pt>
                <c:pt idx="726">
                  <c:v>43157</c:v>
                </c:pt>
                <c:pt idx="727">
                  <c:v>43158</c:v>
                </c:pt>
                <c:pt idx="728">
                  <c:v>43159</c:v>
                </c:pt>
                <c:pt idx="729">
                  <c:v>43160</c:v>
                </c:pt>
                <c:pt idx="730">
                  <c:v>43161</c:v>
                </c:pt>
                <c:pt idx="731">
                  <c:v>43162</c:v>
                </c:pt>
                <c:pt idx="732">
                  <c:v>43163</c:v>
                </c:pt>
                <c:pt idx="733">
                  <c:v>43164</c:v>
                </c:pt>
                <c:pt idx="734">
                  <c:v>43165</c:v>
                </c:pt>
                <c:pt idx="735">
                  <c:v>43166</c:v>
                </c:pt>
                <c:pt idx="736">
                  <c:v>43167</c:v>
                </c:pt>
                <c:pt idx="737">
                  <c:v>43168</c:v>
                </c:pt>
                <c:pt idx="738">
                  <c:v>43169</c:v>
                </c:pt>
                <c:pt idx="739">
                  <c:v>43170</c:v>
                </c:pt>
                <c:pt idx="740">
                  <c:v>43171</c:v>
                </c:pt>
                <c:pt idx="741">
                  <c:v>43172</c:v>
                </c:pt>
                <c:pt idx="742">
                  <c:v>43173</c:v>
                </c:pt>
                <c:pt idx="743">
                  <c:v>43174</c:v>
                </c:pt>
                <c:pt idx="744">
                  <c:v>43175</c:v>
                </c:pt>
                <c:pt idx="745">
                  <c:v>43176</c:v>
                </c:pt>
                <c:pt idx="746">
                  <c:v>43177</c:v>
                </c:pt>
                <c:pt idx="747">
                  <c:v>43178</c:v>
                </c:pt>
                <c:pt idx="748">
                  <c:v>43179</c:v>
                </c:pt>
                <c:pt idx="749">
                  <c:v>43180</c:v>
                </c:pt>
                <c:pt idx="750">
                  <c:v>43181</c:v>
                </c:pt>
                <c:pt idx="751">
                  <c:v>43182</c:v>
                </c:pt>
                <c:pt idx="752">
                  <c:v>43183</c:v>
                </c:pt>
                <c:pt idx="753">
                  <c:v>43184</c:v>
                </c:pt>
                <c:pt idx="754">
                  <c:v>43185</c:v>
                </c:pt>
                <c:pt idx="755">
                  <c:v>43186</c:v>
                </c:pt>
                <c:pt idx="756">
                  <c:v>43187</c:v>
                </c:pt>
                <c:pt idx="757">
                  <c:v>43188</c:v>
                </c:pt>
                <c:pt idx="758">
                  <c:v>43189</c:v>
                </c:pt>
                <c:pt idx="759">
                  <c:v>43190</c:v>
                </c:pt>
                <c:pt idx="760">
                  <c:v>43191</c:v>
                </c:pt>
                <c:pt idx="761">
                  <c:v>43192</c:v>
                </c:pt>
                <c:pt idx="762">
                  <c:v>43193</c:v>
                </c:pt>
                <c:pt idx="763">
                  <c:v>43194</c:v>
                </c:pt>
                <c:pt idx="764">
                  <c:v>43195</c:v>
                </c:pt>
                <c:pt idx="765">
                  <c:v>43196</c:v>
                </c:pt>
                <c:pt idx="766">
                  <c:v>43197</c:v>
                </c:pt>
                <c:pt idx="767">
                  <c:v>43198</c:v>
                </c:pt>
                <c:pt idx="768">
                  <c:v>43199</c:v>
                </c:pt>
                <c:pt idx="769">
                  <c:v>43200</c:v>
                </c:pt>
                <c:pt idx="770">
                  <c:v>43201</c:v>
                </c:pt>
                <c:pt idx="771">
                  <c:v>43202</c:v>
                </c:pt>
                <c:pt idx="772">
                  <c:v>43203</c:v>
                </c:pt>
                <c:pt idx="773">
                  <c:v>43204</c:v>
                </c:pt>
                <c:pt idx="774">
                  <c:v>43205</c:v>
                </c:pt>
                <c:pt idx="775">
                  <c:v>43206</c:v>
                </c:pt>
                <c:pt idx="776">
                  <c:v>43207</c:v>
                </c:pt>
                <c:pt idx="777">
                  <c:v>43208</c:v>
                </c:pt>
                <c:pt idx="778">
                  <c:v>43209</c:v>
                </c:pt>
                <c:pt idx="779">
                  <c:v>43210</c:v>
                </c:pt>
                <c:pt idx="780">
                  <c:v>43211</c:v>
                </c:pt>
                <c:pt idx="781">
                  <c:v>43212</c:v>
                </c:pt>
                <c:pt idx="782">
                  <c:v>43213</c:v>
                </c:pt>
                <c:pt idx="783">
                  <c:v>43214</c:v>
                </c:pt>
                <c:pt idx="784">
                  <c:v>43215</c:v>
                </c:pt>
                <c:pt idx="785">
                  <c:v>43216</c:v>
                </c:pt>
                <c:pt idx="786">
                  <c:v>43217</c:v>
                </c:pt>
                <c:pt idx="787">
                  <c:v>43218</c:v>
                </c:pt>
                <c:pt idx="788">
                  <c:v>43219</c:v>
                </c:pt>
                <c:pt idx="789">
                  <c:v>43220</c:v>
                </c:pt>
                <c:pt idx="790">
                  <c:v>43221</c:v>
                </c:pt>
                <c:pt idx="791">
                  <c:v>43222</c:v>
                </c:pt>
                <c:pt idx="792">
                  <c:v>43223</c:v>
                </c:pt>
                <c:pt idx="793">
                  <c:v>43224</c:v>
                </c:pt>
                <c:pt idx="794">
                  <c:v>43225</c:v>
                </c:pt>
                <c:pt idx="795">
                  <c:v>43226</c:v>
                </c:pt>
                <c:pt idx="796">
                  <c:v>43227</c:v>
                </c:pt>
                <c:pt idx="797">
                  <c:v>43228</c:v>
                </c:pt>
                <c:pt idx="798">
                  <c:v>43229</c:v>
                </c:pt>
                <c:pt idx="799">
                  <c:v>43230</c:v>
                </c:pt>
                <c:pt idx="800">
                  <c:v>43231</c:v>
                </c:pt>
                <c:pt idx="801">
                  <c:v>43232</c:v>
                </c:pt>
                <c:pt idx="802">
                  <c:v>43233</c:v>
                </c:pt>
                <c:pt idx="803">
                  <c:v>43234</c:v>
                </c:pt>
                <c:pt idx="804">
                  <c:v>43235</c:v>
                </c:pt>
                <c:pt idx="805">
                  <c:v>43236</c:v>
                </c:pt>
                <c:pt idx="806">
                  <c:v>43237</c:v>
                </c:pt>
                <c:pt idx="807">
                  <c:v>43238</c:v>
                </c:pt>
                <c:pt idx="808">
                  <c:v>43239</c:v>
                </c:pt>
                <c:pt idx="809">
                  <c:v>43240</c:v>
                </c:pt>
                <c:pt idx="810">
                  <c:v>43241</c:v>
                </c:pt>
                <c:pt idx="811">
                  <c:v>43242</c:v>
                </c:pt>
                <c:pt idx="812">
                  <c:v>43243</c:v>
                </c:pt>
                <c:pt idx="813">
                  <c:v>43244</c:v>
                </c:pt>
                <c:pt idx="814">
                  <c:v>43245</c:v>
                </c:pt>
                <c:pt idx="815">
                  <c:v>43246</c:v>
                </c:pt>
                <c:pt idx="816">
                  <c:v>43247</c:v>
                </c:pt>
                <c:pt idx="817">
                  <c:v>43248</c:v>
                </c:pt>
                <c:pt idx="818">
                  <c:v>43249</c:v>
                </c:pt>
                <c:pt idx="819">
                  <c:v>43250</c:v>
                </c:pt>
                <c:pt idx="820">
                  <c:v>43251</c:v>
                </c:pt>
                <c:pt idx="821">
                  <c:v>43252</c:v>
                </c:pt>
                <c:pt idx="822">
                  <c:v>43253</c:v>
                </c:pt>
                <c:pt idx="823">
                  <c:v>43254</c:v>
                </c:pt>
                <c:pt idx="824">
                  <c:v>43255</c:v>
                </c:pt>
                <c:pt idx="825">
                  <c:v>43256</c:v>
                </c:pt>
                <c:pt idx="826">
                  <c:v>43257</c:v>
                </c:pt>
                <c:pt idx="827">
                  <c:v>43258</c:v>
                </c:pt>
                <c:pt idx="828">
                  <c:v>43259</c:v>
                </c:pt>
                <c:pt idx="829">
                  <c:v>43260</c:v>
                </c:pt>
                <c:pt idx="830">
                  <c:v>43261</c:v>
                </c:pt>
                <c:pt idx="831">
                  <c:v>43262</c:v>
                </c:pt>
                <c:pt idx="832">
                  <c:v>43263</c:v>
                </c:pt>
                <c:pt idx="833">
                  <c:v>43264</c:v>
                </c:pt>
                <c:pt idx="834">
                  <c:v>43265</c:v>
                </c:pt>
                <c:pt idx="835">
                  <c:v>43266</c:v>
                </c:pt>
                <c:pt idx="836">
                  <c:v>43267</c:v>
                </c:pt>
                <c:pt idx="837">
                  <c:v>43268</c:v>
                </c:pt>
                <c:pt idx="838">
                  <c:v>43269</c:v>
                </c:pt>
                <c:pt idx="839">
                  <c:v>43270</c:v>
                </c:pt>
                <c:pt idx="840">
                  <c:v>43271</c:v>
                </c:pt>
                <c:pt idx="841">
                  <c:v>43272</c:v>
                </c:pt>
                <c:pt idx="842">
                  <c:v>43273</c:v>
                </c:pt>
                <c:pt idx="843">
                  <c:v>43274</c:v>
                </c:pt>
                <c:pt idx="844">
                  <c:v>43275</c:v>
                </c:pt>
                <c:pt idx="845">
                  <c:v>43276</c:v>
                </c:pt>
                <c:pt idx="846">
                  <c:v>43277</c:v>
                </c:pt>
                <c:pt idx="847">
                  <c:v>43278</c:v>
                </c:pt>
                <c:pt idx="848">
                  <c:v>43279</c:v>
                </c:pt>
                <c:pt idx="849">
                  <c:v>43280</c:v>
                </c:pt>
                <c:pt idx="850">
                  <c:v>43281</c:v>
                </c:pt>
                <c:pt idx="851">
                  <c:v>43282</c:v>
                </c:pt>
                <c:pt idx="852">
                  <c:v>43283</c:v>
                </c:pt>
                <c:pt idx="853">
                  <c:v>43284</c:v>
                </c:pt>
                <c:pt idx="854">
                  <c:v>43285</c:v>
                </c:pt>
                <c:pt idx="855">
                  <c:v>43286</c:v>
                </c:pt>
                <c:pt idx="856">
                  <c:v>43287</c:v>
                </c:pt>
                <c:pt idx="857">
                  <c:v>43288</c:v>
                </c:pt>
                <c:pt idx="858">
                  <c:v>43289</c:v>
                </c:pt>
                <c:pt idx="859">
                  <c:v>43290</c:v>
                </c:pt>
                <c:pt idx="860">
                  <c:v>43291</c:v>
                </c:pt>
                <c:pt idx="861">
                  <c:v>43292</c:v>
                </c:pt>
                <c:pt idx="862">
                  <c:v>43293</c:v>
                </c:pt>
                <c:pt idx="863">
                  <c:v>43294</c:v>
                </c:pt>
                <c:pt idx="864">
                  <c:v>43295</c:v>
                </c:pt>
                <c:pt idx="865">
                  <c:v>43296</c:v>
                </c:pt>
                <c:pt idx="866">
                  <c:v>43297</c:v>
                </c:pt>
                <c:pt idx="867">
                  <c:v>43298</c:v>
                </c:pt>
                <c:pt idx="868">
                  <c:v>43299</c:v>
                </c:pt>
                <c:pt idx="869">
                  <c:v>43300</c:v>
                </c:pt>
                <c:pt idx="870">
                  <c:v>43301</c:v>
                </c:pt>
                <c:pt idx="871">
                  <c:v>43302</c:v>
                </c:pt>
                <c:pt idx="872">
                  <c:v>43303</c:v>
                </c:pt>
                <c:pt idx="873">
                  <c:v>43304</c:v>
                </c:pt>
                <c:pt idx="874">
                  <c:v>43305</c:v>
                </c:pt>
                <c:pt idx="875">
                  <c:v>43306</c:v>
                </c:pt>
                <c:pt idx="876">
                  <c:v>43307</c:v>
                </c:pt>
                <c:pt idx="877">
                  <c:v>43308</c:v>
                </c:pt>
                <c:pt idx="878">
                  <c:v>43309</c:v>
                </c:pt>
                <c:pt idx="879">
                  <c:v>43310</c:v>
                </c:pt>
                <c:pt idx="880">
                  <c:v>43311</c:v>
                </c:pt>
                <c:pt idx="881">
                  <c:v>43312</c:v>
                </c:pt>
                <c:pt idx="882">
                  <c:v>43313</c:v>
                </c:pt>
                <c:pt idx="883">
                  <c:v>43314</c:v>
                </c:pt>
                <c:pt idx="884">
                  <c:v>43315</c:v>
                </c:pt>
                <c:pt idx="885">
                  <c:v>43316</c:v>
                </c:pt>
                <c:pt idx="886">
                  <c:v>43317</c:v>
                </c:pt>
                <c:pt idx="887">
                  <c:v>43318</c:v>
                </c:pt>
                <c:pt idx="888">
                  <c:v>43319</c:v>
                </c:pt>
                <c:pt idx="889">
                  <c:v>43320</c:v>
                </c:pt>
                <c:pt idx="890">
                  <c:v>43321</c:v>
                </c:pt>
                <c:pt idx="891">
                  <c:v>43322</c:v>
                </c:pt>
                <c:pt idx="892">
                  <c:v>43323</c:v>
                </c:pt>
                <c:pt idx="893">
                  <c:v>43324</c:v>
                </c:pt>
                <c:pt idx="894">
                  <c:v>43325</c:v>
                </c:pt>
                <c:pt idx="895">
                  <c:v>43326</c:v>
                </c:pt>
                <c:pt idx="896">
                  <c:v>43327</c:v>
                </c:pt>
                <c:pt idx="897">
                  <c:v>43328</c:v>
                </c:pt>
                <c:pt idx="898">
                  <c:v>43329</c:v>
                </c:pt>
                <c:pt idx="899">
                  <c:v>43330</c:v>
                </c:pt>
                <c:pt idx="900">
                  <c:v>43331</c:v>
                </c:pt>
                <c:pt idx="901">
                  <c:v>43332</c:v>
                </c:pt>
                <c:pt idx="902">
                  <c:v>43333</c:v>
                </c:pt>
                <c:pt idx="903">
                  <c:v>43334</c:v>
                </c:pt>
                <c:pt idx="904">
                  <c:v>43335</c:v>
                </c:pt>
                <c:pt idx="905">
                  <c:v>43336</c:v>
                </c:pt>
                <c:pt idx="906">
                  <c:v>43337</c:v>
                </c:pt>
                <c:pt idx="907">
                  <c:v>43338</c:v>
                </c:pt>
                <c:pt idx="908">
                  <c:v>43339</c:v>
                </c:pt>
                <c:pt idx="909">
                  <c:v>43340</c:v>
                </c:pt>
                <c:pt idx="910">
                  <c:v>43341</c:v>
                </c:pt>
                <c:pt idx="911">
                  <c:v>43342</c:v>
                </c:pt>
                <c:pt idx="912">
                  <c:v>43343</c:v>
                </c:pt>
                <c:pt idx="913">
                  <c:v>43344</c:v>
                </c:pt>
                <c:pt idx="914">
                  <c:v>43345</c:v>
                </c:pt>
                <c:pt idx="915">
                  <c:v>43346</c:v>
                </c:pt>
                <c:pt idx="916">
                  <c:v>43347</c:v>
                </c:pt>
                <c:pt idx="917">
                  <c:v>43348</c:v>
                </c:pt>
                <c:pt idx="918">
                  <c:v>43349</c:v>
                </c:pt>
                <c:pt idx="919">
                  <c:v>43350</c:v>
                </c:pt>
                <c:pt idx="920">
                  <c:v>43351</c:v>
                </c:pt>
                <c:pt idx="921">
                  <c:v>43352</c:v>
                </c:pt>
                <c:pt idx="922">
                  <c:v>43353</c:v>
                </c:pt>
                <c:pt idx="923">
                  <c:v>43354</c:v>
                </c:pt>
                <c:pt idx="924">
                  <c:v>43355</c:v>
                </c:pt>
                <c:pt idx="925">
                  <c:v>43356</c:v>
                </c:pt>
                <c:pt idx="926">
                  <c:v>43357</c:v>
                </c:pt>
                <c:pt idx="927">
                  <c:v>43358</c:v>
                </c:pt>
                <c:pt idx="928">
                  <c:v>43359</c:v>
                </c:pt>
                <c:pt idx="929">
                  <c:v>43360</c:v>
                </c:pt>
                <c:pt idx="930">
                  <c:v>43361</c:v>
                </c:pt>
                <c:pt idx="931">
                  <c:v>43362</c:v>
                </c:pt>
                <c:pt idx="932">
                  <c:v>43363</c:v>
                </c:pt>
                <c:pt idx="933">
                  <c:v>43364</c:v>
                </c:pt>
                <c:pt idx="934">
                  <c:v>43365</c:v>
                </c:pt>
                <c:pt idx="935">
                  <c:v>43366</c:v>
                </c:pt>
                <c:pt idx="936">
                  <c:v>43367</c:v>
                </c:pt>
                <c:pt idx="937">
                  <c:v>43368</c:v>
                </c:pt>
                <c:pt idx="938">
                  <c:v>43369</c:v>
                </c:pt>
                <c:pt idx="939">
                  <c:v>43370</c:v>
                </c:pt>
                <c:pt idx="940">
                  <c:v>43371</c:v>
                </c:pt>
                <c:pt idx="941">
                  <c:v>43372</c:v>
                </c:pt>
                <c:pt idx="942">
                  <c:v>43373</c:v>
                </c:pt>
                <c:pt idx="943">
                  <c:v>43374</c:v>
                </c:pt>
                <c:pt idx="944">
                  <c:v>43375</c:v>
                </c:pt>
                <c:pt idx="945">
                  <c:v>43376</c:v>
                </c:pt>
                <c:pt idx="946">
                  <c:v>43377</c:v>
                </c:pt>
                <c:pt idx="947">
                  <c:v>43378</c:v>
                </c:pt>
                <c:pt idx="948">
                  <c:v>43379</c:v>
                </c:pt>
                <c:pt idx="949">
                  <c:v>43380</c:v>
                </c:pt>
                <c:pt idx="950">
                  <c:v>43381</c:v>
                </c:pt>
                <c:pt idx="951">
                  <c:v>43382</c:v>
                </c:pt>
                <c:pt idx="952">
                  <c:v>43383</c:v>
                </c:pt>
                <c:pt idx="953">
                  <c:v>43384</c:v>
                </c:pt>
                <c:pt idx="954">
                  <c:v>43385</c:v>
                </c:pt>
                <c:pt idx="955">
                  <c:v>43386</c:v>
                </c:pt>
                <c:pt idx="956">
                  <c:v>43387</c:v>
                </c:pt>
                <c:pt idx="957">
                  <c:v>43388</c:v>
                </c:pt>
                <c:pt idx="958">
                  <c:v>43389</c:v>
                </c:pt>
                <c:pt idx="959">
                  <c:v>43390</c:v>
                </c:pt>
                <c:pt idx="960">
                  <c:v>43391</c:v>
                </c:pt>
                <c:pt idx="961">
                  <c:v>43392</c:v>
                </c:pt>
                <c:pt idx="962">
                  <c:v>43393</c:v>
                </c:pt>
                <c:pt idx="963">
                  <c:v>43394</c:v>
                </c:pt>
                <c:pt idx="964">
                  <c:v>43395</c:v>
                </c:pt>
                <c:pt idx="965">
                  <c:v>43396</c:v>
                </c:pt>
                <c:pt idx="966">
                  <c:v>43397</c:v>
                </c:pt>
                <c:pt idx="967">
                  <c:v>43398</c:v>
                </c:pt>
                <c:pt idx="968">
                  <c:v>43399</c:v>
                </c:pt>
                <c:pt idx="969">
                  <c:v>43400</c:v>
                </c:pt>
                <c:pt idx="970">
                  <c:v>43401</c:v>
                </c:pt>
                <c:pt idx="971">
                  <c:v>43402</c:v>
                </c:pt>
                <c:pt idx="972">
                  <c:v>43403</c:v>
                </c:pt>
                <c:pt idx="973">
                  <c:v>43404</c:v>
                </c:pt>
                <c:pt idx="974">
                  <c:v>43405</c:v>
                </c:pt>
                <c:pt idx="975">
                  <c:v>43406</c:v>
                </c:pt>
                <c:pt idx="976">
                  <c:v>43407</c:v>
                </c:pt>
                <c:pt idx="977">
                  <c:v>43408</c:v>
                </c:pt>
                <c:pt idx="978">
                  <c:v>43409</c:v>
                </c:pt>
                <c:pt idx="979">
                  <c:v>43410</c:v>
                </c:pt>
                <c:pt idx="980">
                  <c:v>43411</c:v>
                </c:pt>
                <c:pt idx="981">
                  <c:v>43412</c:v>
                </c:pt>
                <c:pt idx="982">
                  <c:v>43413</c:v>
                </c:pt>
                <c:pt idx="983">
                  <c:v>43414</c:v>
                </c:pt>
                <c:pt idx="984">
                  <c:v>43415</c:v>
                </c:pt>
                <c:pt idx="985">
                  <c:v>43416</c:v>
                </c:pt>
                <c:pt idx="986">
                  <c:v>43417</c:v>
                </c:pt>
                <c:pt idx="987">
                  <c:v>43418</c:v>
                </c:pt>
                <c:pt idx="988">
                  <c:v>43419</c:v>
                </c:pt>
                <c:pt idx="989">
                  <c:v>43420</c:v>
                </c:pt>
                <c:pt idx="990">
                  <c:v>43421</c:v>
                </c:pt>
                <c:pt idx="991">
                  <c:v>43422</c:v>
                </c:pt>
                <c:pt idx="992">
                  <c:v>43423</c:v>
                </c:pt>
                <c:pt idx="993">
                  <c:v>43424</c:v>
                </c:pt>
                <c:pt idx="994">
                  <c:v>43425</c:v>
                </c:pt>
                <c:pt idx="995">
                  <c:v>43426</c:v>
                </c:pt>
                <c:pt idx="996">
                  <c:v>43427</c:v>
                </c:pt>
                <c:pt idx="997">
                  <c:v>43428</c:v>
                </c:pt>
                <c:pt idx="998">
                  <c:v>43429</c:v>
                </c:pt>
                <c:pt idx="999">
                  <c:v>43430</c:v>
                </c:pt>
                <c:pt idx="1000">
                  <c:v>43431</c:v>
                </c:pt>
                <c:pt idx="1001">
                  <c:v>43432</c:v>
                </c:pt>
                <c:pt idx="1002">
                  <c:v>43433</c:v>
                </c:pt>
                <c:pt idx="1003">
                  <c:v>43434</c:v>
                </c:pt>
                <c:pt idx="1004">
                  <c:v>43435</c:v>
                </c:pt>
                <c:pt idx="1005">
                  <c:v>43436</c:v>
                </c:pt>
                <c:pt idx="1006">
                  <c:v>43437</c:v>
                </c:pt>
                <c:pt idx="1007">
                  <c:v>43438</c:v>
                </c:pt>
                <c:pt idx="1008">
                  <c:v>43439</c:v>
                </c:pt>
                <c:pt idx="1009">
                  <c:v>43440</c:v>
                </c:pt>
                <c:pt idx="1010">
                  <c:v>43441</c:v>
                </c:pt>
                <c:pt idx="1011">
                  <c:v>43442</c:v>
                </c:pt>
                <c:pt idx="1012">
                  <c:v>43443</c:v>
                </c:pt>
                <c:pt idx="1013">
                  <c:v>43444</c:v>
                </c:pt>
                <c:pt idx="1014">
                  <c:v>43445</c:v>
                </c:pt>
                <c:pt idx="1015">
                  <c:v>43446</c:v>
                </c:pt>
                <c:pt idx="1016">
                  <c:v>43447</c:v>
                </c:pt>
                <c:pt idx="1017">
                  <c:v>43448</c:v>
                </c:pt>
                <c:pt idx="1018">
                  <c:v>43449</c:v>
                </c:pt>
                <c:pt idx="1019">
                  <c:v>43450</c:v>
                </c:pt>
                <c:pt idx="1020">
                  <c:v>43451</c:v>
                </c:pt>
                <c:pt idx="1021">
                  <c:v>43452</c:v>
                </c:pt>
                <c:pt idx="1022">
                  <c:v>43453</c:v>
                </c:pt>
                <c:pt idx="1023">
                  <c:v>43454</c:v>
                </c:pt>
                <c:pt idx="1024">
                  <c:v>43455</c:v>
                </c:pt>
                <c:pt idx="1025">
                  <c:v>43456</c:v>
                </c:pt>
                <c:pt idx="1026">
                  <c:v>43457</c:v>
                </c:pt>
                <c:pt idx="1027">
                  <c:v>43458</c:v>
                </c:pt>
                <c:pt idx="1028">
                  <c:v>43459</c:v>
                </c:pt>
                <c:pt idx="1029">
                  <c:v>43460</c:v>
                </c:pt>
                <c:pt idx="1030">
                  <c:v>43461</c:v>
                </c:pt>
                <c:pt idx="1031">
                  <c:v>43462</c:v>
                </c:pt>
                <c:pt idx="1032">
                  <c:v>43463</c:v>
                </c:pt>
                <c:pt idx="1033">
                  <c:v>43464</c:v>
                </c:pt>
                <c:pt idx="1034">
                  <c:v>43465</c:v>
                </c:pt>
                <c:pt idx="1035">
                  <c:v>43466</c:v>
                </c:pt>
                <c:pt idx="1036">
                  <c:v>43467</c:v>
                </c:pt>
                <c:pt idx="1037">
                  <c:v>43468</c:v>
                </c:pt>
                <c:pt idx="1038">
                  <c:v>43469</c:v>
                </c:pt>
                <c:pt idx="1039">
                  <c:v>43470</c:v>
                </c:pt>
                <c:pt idx="1040">
                  <c:v>43471</c:v>
                </c:pt>
                <c:pt idx="1041">
                  <c:v>43472</c:v>
                </c:pt>
                <c:pt idx="1042">
                  <c:v>43473</c:v>
                </c:pt>
                <c:pt idx="1043">
                  <c:v>43474</c:v>
                </c:pt>
                <c:pt idx="1044">
                  <c:v>43475</c:v>
                </c:pt>
                <c:pt idx="1045">
                  <c:v>43476</c:v>
                </c:pt>
                <c:pt idx="1046">
                  <c:v>43477</c:v>
                </c:pt>
                <c:pt idx="1047">
                  <c:v>43478</c:v>
                </c:pt>
                <c:pt idx="1048">
                  <c:v>43479</c:v>
                </c:pt>
                <c:pt idx="1049">
                  <c:v>43480</c:v>
                </c:pt>
                <c:pt idx="1050">
                  <c:v>43481</c:v>
                </c:pt>
                <c:pt idx="1051">
                  <c:v>43482</c:v>
                </c:pt>
                <c:pt idx="1052">
                  <c:v>43483</c:v>
                </c:pt>
                <c:pt idx="1053">
                  <c:v>43484</c:v>
                </c:pt>
                <c:pt idx="1054">
                  <c:v>43485</c:v>
                </c:pt>
                <c:pt idx="1055">
                  <c:v>43486</c:v>
                </c:pt>
                <c:pt idx="1056">
                  <c:v>43487</c:v>
                </c:pt>
                <c:pt idx="1057">
                  <c:v>43488</c:v>
                </c:pt>
                <c:pt idx="1058">
                  <c:v>43489</c:v>
                </c:pt>
                <c:pt idx="1059">
                  <c:v>43490</c:v>
                </c:pt>
                <c:pt idx="1060">
                  <c:v>43491</c:v>
                </c:pt>
                <c:pt idx="1061">
                  <c:v>43492</c:v>
                </c:pt>
                <c:pt idx="1062">
                  <c:v>43493</c:v>
                </c:pt>
                <c:pt idx="1063">
                  <c:v>43494</c:v>
                </c:pt>
                <c:pt idx="1064">
                  <c:v>43495</c:v>
                </c:pt>
                <c:pt idx="1065">
                  <c:v>43496</c:v>
                </c:pt>
                <c:pt idx="1066">
                  <c:v>43497</c:v>
                </c:pt>
                <c:pt idx="1067">
                  <c:v>43498</c:v>
                </c:pt>
                <c:pt idx="1068">
                  <c:v>43499</c:v>
                </c:pt>
                <c:pt idx="1069">
                  <c:v>43500</c:v>
                </c:pt>
                <c:pt idx="1070">
                  <c:v>43501</c:v>
                </c:pt>
                <c:pt idx="1071">
                  <c:v>43502</c:v>
                </c:pt>
                <c:pt idx="1072">
                  <c:v>43503</c:v>
                </c:pt>
                <c:pt idx="1073">
                  <c:v>43504</c:v>
                </c:pt>
                <c:pt idx="1074">
                  <c:v>43505</c:v>
                </c:pt>
                <c:pt idx="1075">
                  <c:v>43506</c:v>
                </c:pt>
                <c:pt idx="1076">
                  <c:v>43507</c:v>
                </c:pt>
                <c:pt idx="1077">
                  <c:v>43508</c:v>
                </c:pt>
                <c:pt idx="1078">
                  <c:v>43509</c:v>
                </c:pt>
                <c:pt idx="1079">
                  <c:v>43510</c:v>
                </c:pt>
                <c:pt idx="1080">
                  <c:v>43511</c:v>
                </c:pt>
                <c:pt idx="1081">
                  <c:v>43512</c:v>
                </c:pt>
                <c:pt idx="1082">
                  <c:v>43513</c:v>
                </c:pt>
                <c:pt idx="1083">
                  <c:v>43514</c:v>
                </c:pt>
                <c:pt idx="1084">
                  <c:v>43515</c:v>
                </c:pt>
                <c:pt idx="1085">
                  <c:v>43516</c:v>
                </c:pt>
                <c:pt idx="1086">
                  <c:v>43517</c:v>
                </c:pt>
                <c:pt idx="1087">
                  <c:v>43518</c:v>
                </c:pt>
                <c:pt idx="1088">
                  <c:v>43519</c:v>
                </c:pt>
                <c:pt idx="1089">
                  <c:v>43520</c:v>
                </c:pt>
                <c:pt idx="1090">
                  <c:v>43521</c:v>
                </c:pt>
                <c:pt idx="1091">
                  <c:v>43522</c:v>
                </c:pt>
                <c:pt idx="1092">
                  <c:v>43523</c:v>
                </c:pt>
                <c:pt idx="1093">
                  <c:v>43524</c:v>
                </c:pt>
                <c:pt idx="1094">
                  <c:v>43525</c:v>
                </c:pt>
                <c:pt idx="1095">
                  <c:v>43526</c:v>
                </c:pt>
                <c:pt idx="1096">
                  <c:v>43527</c:v>
                </c:pt>
                <c:pt idx="1097">
                  <c:v>43528</c:v>
                </c:pt>
                <c:pt idx="1098">
                  <c:v>43529</c:v>
                </c:pt>
                <c:pt idx="1099">
                  <c:v>43530</c:v>
                </c:pt>
                <c:pt idx="1100">
                  <c:v>43531</c:v>
                </c:pt>
                <c:pt idx="1101">
                  <c:v>43532</c:v>
                </c:pt>
                <c:pt idx="1102">
                  <c:v>43533</c:v>
                </c:pt>
                <c:pt idx="1103">
                  <c:v>43534</c:v>
                </c:pt>
                <c:pt idx="1104">
                  <c:v>43535</c:v>
                </c:pt>
                <c:pt idx="1105">
                  <c:v>43536</c:v>
                </c:pt>
                <c:pt idx="1106">
                  <c:v>43537</c:v>
                </c:pt>
                <c:pt idx="1107">
                  <c:v>43538</c:v>
                </c:pt>
                <c:pt idx="1108">
                  <c:v>43539</c:v>
                </c:pt>
                <c:pt idx="1109">
                  <c:v>43540</c:v>
                </c:pt>
                <c:pt idx="1110">
                  <c:v>43541</c:v>
                </c:pt>
                <c:pt idx="1111">
                  <c:v>43542</c:v>
                </c:pt>
                <c:pt idx="1112">
                  <c:v>43543</c:v>
                </c:pt>
                <c:pt idx="1113">
                  <c:v>43544</c:v>
                </c:pt>
                <c:pt idx="1114">
                  <c:v>43545</c:v>
                </c:pt>
                <c:pt idx="1115">
                  <c:v>43546</c:v>
                </c:pt>
                <c:pt idx="1116">
                  <c:v>43547</c:v>
                </c:pt>
                <c:pt idx="1117">
                  <c:v>43548</c:v>
                </c:pt>
                <c:pt idx="1118">
                  <c:v>43549</c:v>
                </c:pt>
                <c:pt idx="1119">
                  <c:v>43550</c:v>
                </c:pt>
                <c:pt idx="1120">
                  <c:v>43551</c:v>
                </c:pt>
                <c:pt idx="1121">
                  <c:v>43552</c:v>
                </c:pt>
                <c:pt idx="1122">
                  <c:v>43553</c:v>
                </c:pt>
                <c:pt idx="1123">
                  <c:v>43554</c:v>
                </c:pt>
                <c:pt idx="1124">
                  <c:v>43555</c:v>
                </c:pt>
                <c:pt idx="1125">
                  <c:v>43556</c:v>
                </c:pt>
                <c:pt idx="1126">
                  <c:v>43557</c:v>
                </c:pt>
                <c:pt idx="1127">
                  <c:v>43558</c:v>
                </c:pt>
                <c:pt idx="1128">
                  <c:v>43559</c:v>
                </c:pt>
                <c:pt idx="1129">
                  <c:v>43560</c:v>
                </c:pt>
                <c:pt idx="1130">
                  <c:v>43561</c:v>
                </c:pt>
                <c:pt idx="1131">
                  <c:v>43562</c:v>
                </c:pt>
                <c:pt idx="1132">
                  <c:v>43563</c:v>
                </c:pt>
                <c:pt idx="1133">
                  <c:v>43564</c:v>
                </c:pt>
                <c:pt idx="1134">
                  <c:v>43565</c:v>
                </c:pt>
                <c:pt idx="1135">
                  <c:v>43566</c:v>
                </c:pt>
                <c:pt idx="1136">
                  <c:v>43567</c:v>
                </c:pt>
                <c:pt idx="1137">
                  <c:v>43568</c:v>
                </c:pt>
                <c:pt idx="1138">
                  <c:v>43569</c:v>
                </c:pt>
                <c:pt idx="1139">
                  <c:v>43570</c:v>
                </c:pt>
                <c:pt idx="1140">
                  <c:v>43571</c:v>
                </c:pt>
                <c:pt idx="1141">
                  <c:v>43572</c:v>
                </c:pt>
                <c:pt idx="1142">
                  <c:v>43573</c:v>
                </c:pt>
                <c:pt idx="1143">
                  <c:v>43574</c:v>
                </c:pt>
                <c:pt idx="1144">
                  <c:v>43575</c:v>
                </c:pt>
                <c:pt idx="1145">
                  <c:v>43576</c:v>
                </c:pt>
                <c:pt idx="1146">
                  <c:v>43577</c:v>
                </c:pt>
                <c:pt idx="1147">
                  <c:v>43578</c:v>
                </c:pt>
                <c:pt idx="1148">
                  <c:v>43579</c:v>
                </c:pt>
                <c:pt idx="1149">
                  <c:v>43580</c:v>
                </c:pt>
                <c:pt idx="1150">
                  <c:v>43581</c:v>
                </c:pt>
                <c:pt idx="1151">
                  <c:v>43582</c:v>
                </c:pt>
                <c:pt idx="1152">
                  <c:v>43583</c:v>
                </c:pt>
                <c:pt idx="1153">
                  <c:v>43584</c:v>
                </c:pt>
                <c:pt idx="1154">
                  <c:v>43585</c:v>
                </c:pt>
                <c:pt idx="1155">
                  <c:v>43586</c:v>
                </c:pt>
                <c:pt idx="1156">
                  <c:v>43587</c:v>
                </c:pt>
                <c:pt idx="1157">
                  <c:v>43588</c:v>
                </c:pt>
                <c:pt idx="1158">
                  <c:v>43589</c:v>
                </c:pt>
                <c:pt idx="1159">
                  <c:v>43590</c:v>
                </c:pt>
                <c:pt idx="1160">
                  <c:v>43591</c:v>
                </c:pt>
                <c:pt idx="1161">
                  <c:v>43592</c:v>
                </c:pt>
                <c:pt idx="1162">
                  <c:v>43593</c:v>
                </c:pt>
                <c:pt idx="1163">
                  <c:v>43594</c:v>
                </c:pt>
                <c:pt idx="1164">
                  <c:v>43595</c:v>
                </c:pt>
                <c:pt idx="1165">
                  <c:v>43596</c:v>
                </c:pt>
                <c:pt idx="1166">
                  <c:v>43597</c:v>
                </c:pt>
                <c:pt idx="1167">
                  <c:v>43598</c:v>
                </c:pt>
                <c:pt idx="1168">
                  <c:v>43599</c:v>
                </c:pt>
                <c:pt idx="1169">
                  <c:v>43600</c:v>
                </c:pt>
                <c:pt idx="1170">
                  <c:v>43601</c:v>
                </c:pt>
                <c:pt idx="1171">
                  <c:v>43602</c:v>
                </c:pt>
                <c:pt idx="1172">
                  <c:v>43603</c:v>
                </c:pt>
                <c:pt idx="1173">
                  <c:v>43604</c:v>
                </c:pt>
                <c:pt idx="1174">
                  <c:v>43605</c:v>
                </c:pt>
                <c:pt idx="1175">
                  <c:v>43606</c:v>
                </c:pt>
                <c:pt idx="1176">
                  <c:v>43607</c:v>
                </c:pt>
                <c:pt idx="1177">
                  <c:v>43608</c:v>
                </c:pt>
                <c:pt idx="1178">
                  <c:v>43609</c:v>
                </c:pt>
                <c:pt idx="1179">
                  <c:v>43610</c:v>
                </c:pt>
                <c:pt idx="1180">
                  <c:v>43611</c:v>
                </c:pt>
                <c:pt idx="1181">
                  <c:v>43612</c:v>
                </c:pt>
                <c:pt idx="1182">
                  <c:v>43613</c:v>
                </c:pt>
                <c:pt idx="1183">
                  <c:v>43614</c:v>
                </c:pt>
                <c:pt idx="1184">
                  <c:v>43615</c:v>
                </c:pt>
                <c:pt idx="1185">
                  <c:v>43616</c:v>
                </c:pt>
                <c:pt idx="1186">
                  <c:v>43617</c:v>
                </c:pt>
                <c:pt idx="1187">
                  <c:v>43618</c:v>
                </c:pt>
                <c:pt idx="1188">
                  <c:v>43619</c:v>
                </c:pt>
                <c:pt idx="1189">
                  <c:v>43620</c:v>
                </c:pt>
                <c:pt idx="1190">
                  <c:v>43621</c:v>
                </c:pt>
                <c:pt idx="1191">
                  <c:v>43622</c:v>
                </c:pt>
                <c:pt idx="1192">
                  <c:v>43623</c:v>
                </c:pt>
                <c:pt idx="1193">
                  <c:v>43624</c:v>
                </c:pt>
                <c:pt idx="1194">
                  <c:v>43625</c:v>
                </c:pt>
                <c:pt idx="1195">
                  <c:v>43626</c:v>
                </c:pt>
                <c:pt idx="1196">
                  <c:v>43627</c:v>
                </c:pt>
                <c:pt idx="1197">
                  <c:v>43628</c:v>
                </c:pt>
                <c:pt idx="1198">
                  <c:v>43629</c:v>
                </c:pt>
                <c:pt idx="1199">
                  <c:v>43630</c:v>
                </c:pt>
                <c:pt idx="1200">
                  <c:v>43631</c:v>
                </c:pt>
                <c:pt idx="1201">
                  <c:v>43632</c:v>
                </c:pt>
                <c:pt idx="1202">
                  <c:v>43633</c:v>
                </c:pt>
                <c:pt idx="1203">
                  <c:v>43634</c:v>
                </c:pt>
                <c:pt idx="1204">
                  <c:v>43635</c:v>
                </c:pt>
                <c:pt idx="1205">
                  <c:v>43636</c:v>
                </c:pt>
                <c:pt idx="1206">
                  <c:v>43637</c:v>
                </c:pt>
                <c:pt idx="1207">
                  <c:v>43638</c:v>
                </c:pt>
                <c:pt idx="1208">
                  <c:v>43639</c:v>
                </c:pt>
                <c:pt idx="1209">
                  <c:v>43640</c:v>
                </c:pt>
                <c:pt idx="1210">
                  <c:v>43641</c:v>
                </c:pt>
                <c:pt idx="1211">
                  <c:v>43642</c:v>
                </c:pt>
                <c:pt idx="1212">
                  <c:v>43643</c:v>
                </c:pt>
                <c:pt idx="1213">
                  <c:v>43644</c:v>
                </c:pt>
                <c:pt idx="1214">
                  <c:v>43645</c:v>
                </c:pt>
                <c:pt idx="1215">
                  <c:v>43646</c:v>
                </c:pt>
                <c:pt idx="1216">
                  <c:v>43647</c:v>
                </c:pt>
                <c:pt idx="1217">
                  <c:v>43648</c:v>
                </c:pt>
                <c:pt idx="1218">
                  <c:v>43649</c:v>
                </c:pt>
                <c:pt idx="1219">
                  <c:v>43650</c:v>
                </c:pt>
                <c:pt idx="1220">
                  <c:v>43651</c:v>
                </c:pt>
                <c:pt idx="1221">
                  <c:v>43652</c:v>
                </c:pt>
                <c:pt idx="1222">
                  <c:v>43653</c:v>
                </c:pt>
                <c:pt idx="1223">
                  <c:v>43654</c:v>
                </c:pt>
                <c:pt idx="1224">
                  <c:v>43655</c:v>
                </c:pt>
                <c:pt idx="1225">
                  <c:v>43656</c:v>
                </c:pt>
                <c:pt idx="1226">
                  <c:v>43657</c:v>
                </c:pt>
                <c:pt idx="1227">
                  <c:v>43658</c:v>
                </c:pt>
                <c:pt idx="1228">
                  <c:v>43659</c:v>
                </c:pt>
                <c:pt idx="1229">
                  <c:v>43660</c:v>
                </c:pt>
                <c:pt idx="1230">
                  <c:v>43661</c:v>
                </c:pt>
                <c:pt idx="1231">
                  <c:v>43662</c:v>
                </c:pt>
                <c:pt idx="1232">
                  <c:v>43663</c:v>
                </c:pt>
                <c:pt idx="1233">
                  <c:v>43664</c:v>
                </c:pt>
                <c:pt idx="1234">
                  <c:v>43665</c:v>
                </c:pt>
                <c:pt idx="1235">
                  <c:v>43666</c:v>
                </c:pt>
                <c:pt idx="1236">
                  <c:v>43667</c:v>
                </c:pt>
                <c:pt idx="1237">
                  <c:v>43668</c:v>
                </c:pt>
                <c:pt idx="1238">
                  <c:v>43669</c:v>
                </c:pt>
                <c:pt idx="1239">
                  <c:v>43670</c:v>
                </c:pt>
                <c:pt idx="1240">
                  <c:v>43671</c:v>
                </c:pt>
                <c:pt idx="1241">
                  <c:v>43672</c:v>
                </c:pt>
                <c:pt idx="1242">
                  <c:v>43673</c:v>
                </c:pt>
                <c:pt idx="1243">
                  <c:v>43674</c:v>
                </c:pt>
                <c:pt idx="1244">
                  <c:v>43675</c:v>
                </c:pt>
                <c:pt idx="1245">
                  <c:v>43676</c:v>
                </c:pt>
                <c:pt idx="1246">
                  <c:v>43677</c:v>
                </c:pt>
                <c:pt idx="1247">
                  <c:v>43678</c:v>
                </c:pt>
                <c:pt idx="1248">
                  <c:v>43679</c:v>
                </c:pt>
                <c:pt idx="1249">
                  <c:v>43680</c:v>
                </c:pt>
                <c:pt idx="1250">
                  <c:v>43681</c:v>
                </c:pt>
                <c:pt idx="1251">
                  <c:v>43682</c:v>
                </c:pt>
                <c:pt idx="1252">
                  <c:v>43683</c:v>
                </c:pt>
                <c:pt idx="1253">
                  <c:v>43684</c:v>
                </c:pt>
                <c:pt idx="1254">
                  <c:v>43685</c:v>
                </c:pt>
                <c:pt idx="1255">
                  <c:v>43686</c:v>
                </c:pt>
                <c:pt idx="1256">
                  <c:v>43687</c:v>
                </c:pt>
                <c:pt idx="1257">
                  <c:v>43688</c:v>
                </c:pt>
                <c:pt idx="1258">
                  <c:v>43689</c:v>
                </c:pt>
                <c:pt idx="1259">
                  <c:v>43690</c:v>
                </c:pt>
                <c:pt idx="1260">
                  <c:v>43691</c:v>
                </c:pt>
                <c:pt idx="1261">
                  <c:v>43692</c:v>
                </c:pt>
                <c:pt idx="1262">
                  <c:v>43693</c:v>
                </c:pt>
                <c:pt idx="1263">
                  <c:v>43694</c:v>
                </c:pt>
                <c:pt idx="1264">
                  <c:v>43695</c:v>
                </c:pt>
                <c:pt idx="1265">
                  <c:v>43696</c:v>
                </c:pt>
                <c:pt idx="1266">
                  <c:v>43697</c:v>
                </c:pt>
                <c:pt idx="1267">
                  <c:v>43698</c:v>
                </c:pt>
                <c:pt idx="1268">
                  <c:v>43699</c:v>
                </c:pt>
                <c:pt idx="1269">
                  <c:v>43700</c:v>
                </c:pt>
                <c:pt idx="1270">
                  <c:v>43701</c:v>
                </c:pt>
                <c:pt idx="1271">
                  <c:v>43702</c:v>
                </c:pt>
                <c:pt idx="1272">
                  <c:v>43703</c:v>
                </c:pt>
                <c:pt idx="1273">
                  <c:v>43704</c:v>
                </c:pt>
                <c:pt idx="1274">
                  <c:v>43705</c:v>
                </c:pt>
                <c:pt idx="1275">
                  <c:v>43706</c:v>
                </c:pt>
                <c:pt idx="1276">
                  <c:v>43707</c:v>
                </c:pt>
                <c:pt idx="1277">
                  <c:v>43708</c:v>
                </c:pt>
                <c:pt idx="1278">
                  <c:v>43709</c:v>
                </c:pt>
                <c:pt idx="1279">
                  <c:v>43710</c:v>
                </c:pt>
                <c:pt idx="1280">
                  <c:v>43711</c:v>
                </c:pt>
                <c:pt idx="1281">
                  <c:v>43712</c:v>
                </c:pt>
                <c:pt idx="1282">
                  <c:v>43713</c:v>
                </c:pt>
                <c:pt idx="1283">
                  <c:v>43714</c:v>
                </c:pt>
                <c:pt idx="1284">
                  <c:v>43715</c:v>
                </c:pt>
                <c:pt idx="1285">
                  <c:v>43716</c:v>
                </c:pt>
                <c:pt idx="1286">
                  <c:v>43717</c:v>
                </c:pt>
                <c:pt idx="1287">
                  <c:v>43718</c:v>
                </c:pt>
                <c:pt idx="1288">
                  <c:v>43719</c:v>
                </c:pt>
                <c:pt idx="1289">
                  <c:v>43720</c:v>
                </c:pt>
                <c:pt idx="1290">
                  <c:v>43721</c:v>
                </c:pt>
                <c:pt idx="1291">
                  <c:v>43722</c:v>
                </c:pt>
                <c:pt idx="1292">
                  <c:v>43723</c:v>
                </c:pt>
                <c:pt idx="1293">
                  <c:v>43724</c:v>
                </c:pt>
                <c:pt idx="1294">
                  <c:v>43725</c:v>
                </c:pt>
                <c:pt idx="1295">
                  <c:v>43726</c:v>
                </c:pt>
                <c:pt idx="1296">
                  <c:v>43727</c:v>
                </c:pt>
                <c:pt idx="1297">
                  <c:v>43728</c:v>
                </c:pt>
                <c:pt idx="1298">
                  <c:v>43729</c:v>
                </c:pt>
                <c:pt idx="1299">
                  <c:v>43730</c:v>
                </c:pt>
                <c:pt idx="1300">
                  <c:v>43731</c:v>
                </c:pt>
                <c:pt idx="1301">
                  <c:v>43732</c:v>
                </c:pt>
                <c:pt idx="1302">
                  <c:v>43733</c:v>
                </c:pt>
                <c:pt idx="1303">
                  <c:v>43734</c:v>
                </c:pt>
                <c:pt idx="1304">
                  <c:v>43735</c:v>
                </c:pt>
                <c:pt idx="1305">
                  <c:v>43736</c:v>
                </c:pt>
                <c:pt idx="1306">
                  <c:v>43737</c:v>
                </c:pt>
                <c:pt idx="1307">
                  <c:v>43738</c:v>
                </c:pt>
                <c:pt idx="1308">
                  <c:v>43739</c:v>
                </c:pt>
                <c:pt idx="1309">
                  <c:v>43740</c:v>
                </c:pt>
                <c:pt idx="1310">
                  <c:v>43741</c:v>
                </c:pt>
                <c:pt idx="1311">
                  <c:v>43742</c:v>
                </c:pt>
                <c:pt idx="1312">
                  <c:v>43743</c:v>
                </c:pt>
                <c:pt idx="1313">
                  <c:v>43744</c:v>
                </c:pt>
                <c:pt idx="1314">
                  <c:v>43745</c:v>
                </c:pt>
                <c:pt idx="1315">
                  <c:v>43746</c:v>
                </c:pt>
                <c:pt idx="1316">
                  <c:v>43747</c:v>
                </c:pt>
                <c:pt idx="1317">
                  <c:v>43748</c:v>
                </c:pt>
                <c:pt idx="1318">
                  <c:v>43749</c:v>
                </c:pt>
                <c:pt idx="1319">
                  <c:v>43750</c:v>
                </c:pt>
                <c:pt idx="1320">
                  <c:v>43751</c:v>
                </c:pt>
                <c:pt idx="1321">
                  <c:v>43752</c:v>
                </c:pt>
                <c:pt idx="1322">
                  <c:v>43753</c:v>
                </c:pt>
                <c:pt idx="1323">
                  <c:v>43754</c:v>
                </c:pt>
                <c:pt idx="1324">
                  <c:v>43755</c:v>
                </c:pt>
                <c:pt idx="1325">
                  <c:v>43756</c:v>
                </c:pt>
                <c:pt idx="1326">
                  <c:v>43757</c:v>
                </c:pt>
                <c:pt idx="1327">
                  <c:v>43758</c:v>
                </c:pt>
                <c:pt idx="1328">
                  <c:v>43759</c:v>
                </c:pt>
                <c:pt idx="1329">
                  <c:v>43760</c:v>
                </c:pt>
                <c:pt idx="1330">
                  <c:v>43761</c:v>
                </c:pt>
                <c:pt idx="1331">
                  <c:v>43762</c:v>
                </c:pt>
                <c:pt idx="1332">
                  <c:v>43763</c:v>
                </c:pt>
                <c:pt idx="1333">
                  <c:v>43764</c:v>
                </c:pt>
                <c:pt idx="1334">
                  <c:v>43765</c:v>
                </c:pt>
                <c:pt idx="1335">
                  <c:v>43766</c:v>
                </c:pt>
                <c:pt idx="1336">
                  <c:v>43767</c:v>
                </c:pt>
                <c:pt idx="1337">
                  <c:v>43768</c:v>
                </c:pt>
                <c:pt idx="1338">
                  <c:v>43769</c:v>
                </c:pt>
                <c:pt idx="1339">
                  <c:v>43770</c:v>
                </c:pt>
                <c:pt idx="1340">
                  <c:v>43771</c:v>
                </c:pt>
                <c:pt idx="1341">
                  <c:v>43772</c:v>
                </c:pt>
                <c:pt idx="1342">
                  <c:v>43773</c:v>
                </c:pt>
                <c:pt idx="1343">
                  <c:v>43774</c:v>
                </c:pt>
                <c:pt idx="1344">
                  <c:v>43775</c:v>
                </c:pt>
                <c:pt idx="1345">
                  <c:v>43776</c:v>
                </c:pt>
                <c:pt idx="1346">
                  <c:v>43777</c:v>
                </c:pt>
                <c:pt idx="1347">
                  <c:v>43778</c:v>
                </c:pt>
                <c:pt idx="1348">
                  <c:v>43779</c:v>
                </c:pt>
                <c:pt idx="1349">
                  <c:v>43780</c:v>
                </c:pt>
                <c:pt idx="1350">
                  <c:v>43781</c:v>
                </c:pt>
                <c:pt idx="1351">
                  <c:v>43782</c:v>
                </c:pt>
                <c:pt idx="1352">
                  <c:v>43783</c:v>
                </c:pt>
                <c:pt idx="1353">
                  <c:v>43784</c:v>
                </c:pt>
                <c:pt idx="1354">
                  <c:v>43785</c:v>
                </c:pt>
                <c:pt idx="1355">
                  <c:v>43786</c:v>
                </c:pt>
                <c:pt idx="1356">
                  <c:v>43787</c:v>
                </c:pt>
                <c:pt idx="1357">
                  <c:v>43788</c:v>
                </c:pt>
                <c:pt idx="1358">
                  <c:v>43789</c:v>
                </c:pt>
                <c:pt idx="1359">
                  <c:v>43790</c:v>
                </c:pt>
                <c:pt idx="1360">
                  <c:v>43791</c:v>
                </c:pt>
                <c:pt idx="1361">
                  <c:v>43792</c:v>
                </c:pt>
                <c:pt idx="1362">
                  <c:v>43793</c:v>
                </c:pt>
                <c:pt idx="1363">
                  <c:v>43794</c:v>
                </c:pt>
                <c:pt idx="1364">
                  <c:v>43795</c:v>
                </c:pt>
                <c:pt idx="1365">
                  <c:v>43796</c:v>
                </c:pt>
                <c:pt idx="1366">
                  <c:v>43797</c:v>
                </c:pt>
                <c:pt idx="1367">
                  <c:v>43798</c:v>
                </c:pt>
                <c:pt idx="1368">
                  <c:v>43799</c:v>
                </c:pt>
                <c:pt idx="1369">
                  <c:v>43800</c:v>
                </c:pt>
                <c:pt idx="1370">
                  <c:v>43801</c:v>
                </c:pt>
                <c:pt idx="1371">
                  <c:v>43802</c:v>
                </c:pt>
                <c:pt idx="1372">
                  <c:v>43803</c:v>
                </c:pt>
                <c:pt idx="1373">
                  <c:v>43804</c:v>
                </c:pt>
                <c:pt idx="1374">
                  <c:v>43805</c:v>
                </c:pt>
                <c:pt idx="1375">
                  <c:v>43806</c:v>
                </c:pt>
                <c:pt idx="1376">
                  <c:v>43807</c:v>
                </c:pt>
                <c:pt idx="1377">
                  <c:v>43808</c:v>
                </c:pt>
                <c:pt idx="1378">
                  <c:v>43809</c:v>
                </c:pt>
                <c:pt idx="1379">
                  <c:v>43810</c:v>
                </c:pt>
                <c:pt idx="1380">
                  <c:v>43811</c:v>
                </c:pt>
                <c:pt idx="1381">
                  <c:v>43812</c:v>
                </c:pt>
                <c:pt idx="1382">
                  <c:v>43813</c:v>
                </c:pt>
                <c:pt idx="1383">
                  <c:v>43814</c:v>
                </c:pt>
                <c:pt idx="1384">
                  <c:v>43815</c:v>
                </c:pt>
                <c:pt idx="1385">
                  <c:v>43816</c:v>
                </c:pt>
                <c:pt idx="1386">
                  <c:v>43817</c:v>
                </c:pt>
                <c:pt idx="1387">
                  <c:v>43818</c:v>
                </c:pt>
                <c:pt idx="1388">
                  <c:v>43819</c:v>
                </c:pt>
                <c:pt idx="1389">
                  <c:v>43820</c:v>
                </c:pt>
                <c:pt idx="1390">
                  <c:v>43821</c:v>
                </c:pt>
                <c:pt idx="1391">
                  <c:v>43822</c:v>
                </c:pt>
                <c:pt idx="1392">
                  <c:v>43823</c:v>
                </c:pt>
                <c:pt idx="1393">
                  <c:v>43824</c:v>
                </c:pt>
                <c:pt idx="1394">
                  <c:v>43825</c:v>
                </c:pt>
                <c:pt idx="1395">
                  <c:v>43826</c:v>
                </c:pt>
                <c:pt idx="1396">
                  <c:v>43827</c:v>
                </c:pt>
                <c:pt idx="1397">
                  <c:v>43828</c:v>
                </c:pt>
                <c:pt idx="1398">
                  <c:v>43829</c:v>
                </c:pt>
                <c:pt idx="1399">
                  <c:v>43830</c:v>
                </c:pt>
                <c:pt idx="1400">
                  <c:v>43831</c:v>
                </c:pt>
                <c:pt idx="1401">
                  <c:v>43832</c:v>
                </c:pt>
                <c:pt idx="1402">
                  <c:v>43833</c:v>
                </c:pt>
                <c:pt idx="1403">
                  <c:v>43834</c:v>
                </c:pt>
                <c:pt idx="1404">
                  <c:v>43835</c:v>
                </c:pt>
                <c:pt idx="1405">
                  <c:v>43836</c:v>
                </c:pt>
                <c:pt idx="1406">
                  <c:v>43837</c:v>
                </c:pt>
                <c:pt idx="1407">
                  <c:v>43838</c:v>
                </c:pt>
                <c:pt idx="1408">
                  <c:v>43839</c:v>
                </c:pt>
                <c:pt idx="1409">
                  <c:v>43840</c:v>
                </c:pt>
                <c:pt idx="1410">
                  <c:v>43841</c:v>
                </c:pt>
                <c:pt idx="1411">
                  <c:v>43842</c:v>
                </c:pt>
                <c:pt idx="1412">
                  <c:v>43843</c:v>
                </c:pt>
                <c:pt idx="1413">
                  <c:v>43844</c:v>
                </c:pt>
                <c:pt idx="1414">
                  <c:v>43845</c:v>
                </c:pt>
                <c:pt idx="1415">
                  <c:v>43846</c:v>
                </c:pt>
                <c:pt idx="1416">
                  <c:v>43847</c:v>
                </c:pt>
                <c:pt idx="1417">
                  <c:v>43848</c:v>
                </c:pt>
                <c:pt idx="1418">
                  <c:v>43849</c:v>
                </c:pt>
                <c:pt idx="1419">
                  <c:v>43850</c:v>
                </c:pt>
                <c:pt idx="1420">
                  <c:v>43851</c:v>
                </c:pt>
                <c:pt idx="1421">
                  <c:v>43852</c:v>
                </c:pt>
                <c:pt idx="1422">
                  <c:v>43853</c:v>
                </c:pt>
                <c:pt idx="1423">
                  <c:v>43854</c:v>
                </c:pt>
                <c:pt idx="1424">
                  <c:v>43855</c:v>
                </c:pt>
                <c:pt idx="1425">
                  <c:v>43856</c:v>
                </c:pt>
                <c:pt idx="1426">
                  <c:v>43857</c:v>
                </c:pt>
                <c:pt idx="1427">
                  <c:v>43858</c:v>
                </c:pt>
                <c:pt idx="1428">
                  <c:v>43859</c:v>
                </c:pt>
                <c:pt idx="1429">
                  <c:v>43860</c:v>
                </c:pt>
                <c:pt idx="1430">
                  <c:v>43861</c:v>
                </c:pt>
                <c:pt idx="1431">
                  <c:v>43862</c:v>
                </c:pt>
                <c:pt idx="1432">
                  <c:v>43863</c:v>
                </c:pt>
                <c:pt idx="1433">
                  <c:v>43864</c:v>
                </c:pt>
                <c:pt idx="1434">
                  <c:v>43865</c:v>
                </c:pt>
                <c:pt idx="1435">
                  <c:v>43866</c:v>
                </c:pt>
                <c:pt idx="1436">
                  <c:v>43867</c:v>
                </c:pt>
                <c:pt idx="1437">
                  <c:v>43868</c:v>
                </c:pt>
                <c:pt idx="1438">
                  <c:v>43869</c:v>
                </c:pt>
                <c:pt idx="1439">
                  <c:v>43870</c:v>
                </c:pt>
                <c:pt idx="1440">
                  <c:v>43871</c:v>
                </c:pt>
                <c:pt idx="1441">
                  <c:v>43872</c:v>
                </c:pt>
                <c:pt idx="1442">
                  <c:v>43873</c:v>
                </c:pt>
                <c:pt idx="1443">
                  <c:v>43874</c:v>
                </c:pt>
                <c:pt idx="1444">
                  <c:v>43875</c:v>
                </c:pt>
                <c:pt idx="1445">
                  <c:v>43876</c:v>
                </c:pt>
                <c:pt idx="1446">
                  <c:v>43877</c:v>
                </c:pt>
                <c:pt idx="1447">
                  <c:v>43878</c:v>
                </c:pt>
                <c:pt idx="1448">
                  <c:v>43879</c:v>
                </c:pt>
                <c:pt idx="1449">
                  <c:v>43880</c:v>
                </c:pt>
                <c:pt idx="1450">
                  <c:v>43881</c:v>
                </c:pt>
                <c:pt idx="1451">
                  <c:v>43882</c:v>
                </c:pt>
                <c:pt idx="1452">
                  <c:v>43883</c:v>
                </c:pt>
                <c:pt idx="1453">
                  <c:v>43884</c:v>
                </c:pt>
                <c:pt idx="1454">
                  <c:v>43885</c:v>
                </c:pt>
                <c:pt idx="1455">
                  <c:v>43886</c:v>
                </c:pt>
                <c:pt idx="1456">
                  <c:v>43887</c:v>
                </c:pt>
                <c:pt idx="1457">
                  <c:v>43888</c:v>
                </c:pt>
                <c:pt idx="1458">
                  <c:v>43889</c:v>
                </c:pt>
                <c:pt idx="1459">
                  <c:v>43890</c:v>
                </c:pt>
                <c:pt idx="1460">
                  <c:v>43891</c:v>
                </c:pt>
                <c:pt idx="1461">
                  <c:v>43892</c:v>
                </c:pt>
                <c:pt idx="1462">
                  <c:v>43893</c:v>
                </c:pt>
                <c:pt idx="1463">
                  <c:v>43894</c:v>
                </c:pt>
                <c:pt idx="1464">
                  <c:v>43895</c:v>
                </c:pt>
                <c:pt idx="1465">
                  <c:v>43896</c:v>
                </c:pt>
                <c:pt idx="1466">
                  <c:v>43897</c:v>
                </c:pt>
                <c:pt idx="1467">
                  <c:v>43898</c:v>
                </c:pt>
                <c:pt idx="1468">
                  <c:v>43899</c:v>
                </c:pt>
                <c:pt idx="1469">
                  <c:v>43900</c:v>
                </c:pt>
                <c:pt idx="1470">
                  <c:v>43901</c:v>
                </c:pt>
                <c:pt idx="1471">
                  <c:v>43902</c:v>
                </c:pt>
                <c:pt idx="1472">
                  <c:v>43903</c:v>
                </c:pt>
                <c:pt idx="1473">
                  <c:v>43904</c:v>
                </c:pt>
                <c:pt idx="1474">
                  <c:v>43905</c:v>
                </c:pt>
                <c:pt idx="1475">
                  <c:v>43906</c:v>
                </c:pt>
                <c:pt idx="1476">
                  <c:v>43907</c:v>
                </c:pt>
                <c:pt idx="1477">
                  <c:v>43908</c:v>
                </c:pt>
                <c:pt idx="1478">
                  <c:v>43909</c:v>
                </c:pt>
                <c:pt idx="1479">
                  <c:v>43910</c:v>
                </c:pt>
                <c:pt idx="1480">
                  <c:v>43911</c:v>
                </c:pt>
                <c:pt idx="1481">
                  <c:v>43912</c:v>
                </c:pt>
                <c:pt idx="1482">
                  <c:v>43913</c:v>
                </c:pt>
                <c:pt idx="1483">
                  <c:v>43914</c:v>
                </c:pt>
                <c:pt idx="1484">
                  <c:v>43915</c:v>
                </c:pt>
                <c:pt idx="1485">
                  <c:v>43916</c:v>
                </c:pt>
                <c:pt idx="1486">
                  <c:v>43917</c:v>
                </c:pt>
                <c:pt idx="1487">
                  <c:v>43918</c:v>
                </c:pt>
                <c:pt idx="1488">
                  <c:v>43919</c:v>
                </c:pt>
                <c:pt idx="1489">
                  <c:v>43920</c:v>
                </c:pt>
                <c:pt idx="1490">
                  <c:v>43921</c:v>
                </c:pt>
                <c:pt idx="1491">
                  <c:v>43922</c:v>
                </c:pt>
                <c:pt idx="1492">
                  <c:v>43923</c:v>
                </c:pt>
                <c:pt idx="1493">
                  <c:v>43924</c:v>
                </c:pt>
                <c:pt idx="1494">
                  <c:v>43925</c:v>
                </c:pt>
                <c:pt idx="1495">
                  <c:v>43926</c:v>
                </c:pt>
                <c:pt idx="1496">
                  <c:v>43927</c:v>
                </c:pt>
                <c:pt idx="1497">
                  <c:v>43928</c:v>
                </c:pt>
                <c:pt idx="1498">
                  <c:v>43929</c:v>
                </c:pt>
                <c:pt idx="1499">
                  <c:v>43930</c:v>
                </c:pt>
                <c:pt idx="1500">
                  <c:v>43931</c:v>
                </c:pt>
                <c:pt idx="1501">
                  <c:v>43932</c:v>
                </c:pt>
                <c:pt idx="1502">
                  <c:v>43933</c:v>
                </c:pt>
                <c:pt idx="1503">
                  <c:v>43934</c:v>
                </c:pt>
                <c:pt idx="1504">
                  <c:v>43935</c:v>
                </c:pt>
                <c:pt idx="1505">
                  <c:v>43936</c:v>
                </c:pt>
                <c:pt idx="1506">
                  <c:v>43937</c:v>
                </c:pt>
                <c:pt idx="1507">
                  <c:v>43938</c:v>
                </c:pt>
                <c:pt idx="1508">
                  <c:v>43939</c:v>
                </c:pt>
                <c:pt idx="1509">
                  <c:v>43940</c:v>
                </c:pt>
                <c:pt idx="1510">
                  <c:v>43941</c:v>
                </c:pt>
                <c:pt idx="1511">
                  <c:v>43942</c:v>
                </c:pt>
                <c:pt idx="1512">
                  <c:v>43943</c:v>
                </c:pt>
                <c:pt idx="1513">
                  <c:v>43944</c:v>
                </c:pt>
                <c:pt idx="1514">
                  <c:v>43945</c:v>
                </c:pt>
                <c:pt idx="1515">
                  <c:v>43946</c:v>
                </c:pt>
                <c:pt idx="1516">
                  <c:v>43947</c:v>
                </c:pt>
                <c:pt idx="1517">
                  <c:v>43948</c:v>
                </c:pt>
                <c:pt idx="1518">
                  <c:v>43949</c:v>
                </c:pt>
                <c:pt idx="1519">
                  <c:v>43950</c:v>
                </c:pt>
                <c:pt idx="1520">
                  <c:v>43951</c:v>
                </c:pt>
                <c:pt idx="1521">
                  <c:v>43952</c:v>
                </c:pt>
                <c:pt idx="1522">
                  <c:v>43953</c:v>
                </c:pt>
                <c:pt idx="1523">
                  <c:v>43954</c:v>
                </c:pt>
                <c:pt idx="1524">
                  <c:v>43955</c:v>
                </c:pt>
                <c:pt idx="1525">
                  <c:v>43956</c:v>
                </c:pt>
                <c:pt idx="1526">
                  <c:v>43957</c:v>
                </c:pt>
                <c:pt idx="1527">
                  <c:v>43958</c:v>
                </c:pt>
                <c:pt idx="1528">
                  <c:v>43959</c:v>
                </c:pt>
                <c:pt idx="1529">
                  <c:v>43960</c:v>
                </c:pt>
                <c:pt idx="1530">
                  <c:v>43961</c:v>
                </c:pt>
                <c:pt idx="1531">
                  <c:v>43962</c:v>
                </c:pt>
                <c:pt idx="1532">
                  <c:v>43963</c:v>
                </c:pt>
                <c:pt idx="1533">
                  <c:v>43964</c:v>
                </c:pt>
                <c:pt idx="1534">
                  <c:v>43965</c:v>
                </c:pt>
                <c:pt idx="1535">
                  <c:v>43966</c:v>
                </c:pt>
                <c:pt idx="1536">
                  <c:v>43967</c:v>
                </c:pt>
                <c:pt idx="1537">
                  <c:v>43968</c:v>
                </c:pt>
                <c:pt idx="1538">
                  <c:v>43969</c:v>
                </c:pt>
                <c:pt idx="1539">
                  <c:v>43970</c:v>
                </c:pt>
                <c:pt idx="1540">
                  <c:v>43971</c:v>
                </c:pt>
                <c:pt idx="1541">
                  <c:v>43972</c:v>
                </c:pt>
                <c:pt idx="1542">
                  <c:v>43973</c:v>
                </c:pt>
                <c:pt idx="1543">
                  <c:v>43974</c:v>
                </c:pt>
                <c:pt idx="1544">
                  <c:v>43975</c:v>
                </c:pt>
                <c:pt idx="1545">
                  <c:v>43976</c:v>
                </c:pt>
                <c:pt idx="1546">
                  <c:v>43977</c:v>
                </c:pt>
                <c:pt idx="1547">
                  <c:v>43978</c:v>
                </c:pt>
                <c:pt idx="1548">
                  <c:v>43979</c:v>
                </c:pt>
                <c:pt idx="1549">
                  <c:v>43980</c:v>
                </c:pt>
                <c:pt idx="1550">
                  <c:v>43981</c:v>
                </c:pt>
                <c:pt idx="1551">
                  <c:v>43982</c:v>
                </c:pt>
                <c:pt idx="1552">
                  <c:v>43983</c:v>
                </c:pt>
                <c:pt idx="1553">
                  <c:v>43984</c:v>
                </c:pt>
                <c:pt idx="1554">
                  <c:v>43985</c:v>
                </c:pt>
                <c:pt idx="1555">
                  <c:v>43986</c:v>
                </c:pt>
                <c:pt idx="1556">
                  <c:v>43987</c:v>
                </c:pt>
                <c:pt idx="1557">
                  <c:v>43988</c:v>
                </c:pt>
                <c:pt idx="1558">
                  <c:v>43989</c:v>
                </c:pt>
                <c:pt idx="1559">
                  <c:v>43990</c:v>
                </c:pt>
                <c:pt idx="1560">
                  <c:v>43991</c:v>
                </c:pt>
                <c:pt idx="1561">
                  <c:v>43992</c:v>
                </c:pt>
                <c:pt idx="1562">
                  <c:v>43993</c:v>
                </c:pt>
                <c:pt idx="1563">
                  <c:v>43994</c:v>
                </c:pt>
                <c:pt idx="1564">
                  <c:v>43995</c:v>
                </c:pt>
                <c:pt idx="1565">
                  <c:v>43996</c:v>
                </c:pt>
                <c:pt idx="1566">
                  <c:v>43997</c:v>
                </c:pt>
                <c:pt idx="1567">
                  <c:v>43998</c:v>
                </c:pt>
                <c:pt idx="1568">
                  <c:v>43999</c:v>
                </c:pt>
                <c:pt idx="1569">
                  <c:v>44000</c:v>
                </c:pt>
                <c:pt idx="1570">
                  <c:v>44001</c:v>
                </c:pt>
                <c:pt idx="1571">
                  <c:v>44002</c:v>
                </c:pt>
                <c:pt idx="1572">
                  <c:v>44003</c:v>
                </c:pt>
                <c:pt idx="1573">
                  <c:v>44004</c:v>
                </c:pt>
                <c:pt idx="1574">
                  <c:v>44005</c:v>
                </c:pt>
                <c:pt idx="1575">
                  <c:v>44006</c:v>
                </c:pt>
                <c:pt idx="1576">
                  <c:v>44007</c:v>
                </c:pt>
                <c:pt idx="1577">
                  <c:v>44008</c:v>
                </c:pt>
                <c:pt idx="1578">
                  <c:v>44009</c:v>
                </c:pt>
                <c:pt idx="1579">
                  <c:v>44010</c:v>
                </c:pt>
                <c:pt idx="1580">
                  <c:v>44011</c:v>
                </c:pt>
                <c:pt idx="1581">
                  <c:v>44012</c:v>
                </c:pt>
                <c:pt idx="1582">
                  <c:v>44013</c:v>
                </c:pt>
                <c:pt idx="1583">
                  <c:v>44014</c:v>
                </c:pt>
                <c:pt idx="1584">
                  <c:v>44015</c:v>
                </c:pt>
                <c:pt idx="1585">
                  <c:v>44016</c:v>
                </c:pt>
                <c:pt idx="1586">
                  <c:v>44017</c:v>
                </c:pt>
                <c:pt idx="1587">
                  <c:v>44018</c:v>
                </c:pt>
                <c:pt idx="1588">
                  <c:v>44019</c:v>
                </c:pt>
                <c:pt idx="1589">
                  <c:v>44020</c:v>
                </c:pt>
                <c:pt idx="1590">
                  <c:v>44021</c:v>
                </c:pt>
                <c:pt idx="1591">
                  <c:v>44022</c:v>
                </c:pt>
                <c:pt idx="1592">
                  <c:v>44023</c:v>
                </c:pt>
                <c:pt idx="1593">
                  <c:v>44024</c:v>
                </c:pt>
                <c:pt idx="1594">
                  <c:v>44025</c:v>
                </c:pt>
                <c:pt idx="1595">
                  <c:v>44026</c:v>
                </c:pt>
                <c:pt idx="1596">
                  <c:v>44027</c:v>
                </c:pt>
                <c:pt idx="1597">
                  <c:v>44028</c:v>
                </c:pt>
                <c:pt idx="1598">
                  <c:v>44029</c:v>
                </c:pt>
                <c:pt idx="1599">
                  <c:v>44030</c:v>
                </c:pt>
                <c:pt idx="1600">
                  <c:v>44031</c:v>
                </c:pt>
                <c:pt idx="1601">
                  <c:v>44032</c:v>
                </c:pt>
                <c:pt idx="1602">
                  <c:v>44033</c:v>
                </c:pt>
                <c:pt idx="1603">
                  <c:v>44034</c:v>
                </c:pt>
                <c:pt idx="1604">
                  <c:v>44035</c:v>
                </c:pt>
                <c:pt idx="1605">
                  <c:v>44036</c:v>
                </c:pt>
                <c:pt idx="1606">
                  <c:v>44037</c:v>
                </c:pt>
                <c:pt idx="1607">
                  <c:v>44038</c:v>
                </c:pt>
                <c:pt idx="1608">
                  <c:v>44039</c:v>
                </c:pt>
                <c:pt idx="1609">
                  <c:v>44040</c:v>
                </c:pt>
                <c:pt idx="1610">
                  <c:v>44041</c:v>
                </c:pt>
                <c:pt idx="1611">
                  <c:v>44042</c:v>
                </c:pt>
                <c:pt idx="1612">
                  <c:v>44043</c:v>
                </c:pt>
                <c:pt idx="1613">
                  <c:v>44044</c:v>
                </c:pt>
                <c:pt idx="1614">
                  <c:v>44045</c:v>
                </c:pt>
                <c:pt idx="1615">
                  <c:v>44046</c:v>
                </c:pt>
                <c:pt idx="1616">
                  <c:v>44047</c:v>
                </c:pt>
                <c:pt idx="1617">
                  <c:v>44048</c:v>
                </c:pt>
                <c:pt idx="1618">
                  <c:v>44049</c:v>
                </c:pt>
                <c:pt idx="1619">
                  <c:v>44050</c:v>
                </c:pt>
                <c:pt idx="1620">
                  <c:v>44051</c:v>
                </c:pt>
                <c:pt idx="1621">
                  <c:v>44052</c:v>
                </c:pt>
                <c:pt idx="1622">
                  <c:v>44053</c:v>
                </c:pt>
                <c:pt idx="1623">
                  <c:v>44054</c:v>
                </c:pt>
                <c:pt idx="1624">
                  <c:v>44055</c:v>
                </c:pt>
                <c:pt idx="1625">
                  <c:v>44056</c:v>
                </c:pt>
                <c:pt idx="1626">
                  <c:v>44057</c:v>
                </c:pt>
                <c:pt idx="1627">
                  <c:v>44058</c:v>
                </c:pt>
                <c:pt idx="1628">
                  <c:v>44059</c:v>
                </c:pt>
                <c:pt idx="1629">
                  <c:v>44060</c:v>
                </c:pt>
                <c:pt idx="1630">
                  <c:v>44061</c:v>
                </c:pt>
                <c:pt idx="1631">
                  <c:v>44062</c:v>
                </c:pt>
                <c:pt idx="1632">
                  <c:v>44063</c:v>
                </c:pt>
                <c:pt idx="1633">
                  <c:v>44064</c:v>
                </c:pt>
                <c:pt idx="1634">
                  <c:v>44065</c:v>
                </c:pt>
                <c:pt idx="1635">
                  <c:v>44066</c:v>
                </c:pt>
                <c:pt idx="1636">
                  <c:v>44067</c:v>
                </c:pt>
                <c:pt idx="1637">
                  <c:v>44068</c:v>
                </c:pt>
                <c:pt idx="1638">
                  <c:v>44069</c:v>
                </c:pt>
                <c:pt idx="1639">
                  <c:v>44070</c:v>
                </c:pt>
                <c:pt idx="1640">
                  <c:v>44071</c:v>
                </c:pt>
                <c:pt idx="1641">
                  <c:v>44072</c:v>
                </c:pt>
                <c:pt idx="1642">
                  <c:v>44073</c:v>
                </c:pt>
                <c:pt idx="1643">
                  <c:v>44074</c:v>
                </c:pt>
                <c:pt idx="1644">
                  <c:v>44075</c:v>
                </c:pt>
                <c:pt idx="1645">
                  <c:v>44076</c:v>
                </c:pt>
                <c:pt idx="1646">
                  <c:v>44077</c:v>
                </c:pt>
                <c:pt idx="1647">
                  <c:v>44078</c:v>
                </c:pt>
                <c:pt idx="1648">
                  <c:v>44079</c:v>
                </c:pt>
                <c:pt idx="1649">
                  <c:v>44080</c:v>
                </c:pt>
                <c:pt idx="1650">
                  <c:v>44081</c:v>
                </c:pt>
                <c:pt idx="1651">
                  <c:v>44082</c:v>
                </c:pt>
                <c:pt idx="1652">
                  <c:v>44083</c:v>
                </c:pt>
                <c:pt idx="1653">
                  <c:v>44084</c:v>
                </c:pt>
                <c:pt idx="1654">
                  <c:v>44085</c:v>
                </c:pt>
                <c:pt idx="1655">
                  <c:v>44086</c:v>
                </c:pt>
                <c:pt idx="1656">
                  <c:v>44087</c:v>
                </c:pt>
                <c:pt idx="1657">
                  <c:v>44088</c:v>
                </c:pt>
                <c:pt idx="1658">
                  <c:v>44089</c:v>
                </c:pt>
                <c:pt idx="1659">
                  <c:v>44090</c:v>
                </c:pt>
                <c:pt idx="1660">
                  <c:v>44091</c:v>
                </c:pt>
                <c:pt idx="1661">
                  <c:v>44092</c:v>
                </c:pt>
                <c:pt idx="1662">
                  <c:v>44093</c:v>
                </c:pt>
                <c:pt idx="1663">
                  <c:v>44094</c:v>
                </c:pt>
                <c:pt idx="1664">
                  <c:v>44095</c:v>
                </c:pt>
                <c:pt idx="1665">
                  <c:v>44096</c:v>
                </c:pt>
                <c:pt idx="1666">
                  <c:v>44097</c:v>
                </c:pt>
                <c:pt idx="1667">
                  <c:v>44098</c:v>
                </c:pt>
                <c:pt idx="1668">
                  <c:v>44099</c:v>
                </c:pt>
                <c:pt idx="1669">
                  <c:v>44100</c:v>
                </c:pt>
                <c:pt idx="1670">
                  <c:v>44101</c:v>
                </c:pt>
                <c:pt idx="1671">
                  <c:v>44102</c:v>
                </c:pt>
                <c:pt idx="1672">
                  <c:v>44103</c:v>
                </c:pt>
                <c:pt idx="1673">
                  <c:v>44104</c:v>
                </c:pt>
                <c:pt idx="1674">
                  <c:v>44105</c:v>
                </c:pt>
                <c:pt idx="1675">
                  <c:v>44106</c:v>
                </c:pt>
                <c:pt idx="1676">
                  <c:v>44107</c:v>
                </c:pt>
                <c:pt idx="1677">
                  <c:v>44108</c:v>
                </c:pt>
                <c:pt idx="1678">
                  <c:v>44109</c:v>
                </c:pt>
                <c:pt idx="1679">
                  <c:v>44110</c:v>
                </c:pt>
                <c:pt idx="1680">
                  <c:v>44111</c:v>
                </c:pt>
                <c:pt idx="1681">
                  <c:v>44112</c:v>
                </c:pt>
                <c:pt idx="1682">
                  <c:v>44113</c:v>
                </c:pt>
                <c:pt idx="1683">
                  <c:v>44114</c:v>
                </c:pt>
                <c:pt idx="1684">
                  <c:v>44115</c:v>
                </c:pt>
                <c:pt idx="1685">
                  <c:v>44116</c:v>
                </c:pt>
                <c:pt idx="1686">
                  <c:v>44117</c:v>
                </c:pt>
                <c:pt idx="1687">
                  <c:v>44118</c:v>
                </c:pt>
                <c:pt idx="1688">
                  <c:v>44119</c:v>
                </c:pt>
                <c:pt idx="1689">
                  <c:v>44120</c:v>
                </c:pt>
                <c:pt idx="1690">
                  <c:v>44121</c:v>
                </c:pt>
                <c:pt idx="1691">
                  <c:v>44122</c:v>
                </c:pt>
                <c:pt idx="1692">
                  <c:v>44123</c:v>
                </c:pt>
                <c:pt idx="1693">
                  <c:v>44124</c:v>
                </c:pt>
                <c:pt idx="1694">
                  <c:v>44125</c:v>
                </c:pt>
                <c:pt idx="1695">
                  <c:v>44126</c:v>
                </c:pt>
                <c:pt idx="1696">
                  <c:v>44127</c:v>
                </c:pt>
                <c:pt idx="1697">
                  <c:v>44128</c:v>
                </c:pt>
                <c:pt idx="1698">
                  <c:v>44129</c:v>
                </c:pt>
                <c:pt idx="1699">
                  <c:v>44130</c:v>
                </c:pt>
                <c:pt idx="1700">
                  <c:v>44131</c:v>
                </c:pt>
                <c:pt idx="1701">
                  <c:v>44132</c:v>
                </c:pt>
                <c:pt idx="1702">
                  <c:v>44133</c:v>
                </c:pt>
                <c:pt idx="1703">
                  <c:v>44134</c:v>
                </c:pt>
                <c:pt idx="1704">
                  <c:v>44135</c:v>
                </c:pt>
                <c:pt idx="1705">
                  <c:v>44136</c:v>
                </c:pt>
                <c:pt idx="1706">
                  <c:v>44137</c:v>
                </c:pt>
                <c:pt idx="1707">
                  <c:v>44138</c:v>
                </c:pt>
                <c:pt idx="1708">
                  <c:v>44139</c:v>
                </c:pt>
                <c:pt idx="1709">
                  <c:v>44140</c:v>
                </c:pt>
                <c:pt idx="1710">
                  <c:v>44141</c:v>
                </c:pt>
                <c:pt idx="1711">
                  <c:v>44142</c:v>
                </c:pt>
                <c:pt idx="1712">
                  <c:v>44143</c:v>
                </c:pt>
                <c:pt idx="1713">
                  <c:v>44144</c:v>
                </c:pt>
                <c:pt idx="1714">
                  <c:v>44145</c:v>
                </c:pt>
                <c:pt idx="1715">
                  <c:v>44146</c:v>
                </c:pt>
                <c:pt idx="1716">
                  <c:v>44147</c:v>
                </c:pt>
                <c:pt idx="1717">
                  <c:v>44148</c:v>
                </c:pt>
                <c:pt idx="1718">
                  <c:v>44149</c:v>
                </c:pt>
                <c:pt idx="1719">
                  <c:v>44150</c:v>
                </c:pt>
                <c:pt idx="1720">
                  <c:v>44151</c:v>
                </c:pt>
                <c:pt idx="1721">
                  <c:v>44152</c:v>
                </c:pt>
                <c:pt idx="1722">
                  <c:v>44153</c:v>
                </c:pt>
                <c:pt idx="1723">
                  <c:v>44154</c:v>
                </c:pt>
                <c:pt idx="1724">
                  <c:v>44155</c:v>
                </c:pt>
                <c:pt idx="1725">
                  <c:v>44156</c:v>
                </c:pt>
                <c:pt idx="1726">
                  <c:v>44157</c:v>
                </c:pt>
                <c:pt idx="1727">
                  <c:v>44158</c:v>
                </c:pt>
                <c:pt idx="1728">
                  <c:v>44159</c:v>
                </c:pt>
                <c:pt idx="1729">
                  <c:v>44160</c:v>
                </c:pt>
                <c:pt idx="1730">
                  <c:v>44161</c:v>
                </c:pt>
                <c:pt idx="1731">
                  <c:v>44162</c:v>
                </c:pt>
                <c:pt idx="1732">
                  <c:v>44163</c:v>
                </c:pt>
                <c:pt idx="1733">
                  <c:v>44164</c:v>
                </c:pt>
                <c:pt idx="1734">
                  <c:v>44165</c:v>
                </c:pt>
                <c:pt idx="1735">
                  <c:v>44166</c:v>
                </c:pt>
                <c:pt idx="1736">
                  <c:v>44167</c:v>
                </c:pt>
                <c:pt idx="1737">
                  <c:v>44168</c:v>
                </c:pt>
                <c:pt idx="1738">
                  <c:v>44169</c:v>
                </c:pt>
                <c:pt idx="1739">
                  <c:v>44170</c:v>
                </c:pt>
                <c:pt idx="1740">
                  <c:v>44171</c:v>
                </c:pt>
                <c:pt idx="1741">
                  <c:v>44172</c:v>
                </c:pt>
                <c:pt idx="1742">
                  <c:v>44173</c:v>
                </c:pt>
                <c:pt idx="1743">
                  <c:v>44174</c:v>
                </c:pt>
                <c:pt idx="1744">
                  <c:v>44175</c:v>
                </c:pt>
                <c:pt idx="1745">
                  <c:v>44176</c:v>
                </c:pt>
                <c:pt idx="1746">
                  <c:v>44177</c:v>
                </c:pt>
                <c:pt idx="1747">
                  <c:v>44178</c:v>
                </c:pt>
                <c:pt idx="1748">
                  <c:v>44179</c:v>
                </c:pt>
                <c:pt idx="1749">
                  <c:v>44180</c:v>
                </c:pt>
                <c:pt idx="1750">
                  <c:v>44181</c:v>
                </c:pt>
                <c:pt idx="1751">
                  <c:v>44182</c:v>
                </c:pt>
                <c:pt idx="1752">
                  <c:v>44183</c:v>
                </c:pt>
                <c:pt idx="1753">
                  <c:v>44184</c:v>
                </c:pt>
                <c:pt idx="1754">
                  <c:v>44185</c:v>
                </c:pt>
                <c:pt idx="1755">
                  <c:v>44186</c:v>
                </c:pt>
                <c:pt idx="1756">
                  <c:v>44187</c:v>
                </c:pt>
                <c:pt idx="1757">
                  <c:v>44188</c:v>
                </c:pt>
                <c:pt idx="1758">
                  <c:v>44189</c:v>
                </c:pt>
                <c:pt idx="1759">
                  <c:v>44190</c:v>
                </c:pt>
                <c:pt idx="1760">
                  <c:v>44191</c:v>
                </c:pt>
                <c:pt idx="1761">
                  <c:v>44192</c:v>
                </c:pt>
                <c:pt idx="1762">
                  <c:v>44193</c:v>
                </c:pt>
                <c:pt idx="1763">
                  <c:v>44194</c:v>
                </c:pt>
                <c:pt idx="1764">
                  <c:v>44195</c:v>
                </c:pt>
                <c:pt idx="1765">
                  <c:v>44196</c:v>
                </c:pt>
                <c:pt idx="1766">
                  <c:v>44197</c:v>
                </c:pt>
                <c:pt idx="1767">
                  <c:v>44198</c:v>
                </c:pt>
                <c:pt idx="1768">
                  <c:v>44199</c:v>
                </c:pt>
                <c:pt idx="1769">
                  <c:v>44200</c:v>
                </c:pt>
                <c:pt idx="1770">
                  <c:v>44201</c:v>
                </c:pt>
                <c:pt idx="1771">
                  <c:v>44202</c:v>
                </c:pt>
                <c:pt idx="1772">
                  <c:v>44203</c:v>
                </c:pt>
                <c:pt idx="1773">
                  <c:v>44204</c:v>
                </c:pt>
                <c:pt idx="1774">
                  <c:v>44205</c:v>
                </c:pt>
                <c:pt idx="1775">
                  <c:v>44206</c:v>
                </c:pt>
                <c:pt idx="1776">
                  <c:v>44207</c:v>
                </c:pt>
                <c:pt idx="1777">
                  <c:v>44208</c:v>
                </c:pt>
                <c:pt idx="1778">
                  <c:v>44209</c:v>
                </c:pt>
                <c:pt idx="1779">
                  <c:v>44210</c:v>
                </c:pt>
                <c:pt idx="1780">
                  <c:v>44211</c:v>
                </c:pt>
                <c:pt idx="1781">
                  <c:v>44212</c:v>
                </c:pt>
                <c:pt idx="1782">
                  <c:v>44213</c:v>
                </c:pt>
                <c:pt idx="1783">
                  <c:v>44214</c:v>
                </c:pt>
                <c:pt idx="1784">
                  <c:v>44215</c:v>
                </c:pt>
                <c:pt idx="1785">
                  <c:v>44216</c:v>
                </c:pt>
                <c:pt idx="1786">
                  <c:v>44217</c:v>
                </c:pt>
                <c:pt idx="1787">
                  <c:v>44218</c:v>
                </c:pt>
                <c:pt idx="1788">
                  <c:v>44219</c:v>
                </c:pt>
                <c:pt idx="1789">
                  <c:v>44220</c:v>
                </c:pt>
                <c:pt idx="1790">
                  <c:v>44221</c:v>
                </c:pt>
                <c:pt idx="1791">
                  <c:v>44222</c:v>
                </c:pt>
                <c:pt idx="1792">
                  <c:v>44223</c:v>
                </c:pt>
                <c:pt idx="1793">
                  <c:v>44224</c:v>
                </c:pt>
                <c:pt idx="1794">
                  <c:v>44225</c:v>
                </c:pt>
                <c:pt idx="1795">
                  <c:v>44226</c:v>
                </c:pt>
                <c:pt idx="1796">
                  <c:v>44227</c:v>
                </c:pt>
                <c:pt idx="1797">
                  <c:v>44228</c:v>
                </c:pt>
                <c:pt idx="1798">
                  <c:v>44229</c:v>
                </c:pt>
                <c:pt idx="1799">
                  <c:v>44230</c:v>
                </c:pt>
                <c:pt idx="1800">
                  <c:v>44231</c:v>
                </c:pt>
                <c:pt idx="1801">
                  <c:v>44232</c:v>
                </c:pt>
                <c:pt idx="1802">
                  <c:v>44233</c:v>
                </c:pt>
                <c:pt idx="1803">
                  <c:v>44234</c:v>
                </c:pt>
                <c:pt idx="1804">
                  <c:v>44235</c:v>
                </c:pt>
                <c:pt idx="1805">
                  <c:v>44236</c:v>
                </c:pt>
                <c:pt idx="1806">
                  <c:v>44237</c:v>
                </c:pt>
                <c:pt idx="1807">
                  <c:v>44238</c:v>
                </c:pt>
                <c:pt idx="1808">
                  <c:v>44239</c:v>
                </c:pt>
                <c:pt idx="1809">
                  <c:v>44240</c:v>
                </c:pt>
                <c:pt idx="1810">
                  <c:v>44241</c:v>
                </c:pt>
                <c:pt idx="1811">
                  <c:v>44242</c:v>
                </c:pt>
                <c:pt idx="1812">
                  <c:v>44243</c:v>
                </c:pt>
                <c:pt idx="1813">
                  <c:v>44244</c:v>
                </c:pt>
                <c:pt idx="1814">
                  <c:v>44245</c:v>
                </c:pt>
                <c:pt idx="1815">
                  <c:v>44246</c:v>
                </c:pt>
                <c:pt idx="1816">
                  <c:v>44247</c:v>
                </c:pt>
                <c:pt idx="1817">
                  <c:v>44248</c:v>
                </c:pt>
                <c:pt idx="1818">
                  <c:v>44249</c:v>
                </c:pt>
                <c:pt idx="1819">
                  <c:v>44250</c:v>
                </c:pt>
                <c:pt idx="1820">
                  <c:v>44251</c:v>
                </c:pt>
                <c:pt idx="1821">
                  <c:v>44252</c:v>
                </c:pt>
                <c:pt idx="1822">
                  <c:v>44253</c:v>
                </c:pt>
                <c:pt idx="1823">
                  <c:v>44254</c:v>
                </c:pt>
                <c:pt idx="1824">
                  <c:v>44255</c:v>
                </c:pt>
                <c:pt idx="1825">
                  <c:v>44256</c:v>
                </c:pt>
                <c:pt idx="1826">
                  <c:v>44257</c:v>
                </c:pt>
                <c:pt idx="1827">
                  <c:v>44258</c:v>
                </c:pt>
                <c:pt idx="1828">
                  <c:v>44259</c:v>
                </c:pt>
                <c:pt idx="1829">
                  <c:v>44260</c:v>
                </c:pt>
                <c:pt idx="1830">
                  <c:v>44261</c:v>
                </c:pt>
                <c:pt idx="1831">
                  <c:v>44262</c:v>
                </c:pt>
                <c:pt idx="1832">
                  <c:v>44263</c:v>
                </c:pt>
                <c:pt idx="1833">
                  <c:v>44264</c:v>
                </c:pt>
                <c:pt idx="1834">
                  <c:v>44265</c:v>
                </c:pt>
                <c:pt idx="1835">
                  <c:v>44266</c:v>
                </c:pt>
                <c:pt idx="1836">
                  <c:v>44267</c:v>
                </c:pt>
                <c:pt idx="1837">
                  <c:v>44268</c:v>
                </c:pt>
                <c:pt idx="1838">
                  <c:v>44269</c:v>
                </c:pt>
                <c:pt idx="1839">
                  <c:v>44270</c:v>
                </c:pt>
                <c:pt idx="1840">
                  <c:v>44271</c:v>
                </c:pt>
                <c:pt idx="1841">
                  <c:v>44272</c:v>
                </c:pt>
                <c:pt idx="1842">
                  <c:v>44273</c:v>
                </c:pt>
                <c:pt idx="1843">
                  <c:v>44274</c:v>
                </c:pt>
                <c:pt idx="1844">
                  <c:v>44275</c:v>
                </c:pt>
                <c:pt idx="1845">
                  <c:v>44276</c:v>
                </c:pt>
                <c:pt idx="1846">
                  <c:v>44277</c:v>
                </c:pt>
                <c:pt idx="1847">
                  <c:v>44278</c:v>
                </c:pt>
                <c:pt idx="1848">
                  <c:v>44279</c:v>
                </c:pt>
                <c:pt idx="1849">
                  <c:v>44280</c:v>
                </c:pt>
                <c:pt idx="1850">
                  <c:v>44281</c:v>
                </c:pt>
                <c:pt idx="1851">
                  <c:v>44282</c:v>
                </c:pt>
                <c:pt idx="1852">
                  <c:v>44283</c:v>
                </c:pt>
                <c:pt idx="1853">
                  <c:v>44284</c:v>
                </c:pt>
                <c:pt idx="1854">
                  <c:v>44285</c:v>
                </c:pt>
                <c:pt idx="1855">
                  <c:v>44286</c:v>
                </c:pt>
                <c:pt idx="1856">
                  <c:v>44287</c:v>
                </c:pt>
                <c:pt idx="1857">
                  <c:v>44288</c:v>
                </c:pt>
                <c:pt idx="1858">
                  <c:v>44289</c:v>
                </c:pt>
                <c:pt idx="1859">
                  <c:v>44290</c:v>
                </c:pt>
                <c:pt idx="1860">
                  <c:v>44291</c:v>
                </c:pt>
                <c:pt idx="1861">
                  <c:v>44292</c:v>
                </c:pt>
                <c:pt idx="1862">
                  <c:v>44293</c:v>
                </c:pt>
                <c:pt idx="1863">
                  <c:v>44294</c:v>
                </c:pt>
                <c:pt idx="1864">
                  <c:v>44295</c:v>
                </c:pt>
                <c:pt idx="1865">
                  <c:v>44296</c:v>
                </c:pt>
                <c:pt idx="1866">
                  <c:v>44297</c:v>
                </c:pt>
                <c:pt idx="1867">
                  <c:v>44298</c:v>
                </c:pt>
                <c:pt idx="1868">
                  <c:v>44299</c:v>
                </c:pt>
                <c:pt idx="1869">
                  <c:v>44300</c:v>
                </c:pt>
                <c:pt idx="1870">
                  <c:v>44301</c:v>
                </c:pt>
                <c:pt idx="1871">
                  <c:v>44302</c:v>
                </c:pt>
                <c:pt idx="1872">
                  <c:v>44303</c:v>
                </c:pt>
                <c:pt idx="1873">
                  <c:v>44304</c:v>
                </c:pt>
                <c:pt idx="1874">
                  <c:v>44305</c:v>
                </c:pt>
                <c:pt idx="1875">
                  <c:v>44306</c:v>
                </c:pt>
                <c:pt idx="1876">
                  <c:v>44307</c:v>
                </c:pt>
                <c:pt idx="1877">
                  <c:v>44308</c:v>
                </c:pt>
                <c:pt idx="1878">
                  <c:v>44309</c:v>
                </c:pt>
                <c:pt idx="1879">
                  <c:v>44310</c:v>
                </c:pt>
                <c:pt idx="1880">
                  <c:v>44311</c:v>
                </c:pt>
                <c:pt idx="1881">
                  <c:v>44312</c:v>
                </c:pt>
                <c:pt idx="1882">
                  <c:v>44313</c:v>
                </c:pt>
                <c:pt idx="1883">
                  <c:v>44314</c:v>
                </c:pt>
                <c:pt idx="1884">
                  <c:v>44315</c:v>
                </c:pt>
                <c:pt idx="1885">
                  <c:v>44316</c:v>
                </c:pt>
                <c:pt idx="1886">
                  <c:v>44317</c:v>
                </c:pt>
                <c:pt idx="1887">
                  <c:v>44318</c:v>
                </c:pt>
                <c:pt idx="1888">
                  <c:v>44319</c:v>
                </c:pt>
                <c:pt idx="1889">
                  <c:v>44320</c:v>
                </c:pt>
                <c:pt idx="1890">
                  <c:v>44321</c:v>
                </c:pt>
                <c:pt idx="1891">
                  <c:v>44322</c:v>
                </c:pt>
                <c:pt idx="1892">
                  <c:v>44323</c:v>
                </c:pt>
                <c:pt idx="1893">
                  <c:v>44324</c:v>
                </c:pt>
                <c:pt idx="1894">
                  <c:v>44325</c:v>
                </c:pt>
                <c:pt idx="1895">
                  <c:v>44326</c:v>
                </c:pt>
                <c:pt idx="1896">
                  <c:v>44327</c:v>
                </c:pt>
                <c:pt idx="1897">
                  <c:v>44328</c:v>
                </c:pt>
                <c:pt idx="1898">
                  <c:v>44329</c:v>
                </c:pt>
                <c:pt idx="1899">
                  <c:v>44330</c:v>
                </c:pt>
                <c:pt idx="1900">
                  <c:v>44331</c:v>
                </c:pt>
                <c:pt idx="1901">
                  <c:v>44332</c:v>
                </c:pt>
                <c:pt idx="1902">
                  <c:v>44333</c:v>
                </c:pt>
                <c:pt idx="1903">
                  <c:v>44334</c:v>
                </c:pt>
                <c:pt idx="1904">
                  <c:v>44335</c:v>
                </c:pt>
                <c:pt idx="1905">
                  <c:v>44336</c:v>
                </c:pt>
                <c:pt idx="1906">
                  <c:v>44337</c:v>
                </c:pt>
                <c:pt idx="1907">
                  <c:v>44338</c:v>
                </c:pt>
                <c:pt idx="1908">
                  <c:v>44339</c:v>
                </c:pt>
                <c:pt idx="1909">
                  <c:v>44340</c:v>
                </c:pt>
                <c:pt idx="1910">
                  <c:v>44341</c:v>
                </c:pt>
                <c:pt idx="1911">
                  <c:v>44342</c:v>
                </c:pt>
                <c:pt idx="1912">
                  <c:v>44343</c:v>
                </c:pt>
                <c:pt idx="1913">
                  <c:v>44344</c:v>
                </c:pt>
                <c:pt idx="1914">
                  <c:v>44345</c:v>
                </c:pt>
                <c:pt idx="1915">
                  <c:v>44346</c:v>
                </c:pt>
                <c:pt idx="1916">
                  <c:v>44347</c:v>
                </c:pt>
                <c:pt idx="1917">
                  <c:v>44348</c:v>
                </c:pt>
                <c:pt idx="1918">
                  <c:v>44349</c:v>
                </c:pt>
                <c:pt idx="1919">
                  <c:v>44350</c:v>
                </c:pt>
                <c:pt idx="1920">
                  <c:v>44351</c:v>
                </c:pt>
                <c:pt idx="1921">
                  <c:v>44352</c:v>
                </c:pt>
                <c:pt idx="1922">
                  <c:v>44353</c:v>
                </c:pt>
                <c:pt idx="1923">
                  <c:v>44354</c:v>
                </c:pt>
                <c:pt idx="1924">
                  <c:v>44355</c:v>
                </c:pt>
                <c:pt idx="1925">
                  <c:v>44356</c:v>
                </c:pt>
                <c:pt idx="1926">
                  <c:v>44357</c:v>
                </c:pt>
                <c:pt idx="1927">
                  <c:v>44358</c:v>
                </c:pt>
                <c:pt idx="1928">
                  <c:v>44359</c:v>
                </c:pt>
                <c:pt idx="1929">
                  <c:v>44360</c:v>
                </c:pt>
                <c:pt idx="1930">
                  <c:v>44361</c:v>
                </c:pt>
                <c:pt idx="1931">
                  <c:v>44362</c:v>
                </c:pt>
                <c:pt idx="1932">
                  <c:v>44363</c:v>
                </c:pt>
                <c:pt idx="1933">
                  <c:v>44364</c:v>
                </c:pt>
                <c:pt idx="1934">
                  <c:v>44365</c:v>
                </c:pt>
                <c:pt idx="1935">
                  <c:v>44366</c:v>
                </c:pt>
                <c:pt idx="1936">
                  <c:v>44367</c:v>
                </c:pt>
                <c:pt idx="1937">
                  <c:v>44368</c:v>
                </c:pt>
                <c:pt idx="1938">
                  <c:v>44369</c:v>
                </c:pt>
                <c:pt idx="1939">
                  <c:v>44370</c:v>
                </c:pt>
                <c:pt idx="1940">
                  <c:v>44371</c:v>
                </c:pt>
                <c:pt idx="1941">
                  <c:v>44372</c:v>
                </c:pt>
                <c:pt idx="1942">
                  <c:v>44373</c:v>
                </c:pt>
                <c:pt idx="1943">
                  <c:v>44374</c:v>
                </c:pt>
                <c:pt idx="1944">
                  <c:v>44375</c:v>
                </c:pt>
                <c:pt idx="1945">
                  <c:v>44376</c:v>
                </c:pt>
                <c:pt idx="1946">
                  <c:v>44377</c:v>
                </c:pt>
                <c:pt idx="1947">
                  <c:v>44378</c:v>
                </c:pt>
                <c:pt idx="1948">
                  <c:v>44379</c:v>
                </c:pt>
                <c:pt idx="1949">
                  <c:v>44380</c:v>
                </c:pt>
                <c:pt idx="1950">
                  <c:v>44381</c:v>
                </c:pt>
                <c:pt idx="1951">
                  <c:v>44382</c:v>
                </c:pt>
                <c:pt idx="1952">
                  <c:v>44383</c:v>
                </c:pt>
                <c:pt idx="1953">
                  <c:v>44384</c:v>
                </c:pt>
                <c:pt idx="1954">
                  <c:v>44385</c:v>
                </c:pt>
                <c:pt idx="1955">
                  <c:v>44386</c:v>
                </c:pt>
                <c:pt idx="1956">
                  <c:v>44387</c:v>
                </c:pt>
                <c:pt idx="1957">
                  <c:v>44388</c:v>
                </c:pt>
                <c:pt idx="1958">
                  <c:v>44389</c:v>
                </c:pt>
                <c:pt idx="1959">
                  <c:v>44390</c:v>
                </c:pt>
                <c:pt idx="1960">
                  <c:v>44391</c:v>
                </c:pt>
                <c:pt idx="1961">
                  <c:v>44392</c:v>
                </c:pt>
                <c:pt idx="1962">
                  <c:v>44393</c:v>
                </c:pt>
                <c:pt idx="1963">
                  <c:v>44394</c:v>
                </c:pt>
                <c:pt idx="1964">
                  <c:v>44395</c:v>
                </c:pt>
                <c:pt idx="1965">
                  <c:v>44396</c:v>
                </c:pt>
                <c:pt idx="1966">
                  <c:v>44397</c:v>
                </c:pt>
                <c:pt idx="1967">
                  <c:v>44398</c:v>
                </c:pt>
                <c:pt idx="1968">
                  <c:v>44399</c:v>
                </c:pt>
                <c:pt idx="1969">
                  <c:v>44400</c:v>
                </c:pt>
                <c:pt idx="1970">
                  <c:v>44401</c:v>
                </c:pt>
                <c:pt idx="1971">
                  <c:v>44402</c:v>
                </c:pt>
                <c:pt idx="1972">
                  <c:v>44403</c:v>
                </c:pt>
                <c:pt idx="1973">
                  <c:v>44404</c:v>
                </c:pt>
                <c:pt idx="1974">
                  <c:v>44405</c:v>
                </c:pt>
                <c:pt idx="1975">
                  <c:v>44406</c:v>
                </c:pt>
                <c:pt idx="1976">
                  <c:v>44407</c:v>
                </c:pt>
                <c:pt idx="1977">
                  <c:v>44408</c:v>
                </c:pt>
                <c:pt idx="1978">
                  <c:v>44409</c:v>
                </c:pt>
                <c:pt idx="1979">
                  <c:v>44410</c:v>
                </c:pt>
                <c:pt idx="1980">
                  <c:v>44411</c:v>
                </c:pt>
                <c:pt idx="1981">
                  <c:v>44412</c:v>
                </c:pt>
                <c:pt idx="1982">
                  <c:v>44413</c:v>
                </c:pt>
                <c:pt idx="1983">
                  <c:v>44414</c:v>
                </c:pt>
                <c:pt idx="1984">
                  <c:v>44415</c:v>
                </c:pt>
                <c:pt idx="1985">
                  <c:v>44416</c:v>
                </c:pt>
                <c:pt idx="1986">
                  <c:v>44417</c:v>
                </c:pt>
                <c:pt idx="1987">
                  <c:v>44418</c:v>
                </c:pt>
                <c:pt idx="1988">
                  <c:v>44419</c:v>
                </c:pt>
                <c:pt idx="1989">
                  <c:v>44420</c:v>
                </c:pt>
                <c:pt idx="1990">
                  <c:v>44421</c:v>
                </c:pt>
                <c:pt idx="1991">
                  <c:v>44422</c:v>
                </c:pt>
                <c:pt idx="1992">
                  <c:v>44423</c:v>
                </c:pt>
                <c:pt idx="1993">
                  <c:v>44424</c:v>
                </c:pt>
                <c:pt idx="1994">
                  <c:v>44425</c:v>
                </c:pt>
                <c:pt idx="1995">
                  <c:v>44426</c:v>
                </c:pt>
                <c:pt idx="1996">
                  <c:v>44427</c:v>
                </c:pt>
                <c:pt idx="1997">
                  <c:v>44428</c:v>
                </c:pt>
                <c:pt idx="1998">
                  <c:v>44429</c:v>
                </c:pt>
                <c:pt idx="1999">
                  <c:v>44430</c:v>
                </c:pt>
                <c:pt idx="2000">
                  <c:v>44431</c:v>
                </c:pt>
                <c:pt idx="2001">
                  <c:v>44432</c:v>
                </c:pt>
                <c:pt idx="2002">
                  <c:v>44433</c:v>
                </c:pt>
                <c:pt idx="2003">
                  <c:v>44434</c:v>
                </c:pt>
                <c:pt idx="2004">
                  <c:v>44435</c:v>
                </c:pt>
                <c:pt idx="2005">
                  <c:v>44436</c:v>
                </c:pt>
                <c:pt idx="2006">
                  <c:v>44437</c:v>
                </c:pt>
                <c:pt idx="2007">
                  <c:v>44438</c:v>
                </c:pt>
                <c:pt idx="2008">
                  <c:v>44439</c:v>
                </c:pt>
                <c:pt idx="2009">
                  <c:v>44440</c:v>
                </c:pt>
                <c:pt idx="2010">
                  <c:v>44441</c:v>
                </c:pt>
                <c:pt idx="2011">
                  <c:v>44442</c:v>
                </c:pt>
                <c:pt idx="2012">
                  <c:v>44443</c:v>
                </c:pt>
                <c:pt idx="2013">
                  <c:v>44444</c:v>
                </c:pt>
                <c:pt idx="2014">
                  <c:v>44445</c:v>
                </c:pt>
                <c:pt idx="2015">
                  <c:v>44446</c:v>
                </c:pt>
                <c:pt idx="2016">
                  <c:v>44447</c:v>
                </c:pt>
                <c:pt idx="2017">
                  <c:v>44448</c:v>
                </c:pt>
                <c:pt idx="2018">
                  <c:v>44449</c:v>
                </c:pt>
                <c:pt idx="2019">
                  <c:v>44450</c:v>
                </c:pt>
                <c:pt idx="2020">
                  <c:v>44451</c:v>
                </c:pt>
                <c:pt idx="2021">
                  <c:v>44452</c:v>
                </c:pt>
                <c:pt idx="2022">
                  <c:v>44453</c:v>
                </c:pt>
                <c:pt idx="2023">
                  <c:v>44454</c:v>
                </c:pt>
                <c:pt idx="2024">
                  <c:v>44455</c:v>
                </c:pt>
                <c:pt idx="2025">
                  <c:v>44456</c:v>
                </c:pt>
                <c:pt idx="2026">
                  <c:v>44457</c:v>
                </c:pt>
                <c:pt idx="2027">
                  <c:v>44458</c:v>
                </c:pt>
                <c:pt idx="2028">
                  <c:v>44459</c:v>
                </c:pt>
                <c:pt idx="2029">
                  <c:v>44460</c:v>
                </c:pt>
                <c:pt idx="2030">
                  <c:v>44461</c:v>
                </c:pt>
                <c:pt idx="2031">
                  <c:v>44462</c:v>
                </c:pt>
                <c:pt idx="2032">
                  <c:v>44463</c:v>
                </c:pt>
                <c:pt idx="2033">
                  <c:v>44464</c:v>
                </c:pt>
                <c:pt idx="2034">
                  <c:v>44465</c:v>
                </c:pt>
                <c:pt idx="2035">
                  <c:v>44466</c:v>
                </c:pt>
                <c:pt idx="2036">
                  <c:v>44467</c:v>
                </c:pt>
                <c:pt idx="2037">
                  <c:v>44468</c:v>
                </c:pt>
                <c:pt idx="2038">
                  <c:v>44469</c:v>
                </c:pt>
                <c:pt idx="2039">
                  <c:v>44470</c:v>
                </c:pt>
                <c:pt idx="2040">
                  <c:v>44471</c:v>
                </c:pt>
                <c:pt idx="2041">
                  <c:v>44472</c:v>
                </c:pt>
                <c:pt idx="2042">
                  <c:v>44473</c:v>
                </c:pt>
                <c:pt idx="2043">
                  <c:v>44474</c:v>
                </c:pt>
                <c:pt idx="2044">
                  <c:v>44475</c:v>
                </c:pt>
                <c:pt idx="2045">
                  <c:v>44476</c:v>
                </c:pt>
                <c:pt idx="2046">
                  <c:v>44477</c:v>
                </c:pt>
                <c:pt idx="2047">
                  <c:v>44478</c:v>
                </c:pt>
                <c:pt idx="2048">
                  <c:v>44479</c:v>
                </c:pt>
                <c:pt idx="2049">
                  <c:v>44480</c:v>
                </c:pt>
                <c:pt idx="2050">
                  <c:v>44481</c:v>
                </c:pt>
                <c:pt idx="2051">
                  <c:v>44482</c:v>
                </c:pt>
                <c:pt idx="2052">
                  <c:v>44483</c:v>
                </c:pt>
                <c:pt idx="2053">
                  <c:v>44484</c:v>
                </c:pt>
                <c:pt idx="2054">
                  <c:v>44485</c:v>
                </c:pt>
                <c:pt idx="2055">
                  <c:v>44486</c:v>
                </c:pt>
                <c:pt idx="2056">
                  <c:v>44487</c:v>
                </c:pt>
                <c:pt idx="2057">
                  <c:v>44488</c:v>
                </c:pt>
                <c:pt idx="2058">
                  <c:v>44489</c:v>
                </c:pt>
                <c:pt idx="2059">
                  <c:v>44490</c:v>
                </c:pt>
                <c:pt idx="2060">
                  <c:v>44491</c:v>
                </c:pt>
                <c:pt idx="2061">
                  <c:v>44492</c:v>
                </c:pt>
                <c:pt idx="2062">
                  <c:v>44493</c:v>
                </c:pt>
                <c:pt idx="2063">
                  <c:v>44494</c:v>
                </c:pt>
                <c:pt idx="2064">
                  <c:v>44495</c:v>
                </c:pt>
                <c:pt idx="2065">
                  <c:v>44496</c:v>
                </c:pt>
                <c:pt idx="2066">
                  <c:v>44497</c:v>
                </c:pt>
                <c:pt idx="2067">
                  <c:v>44498</c:v>
                </c:pt>
                <c:pt idx="2068">
                  <c:v>44499</c:v>
                </c:pt>
                <c:pt idx="2069">
                  <c:v>44500</c:v>
                </c:pt>
                <c:pt idx="2070">
                  <c:v>44501</c:v>
                </c:pt>
                <c:pt idx="2071">
                  <c:v>44502</c:v>
                </c:pt>
                <c:pt idx="2072">
                  <c:v>44503</c:v>
                </c:pt>
                <c:pt idx="2073">
                  <c:v>44504</c:v>
                </c:pt>
                <c:pt idx="2074">
                  <c:v>44505</c:v>
                </c:pt>
                <c:pt idx="2075">
                  <c:v>44506</c:v>
                </c:pt>
                <c:pt idx="2076">
                  <c:v>44507</c:v>
                </c:pt>
                <c:pt idx="2077">
                  <c:v>44508</c:v>
                </c:pt>
                <c:pt idx="2078">
                  <c:v>44509</c:v>
                </c:pt>
                <c:pt idx="2079">
                  <c:v>44510</c:v>
                </c:pt>
                <c:pt idx="2080">
                  <c:v>44511</c:v>
                </c:pt>
                <c:pt idx="2081">
                  <c:v>44512</c:v>
                </c:pt>
                <c:pt idx="2082">
                  <c:v>44513</c:v>
                </c:pt>
                <c:pt idx="2083">
                  <c:v>44514</c:v>
                </c:pt>
                <c:pt idx="2084">
                  <c:v>44515</c:v>
                </c:pt>
                <c:pt idx="2085">
                  <c:v>44516</c:v>
                </c:pt>
                <c:pt idx="2086">
                  <c:v>44517</c:v>
                </c:pt>
                <c:pt idx="2087">
                  <c:v>44518</c:v>
                </c:pt>
                <c:pt idx="2088">
                  <c:v>44519</c:v>
                </c:pt>
                <c:pt idx="2089">
                  <c:v>44520</c:v>
                </c:pt>
                <c:pt idx="2090">
                  <c:v>44521</c:v>
                </c:pt>
                <c:pt idx="2091">
                  <c:v>44522</c:v>
                </c:pt>
                <c:pt idx="2092">
                  <c:v>44523</c:v>
                </c:pt>
                <c:pt idx="2093">
                  <c:v>44524</c:v>
                </c:pt>
                <c:pt idx="2094">
                  <c:v>44525</c:v>
                </c:pt>
                <c:pt idx="2095">
                  <c:v>44526</c:v>
                </c:pt>
                <c:pt idx="2096">
                  <c:v>44527</c:v>
                </c:pt>
                <c:pt idx="2097">
                  <c:v>44528</c:v>
                </c:pt>
                <c:pt idx="2098">
                  <c:v>44529</c:v>
                </c:pt>
                <c:pt idx="2099">
                  <c:v>44530</c:v>
                </c:pt>
                <c:pt idx="2100">
                  <c:v>44531</c:v>
                </c:pt>
                <c:pt idx="2101">
                  <c:v>44532</c:v>
                </c:pt>
                <c:pt idx="2102">
                  <c:v>44533</c:v>
                </c:pt>
                <c:pt idx="2103">
                  <c:v>44534</c:v>
                </c:pt>
                <c:pt idx="2104">
                  <c:v>44535</c:v>
                </c:pt>
                <c:pt idx="2105">
                  <c:v>44536</c:v>
                </c:pt>
                <c:pt idx="2106">
                  <c:v>44537</c:v>
                </c:pt>
                <c:pt idx="2107">
                  <c:v>44538</c:v>
                </c:pt>
                <c:pt idx="2108">
                  <c:v>44539</c:v>
                </c:pt>
                <c:pt idx="2109">
                  <c:v>44540</c:v>
                </c:pt>
                <c:pt idx="2110">
                  <c:v>44541</c:v>
                </c:pt>
                <c:pt idx="2111">
                  <c:v>44542</c:v>
                </c:pt>
                <c:pt idx="2112">
                  <c:v>44543</c:v>
                </c:pt>
                <c:pt idx="2113">
                  <c:v>44544</c:v>
                </c:pt>
                <c:pt idx="2114">
                  <c:v>44545</c:v>
                </c:pt>
                <c:pt idx="2115">
                  <c:v>44546</c:v>
                </c:pt>
                <c:pt idx="2116">
                  <c:v>44547</c:v>
                </c:pt>
                <c:pt idx="2117">
                  <c:v>44548</c:v>
                </c:pt>
                <c:pt idx="2118">
                  <c:v>44549</c:v>
                </c:pt>
                <c:pt idx="2119">
                  <c:v>44550</c:v>
                </c:pt>
                <c:pt idx="2120">
                  <c:v>44551</c:v>
                </c:pt>
                <c:pt idx="2121">
                  <c:v>44552</c:v>
                </c:pt>
                <c:pt idx="2122">
                  <c:v>44553</c:v>
                </c:pt>
                <c:pt idx="2123">
                  <c:v>44554</c:v>
                </c:pt>
                <c:pt idx="2124">
                  <c:v>44555</c:v>
                </c:pt>
                <c:pt idx="2125">
                  <c:v>44556</c:v>
                </c:pt>
                <c:pt idx="2126">
                  <c:v>44557</c:v>
                </c:pt>
                <c:pt idx="2127">
                  <c:v>44558</c:v>
                </c:pt>
                <c:pt idx="2128">
                  <c:v>44559</c:v>
                </c:pt>
                <c:pt idx="2129">
                  <c:v>44560</c:v>
                </c:pt>
                <c:pt idx="2130">
                  <c:v>44561</c:v>
                </c:pt>
                <c:pt idx="2131">
                  <c:v>44562</c:v>
                </c:pt>
                <c:pt idx="2132">
                  <c:v>44563</c:v>
                </c:pt>
                <c:pt idx="2133">
                  <c:v>44564</c:v>
                </c:pt>
                <c:pt idx="2134">
                  <c:v>44565</c:v>
                </c:pt>
                <c:pt idx="2135">
                  <c:v>44566</c:v>
                </c:pt>
                <c:pt idx="2136">
                  <c:v>44567</c:v>
                </c:pt>
                <c:pt idx="2137">
                  <c:v>44568</c:v>
                </c:pt>
                <c:pt idx="2138">
                  <c:v>44569</c:v>
                </c:pt>
                <c:pt idx="2139">
                  <c:v>44570</c:v>
                </c:pt>
                <c:pt idx="2140">
                  <c:v>44571</c:v>
                </c:pt>
                <c:pt idx="2141">
                  <c:v>44572</c:v>
                </c:pt>
                <c:pt idx="2142">
                  <c:v>44573</c:v>
                </c:pt>
                <c:pt idx="2143">
                  <c:v>44574</c:v>
                </c:pt>
                <c:pt idx="2144">
                  <c:v>44575</c:v>
                </c:pt>
                <c:pt idx="2145">
                  <c:v>44576</c:v>
                </c:pt>
                <c:pt idx="2146">
                  <c:v>44577</c:v>
                </c:pt>
                <c:pt idx="2147">
                  <c:v>44578</c:v>
                </c:pt>
                <c:pt idx="2148">
                  <c:v>44579</c:v>
                </c:pt>
                <c:pt idx="2149">
                  <c:v>44580</c:v>
                </c:pt>
                <c:pt idx="2150">
                  <c:v>44581</c:v>
                </c:pt>
                <c:pt idx="2151">
                  <c:v>44582</c:v>
                </c:pt>
                <c:pt idx="2152">
                  <c:v>44583</c:v>
                </c:pt>
                <c:pt idx="2153">
                  <c:v>44584</c:v>
                </c:pt>
                <c:pt idx="2154">
                  <c:v>44585</c:v>
                </c:pt>
                <c:pt idx="2155">
                  <c:v>44586</c:v>
                </c:pt>
                <c:pt idx="2156">
                  <c:v>44587</c:v>
                </c:pt>
                <c:pt idx="2157">
                  <c:v>44588</c:v>
                </c:pt>
                <c:pt idx="2158">
                  <c:v>44589</c:v>
                </c:pt>
                <c:pt idx="2159">
                  <c:v>44590</c:v>
                </c:pt>
                <c:pt idx="2160">
                  <c:v>44591</c:v>
                </c:pt>
                <c:pt idx="2161">
                  <c:v>44592</c:v>
                </c:pt>
                <c:pt idx="2162">
                  <c:v>44593</c:v>
                </c:pt>
                <c:pt idx="2163">
                  <c:v>44594</c:v>
                </c:pt>
                <c:pt idx="2164">
                  <c:v>44595</c:v>
                </c:pt>
                <c:pt idx="2165">
                  <c:v>44596</c:v>
                </c:pt>
                <c:pt idx="2166">
                  <c:v>44597</c:v>
                </c:pt>
                <c:pt idx="2167">
                  <c:v>44598</c:v>
                </c:pt>
                <c:pt idx="2168">
                  <c:v>44599</c:v>
                </c:pt>
                <c:pt idx="2169">
                  <c:v>44600</c:v>
                </c:pt>
                <c:pt idx="2170">
                  <c:v>44601</c:v>
                </c:pt>
                <c:pt idx="2171">
                  <c:v>44602</c:v>
                </c:pt>
                <c:pt idx="2172">
                  <c:v>44603</c:v>
                </c:pt>
                <c:pt idx="2173">
                  <c:v>44604</c:v>
                </c:pt>
                <c:pt idx="2174">
                  <c:v>44605</c:v>
                </c:pt>
                <c:pt idx="2175">
                  <c:v>44606</c:v>
                </c:pt>
                <c:pt idx="2176">
                  <c:v>44607</c:v>
                </c:pt>
                <c:pt idx="2177">
                  <c:v>44608</c:v>
                </c:pt>
                <c:pt idx="2178">
                  <c:v>44609</c:v>
                </c:pt>
                <c:pt idx="2179">
                  <c:v>44610</c:v>
                </c:pt>
                <c:pt idx="2180">
                  <c:v>44611</c:v>
                </c:pt>
                <c:pt idx="2181">
                  <c:v>44612</c:v>
                </c:pt>
                <c:pt idx="2182">
                  <c:v>44613</c:v>
                </c:pt>
                <c:pt idx="2183">
                  <c:v>44614</c:v>
                </c:pt>
                <c:pt idx="2184">
                  <c:v>44615</c:v>
                </c:pt>
                <c:pt idx="2185">
                  <c:v>44616</c:v>
                </c:pt>
                <c:pt idx="2186">
                  <c:v>44617</c:v>
                </c:pt>
                <c:pt idx="2187">
                  <c:v>44618</c:v>
                </c:pt>
                <c:pt idx="2188">
                  <c:v>44619</c:v>
                </c:pt>
                <c:pt idx="2189">
                  <c:v>44620</c:v>
                </c:pt>
                <c:pt idx="2190">
                  <c:v>44621</c:v>
                </c:pt>
                <c:pt idx="2191">
                  <c:v>44622</c:v>
                </c:pt>
                <c:pt idx="2192">
                  <c:v>44623</c:v>
                </c:pt>
                <c:pt idx="2193">
                  <c:v>44624</c:v>
                </c:pt>
                <c:pt idx="2194">
                  <c:v>44625</c:v>
                </c:pt>
                <c:pt idx="2195">
                  <c:v>44626</c:v>
                </c:pt>
                <c:pt idx="2196">
                  <c:v>44627</c:v>
                </c:pt>
                <c:pt idx="2197">
                  <c:v>44628</c:v>
                </c:pt>
                <c:pt idx="2198">
                  <c:v>44629</c:v>
                </c:pt>
                <c:pt idx="2199">
                  <c:v>44630</c:v>
                </c:pt>
                <c:pt idx="2200">
                  <c:v>44631</c:v>
                </c:pt>
                <c:pt idx="2201">
                  <c:v>44632</c:v>
                </c:pt>
                <c:pt idx="2202">
                  <c:v>44633</c:v>
                </c:pt>
                <c:pt idx="2203">
                  <c:v>44634</c:v>
                </c:pt>
                <c:pt idx="2204">
                  <c:v>44635</c:v>
                </c:pt>
                <c:pt idx="2205">
                  <c:v>44636</c:v>
                </c:pt>
                <c:pt idx="2206">
                  <c:v>44637</c:v>
                </c:pt>
                <c:pt idx="2207">
                  <c:v>44638</c:v>
                </c:pt>
                <c:pt idx="2208">
                  <c:v>44639</c:v>
                </c:pt>
                <c:pt idx="2209">
                  <c:v>44640</c:v>
                </c:pt>
                <c:pt idx="2210">
                  <c:v>44641</c:v>
                </c:pt>
                <c:pt idx="2211">
                  <c:v>44642</c:v>
                </c:pt>
                <c:pt idx="2212">
                  <c:v>44643</c:v>
                </c:pt>
                <c:pt idx="2213">
                  <c:v>44644</c:v>
                </c:pt>
                <c:pt idx="2214">
                  <c:v>44645</c:v>
                </c:pt>
                <c:pt idx="2215">
                  <c:v>44646</c:v>
                </c:pt>
                <c:pt idx="2216">
                  <c:v>44647</c:v>
                </c:pt>
                <c:pt idx="2217">
                  <c:v>44648</c:v>
                </c:pt>
                <c:pt idx="2218">
                  <c:v>44649</c:v>
                </c:pt>
                <c:pt idx="2219">
                  <c:v>44650</c:v>
                </c:pt>
                <c:pt idx="2220">
                  <c:v>44651</c:v>
                </c:pt>
                <c:pt idx="2221">
                  <c:v>44652</c:v>
                </c:pt>
                <c:pt idx="2222">
                  <c:v>44653</c:v>
                </c:pt>
                <c:pt idx="2223">
                  <c:v>44654</c:v>
                </c:pt>
                <c:pt idx="2224">
                  <c:v>44655</c:v>
                </c:pt>
                <c:pt idx="2225">
                  <c:v>44656</c:v>
                </c:pt>
                <c:pt idx="2226">
                  <c:v>44657</c:v>
                </c:pt>
                <c:pt idx="2227">
                  <c:v>44658</c:v>
                </c:pt>
                <c:pt idx="2228">
                  <c:v>44659</c:v>
                </c:pt>
                <c:pt idx="2229">
                  <c:v>44660</c:v>
                </c:pt>
                <c:pt idx="2230">
                  <c:v>44661</c:v>
                </c:pt>
                <c:pt idx="2231">
                  <c:v>44662</c:v>
                </c:pt>
                <c:pt idx="2232">
                  <c:v>44663</c:v>
                </c:pt>
                <c:pt idx="2233">
                  <c:v>44664</c:v>
                </c:pt>
                <c:pt idx="2234">
                  <c:v>44665</c:v>
                </c:pt>
                <c:pt idx="2235">
                  <c:v>44666</c:v>
                </c:pt>
                <c:pt idx="2236">
                  <c:v>44667</c:v>
                </c:pt>
                <c:pt idx="2237">
                  <c:v>44668</c:v>
                </c:pt>
                <c:pt idx="2238">
                  <c:v>44669</c:v>
                </c:pt>
                <c:pt idx="2239">
                  <c:v>44670</c:v>
                </c:pt>
                <c:pt idx="2240">
                  <c:v>44671</c:v>
                </c:pt>
                <c:pt idx="2241">
                  <c:v>44672</c:v>
                </c:pt>
                <c:pt idx="2242">
                  <c:v>44673</c:v>
                </c:pt>
                <c:pt idx="2243">
                  <c:v>44674</c:v>
                </c:pt>
                <c:pt idx="2244">
                  <c:v>44675</c:v>
                </c:pt>
                <c:pt idx="2245">
                  <c:v>44676</c:v>
                </c:pt>
                <c:pt idx="2246">
                  <c:v>44677</c:v>
                </c:pt>
                <c:pt idx="2247">
                  <c:v>44678</c:v>
                </c:pt>
                <c:pt idx="2248">
                  <c:v>44679</c:v>
                </c:pt>
                <c:pt idx="2249">
                  <c:v>44680</c:v>
                </c:pt>
                <c:pt idx="2250">
                  <c:v>44681</c:v>
                </c:pt>
                <c:pt idx="2251">
                  <c:v>44682</c:v>
                </c:pt>
                <c:pt idx="2252">
                  <c:v>44683</c:v>
                </c:pt>
                <c:pt idx="2253">
                  <c:v>44684</c:v>
                </c:pt>
                <c:pt idx="2254">
                  <c:v>44685</c:v>
                </c:pt>
                <c:pt idx="2255">
                  <c:v>44686</c:v>
                </c:pt>
                <c:pt idx="2256">
                  <c:v>44687</c:v>
                </c:pt>
                <c:pt idx="2257">
                  <c:v>44688</c:v>
                </c:pt>
                <c:pt idx="2258">
                  <c:v>44689</c:v>
                </c:pt>
                <c:pt idx="2259">
                  <c:v>44690</c:v>
                </c:pt>
                <c:pt idx="2260">
                  <c:v>44691</c:v>
                </c:pt>
                <c:pt idx="2261">
                  <c:v>44692</c:v>
                </c:pt>
                <c:pt idx="2262">
                  <c:v>44693</c:v>
                </c:pt>
                <c:pt idx="2263">
                  <c:v>44694</c:v>
                </c:pt>
                <c:pt idx="2264">
                  <c:v>44695</c:v>
                </c:pt>
                <c:pt idx="2265">
                  <c:v>44696</c:v>
                </c:pt>
                <c:pt idx="2266">
                  <c:v>44697</c:v>
                </c:pt>
                <c:pt idx="2267">
                  <c:v>44698</c:v>
                </c:pt>
                <c:pt idx="2268">
                  <c:v>44699</c:v>
                </c:pt>
                <c:pt idx="2269">
                  <c:v>44700</c:v>
                </c:pt>
                <c:pt idx="2270">
                  <c:v>44701</c:v>
                </c:pt>
                <c:pt idx="2271">
                  <c:v>44702</c:v>
                </c:pt>
                <c:pt idx="2272">
                  <c:v>44703</c:v>
                </c:pt>
                <c:pt idx="2273">
                  <c:v>44704</c:v>
                </c:pt>
                <c:pt idx="2274">
                  <c:v>44705</c:v>
                </c:pt>
                <c:pt idx="2275">
                  <c:v>44706</c:v>
                </c:pt>
                <c:pt idx="2276">
                  <c:v>44707</c:v>
                </c:pt>
                <c:pt idx="2277">
                  <c:v>44708</c:v>
                </c:pt>
                <c:pt idx="2278">
                  <c:v>44709</c:v>
                </c:pt>
                <c:pt idx="2279">
                  <c:v>44710</c:v>
                </c:pt>
                <c:pt idx="2280">
                  <c:v>44711</c:v>
                </c:pt>
                <c:pt idx="2281">
                  <c:v>44712</c:v>
                </c:pt>
                <c:pt idx="2282">
                  <c:v>44713</c:v>
                </c:pt>
                <c:pt idx="2283">
                  <c:v>44714</c:v>
                </c:pt>
                <c:pt idx="2284">
                  <c:v>44715</c:v>
                </c:pt>
                <c:pt idx="2285">
                  <c:v>44716</c:v>
                </c:pt>
                <c:pt idx="2286">
                  <c:v>44717</c:v>
                </c:pt>
                <c:pt idx="2287">
                  <c:v>44718</c:v>
                </c:pt>
                <c:pt idx="2288">
                  <c:v>44719</c:v>
                </c:pt>
                <c:pt idx="2289">
                  <c:v>44720</c:v>
                </c:pt>
                <c:pt idx="2290">
                  <c:v>44721</c:v>
                </c:pt>
                <c:pt idx="2291">
                  <c:v>44722</c:v>
                </c:pt>
                <c:pt idx="2292">
                  <c:v>44723</c:v>
                </c:pt>
                <c:pt idx="2293">
                  <c:v>44724</c:v>
                </c:pt>
                <c:pt idx="2294">
                  <c:v>44725</c:v>
                </c:pt>
                <c:pt idx="2295">
                  <c:v>44726</c:v>
                </c:pt>
                <c:pt idx="2296">
                  <c:v>44727</c:v>
                </c:pt>
                <c:pt idx="2297">
                  <c:v>44728</c:v>
                </c:pt>
                <c:pt idx="2298">
                  <c:v>44729</c:v>
                </c:pt>
                <c:pt idx="2299">
                  <c:v>44730</c:v>
                </c:pt>
                <c:pt idx="2300">
                  <c:v>44731</c:v>
                </c:pt>
                <c:pt idx="2301">
                  <c:v>44732</c:v>
                </c:pt>
                <c:pt idx="2302">
                  <c:v>44733</c:v>
                </c:pt>
                <c:pt idx="2303">
                  <c:v>44734</c:v>
                </c:pt>
                <c:pt idx="2304">
                  <c:v>44735</c:v>
                </c:pt>
                <c:pt idx="2305">
                  <c:v>44736</c:v>
                </c:pt>
                <c:pt idx="2306">
                  <c:v>44737</c:v>
                </c:pt>
                <c:pt idx="2307">
                  <c:v>44738</c:v>
                </c:pt>
                <c:pt idx="2308">
                  <c:v>44739</c:v>
                </c:pt>
                <c:pt idx="2309">
                  <c:v>44740</c:v>
                </c:pt>
                <c:pt idx="2310">
                  <c:v>44741</c:v>
                </c:pt>
                <c:pt idx="2311">
                  <c:v>44742</c:v>
                </c:pt>
                <c:pt idx="2312">
                  <c:v>44743</c:v>
                </c:pt>
                <c:pt idx="2313">
                  <c:v>44744</c:v>
                </c:pt>
                <c:pt idx="2314">
                  <c:v>44745</c:v>
                </c:pt>
                <c:pt idx="2315">
                  <c:v>44746</c:v>
                </c:pt>
                <c:pt idx="2316">
                  <c:v>44747</c:v>
                </c:pt>
                <c:pt idx="2317">
                  <c:v>44748</c:v>
                </c:pt>
                <c:pt idx="2318">
                  <c:v>44749</c:v>
                </c:pt>
                <c:pt idx="2319">
                  <c:v>44750</c:v>
                </c:pt>
                <c:pt idx="2320">
                  <c:v>44751</c:v>
                </c:pt>
                <c:pt idx="2321">
                  <c:v>44752</c:v>
                </c:pt>
                <c:pt idx="2322">
                  <c:v>44753</c:v>
                </c:pt>
                <c:pt idx="2323">
                  <c:v>44754</c:v>
                </c:pt>
                <c:pt idx="2324">
                  <c:v>44755</c:v>
                </c:pt>
                <c:pt idx="2325">
                  <c:v>44756</c:v>
                </c:pt>
                <c:pt idx="2326">
                  <c:v>44757</c:v>
                </c:pt>
                <c:pt idx="2327">
                  <c:v>44758</c:v>
                </c:pt>
                <c:pt idx="2328">
                  <c:v>44759</c:v>
                </c:pt>
                <c:pt idx="2329">
                  <c:v>44760</c:v>
                </c:pt>
                <c:pt idx="2330">
                  <c:v>44761</c:v>
                </c:pt>
                <c:pt idx="2331">
                  <c:v>44762</c:v>
                </c:pt>
                <c:pt idx="2332">
                  <c:v>44763</c:v>
                </c:pt>
                <c:pt idx="2333">
                  <c:v>44764</c:v>
                </c:pt>
                <c:pt idx="2334">
                  <c:v>44765</c:v>
                </c:pt>
                <c:pt idx="2335">
                  <c:v>44766</c:v>
                </c:pt>
                <c:pt idx="2336">
                  <c:v>44767</c:v>
                </c:pt>
                <c:pt idx="2337">
                  <c:v>44768</c:v>
                </c:pt>
                <c:pt idx="2338">
                  <c:v>44769</c:v>
                </c:pt>
                <c:pt idx="2339">
                  <c:v>44770</c:v>
                </c:pt>
                <c:pt idx="2340">
                  <c:v>44771</c:v>
                </c:pt>
                <c:pt idx="2341">
                  <c:v>44772</c:v>
                </c:pt>
                <c:pt idx="2342">
                  <c:v>44773</c:v>
                </c:pt>
                <c:pt idx="2343">
                  <c:v>44774</c:v>
                </c:pt>
                <c:pt idx="2344">
                  <c:v>44775</c:v>
                </c:pt>
                <c:pt idx="2345">
                  <c:v>44776</c:v>
                </c:pt>
                <c:pt idx="2346">
                  <c:v>44777</c:v>
                </c:pt>
                <c:pt idx="2347">
                  <c:v>44778</c:v>
                </c:pt>
                <c:pt idx="2348">
                  <c:v>44779</c:v>
                </c:pt>
                <c:pt idx="2349">
                  <c:v>44780</c:v>
                </c:pt>
                <c:pt idx="2350">
                  <c:v>44781</c:v>
                </c:pt>
                <c:pt idx="2351">
                  <c:v>44782</c:v>
                </c:pt>
                <c:pt idx="2352">
                  <c:v>44783</c:v>
                </c:pt>
                <c:pt idx="2353">
                  <c:v>44784</c:v>
                </c:pt>
                <c:pt idx="2354">
                  <c:v>44785</c:v>
                </c:pt>
                <c:pt idx="2355">
                  <c:v>44786</c:v>
                </c:pt>
                <c:pt idx="2356">
                  <c:v>44787</c:v>
                </c:pt>
                <c:pt idx="2357">
                  <c:v>44788</c:v>
                </c:pt>
                <c:pt idx="2358">
                  <c:v>44789</c:v>
                </c:pt>
                <c:pt idx="2359">
                  <c:v>44790</c:v>
                </c:pt>
                <c:pt idx="2360">
                  <c:v>44791</c:v>
                </c:pt>
                <c:pt idx="2361">
                  <c:v>44792</c:v>
                </c:pt>
                <c:pt idx="2362">
                  <c:v>44793</c:v>
                </c:pt>
                <c:pt idx="2363">
                  <c:v>44794</c:v>
                </c:pt>
                <c:pt idx="2364">
                  <c:v>44795</c:v>
                </c:pt>
                <c:pt idx="2365">
                  <c:v>44796</c:v>
                </c:pt>
                <c:pt idx="2366">
                  <c:v>44797</c:v>
                </c:pt>
                <c:pt idx="2367">
                  <c:v>44798</c:v>
                </c:pt>
                <c:pt idx="2368">
                  <c:v>44799</c:v>
                </c:pt>
                <c:pt idx="2369">
                  <c:v>44800</c:v>
                </c:pt>
                <c:pt idx="2370">
                  <c:v>44801</c:v>
                </c:pt>
                <c:pt idx="2371">
                  <c:v>44802</c:v>
                </c:pt>
                <c:pt idx="2372">
                  <c:v>44803</c:v>
                </c:pt>
                <c:pt idx="2373">
                  <c:v>44804</c:v>
                </c:pt>
                <c:pt idx="2374">
                  <c:v>44805</c:v>
                </c:pt>
                <c:pt idx="2375">
                  <c:v>44806</c:v>
                </c:pt>
                <c:pt idx="2376">
                  <c:v>44807</c:v>
                </c:pt>
                <c:pt idx="2377">
                  <c:v>44808</c:v>
                </c:pt>
                <c:pt idx="2378">
                  <c:v>44809</c:v>
                </c:pt>
                <c:pt idx="2379">
                  <c:v>44810</c:v>
                </c:pt>
                <c:pt idx="2380">
                  <c:v>44811</c:v>
                </c:pt>
                <c:pt idx="2381">
                  <c:v>44812</c:v>
                </c:pt>
                <c:pt idx="2382">
                  <c:v>44813</c:v>
                </c:pt>
                <c:pt idx="2383">
                  <c:v>44814</c:v>
                </c:pt>
                <c:pt idx="2384">
                  <c:v>44815</c:v>
                </c:pt>
                <c:pt idx="2385">
                  <c:v>44816</c:v>
                </c:pt>
                <c:pt idx="2386">
                  <c:v>44817</c:v>
                </c:pt>
                <c:pt idx="2387">
                  <c:v>44818</c:v>
                </c:pt>
                <c:pt idx="2388">
                  <c:v>44819</c:v>
                </c:pt>
                <c:pt idx="2389">
                  <c:v>44820</c:v>
                </c:pt>
                <c:pt idx="2390">
                  <c:v>44821</c:v>
                </c:pt>
                <c:pt idx="2391">
                  <c:v>44822</c:v>
                </c:pt>
                <c:pt idx="2392">
                  <c:v>44823</c:v>
                </c:pt>
                <c:pt idx="2393">
                  <c:v>44824</c:v>
                </c:pt>
                <c:pt idx="2394">
                  <c:v>44825</c:v>
                </c:pt>
                <c:pt idx="2395">
                  <c:v>44826</c:v>
                </c:pt>
                <c:pt idx="2396">
                  <c:v>44827</c:v>
                </c:pt>
                <c:pt idx="2397">
                  <c:v>44828</c:v>
                </c:pt>
                <c:pt idx="2398">
                  <c:v>44829</c:v>
                </c:pt>
                <c:pt idx="2399">
                  <c:v>44830</c:v>
                </c:pt>
                <c:pt idx="2400">
                  <c:v>44831</c:v>
                </c:pt>
                <c:pt idx="2401">
                  <c:v>44832</c:v>
                </c:pt>
                <c:pt idx="2402">
                  <c:v>44833</c:v>
                </c:pt>
                <c:pt idx="2403">
                  <c:v>44834</c:v>
                </c:pt>
                <c:pt idx="2404">
                  <c:v>44835</c:v>
                </c:pt>
                <c:pt idx="2405">
                  <c:v>44836</c:v>
                </c:pt>
                <c:pt idx="2406">
                  <c:v>44837</c:v>
                </c:pt>
                <c:pt idx="2407">
                  <c:v>44838</c:v>
                </c:pt>
                <c:pt idx="2408">
                  <c:v>44839</c:v>
                </c:pt>
                <c:pt idx="2409">
                  <c:v>44840</c:v>
                </c:pt>
                <c:pt idx="2410">
                  <c:v>44841</c:v>
                </c:pt>
                <c:pt idx="2411">
                  <c:v>44842</c:v>
                </c:pt>
                <c:pt idx="2412">
                  <c:v>44843</c:v>
                </c:pt>
                <c:pt idx="2413">
                  <c:v>44844</c:v>
                </c:pt>
                <c:pt idx="2414">
                  <c:v>44845</c:v>
                </c:pt>
                <c:pt idx="2415">
                  <c:v>44846</c:v>
                </c:pt>
                <c:pt idx="2416">
                  <c:v>44847</c:v>
                </c:pt>
                <c:pt idx="2417">
                  <c:v>44848</c:v>
                </c:pt>
                <c:pt idx="2418">
                  <c:v>44849</c:v>
                </c:pt>
                <c:pt idx="2419">
                  <c:v>44850</c:v>
                </c:pt>
                <c:pt idx="2420">
                  <c:v>44851</c:v>
                </c:pt>
                <c:pt idx="2421">
                  <c:v>44852</c:v>
                </c:pt>
                <c:pt idx="2422">
                  <c:v>44853</c:v>
                </c:pt>
                <c:pt idx="2423">
                  <c:v>44854</c:v>
                </c:pt>
                <c:pt idx="2424">
                  <c:v>44855</c:v>
                </c:pt>
                <c:pt idx="2425">
                  <c:v>44856</c:v>
                </c:pt>
                <c:pt idx="2426">
                  <c:v>44857</c:v>
                </c:pt>
                <c:pt idx="2427">
                  <c:v>44858</c:v>
                </c:pt>
                <c:pt idx="2428">
                  <c:v>44859</c:v>
                </c:pt>
                <c:pt idx="2429">
                  <c:v>44860</c:v>
                </c:pt>
                <c:pt idx="2430">
                  <c:v>44861</c:v>
                </c:pt>
                <c:pt idx="2431">
                  <c:v>44862</c:v>
                </c:pt>
                <c:pt idx="2432">
                  <c:v>44863</c:v>
                </c:pt>
                <c:pt idx="2433">
                  <c:v>44864</c:v>
                </c:pt>
                <c:pt idx="2434">
                  <c:v>44865</c:v>
                </c:pt>
                <c:pt idx="2435">
                  <c:v>44866</c:v>
                </c:pt>
                <c:pt idx="2436">
                  <c:v>44867</c:v>
                </c:pt>
                <c:pt idx="2437">
                  <c:v>44868</c:v>
                </c:pt>
                <c:pt idx="2438">
                  <c:v>44869</c:v>
                </c:pt>
                <c:pt idx="2439">
                  <c:v>44870</c:v>
                </c:pt>
                <c:pt idx="2440">
                  <c:v>44871</c:v>
                </c:pt>
                <c:pt idx="2441">
                  <c:v>44872</c:v>
                </c:pt>
                <c:pt idx="2442">
                  <c:v>44873</c:v>
                </c:pt>
                <c:pt idx="2443">
                  <c:v>44874</c:v>
                </c:pt>
                <c:pt idx="2444">
                  <c:v>44875</c:v>
                </c:pt>
                <c:pt idx="2445">
                  <c:v>44876</c:v>
                </c:pt>
                <c:pt idx="2446">
                  <c:v>44877</c:v>
                </c:pt>
                <c:pt idx="2447">
                  <c:v>44878</c:v>
                </c:pt>
                <c:pt idx="2448">
                  <c:v>44879</c:v>
                </c:pt>
                <c:pt idx="2449">
                  <c:v>44880</c:v>
                </c:pt>
                <c:pt idx="2450">
                  <c:v>44881</c:v>
                </c:pt>
                <c:pt idx="2451">
                  <c:v>44882</c:v>
                </c:pt>
                <c:pt idx="2452">
                  <c:v>44883</c:v>
                </c:pt>
                <c:pt idx="2453">
                  <c:v>44884</c:v>
                </c:pt>
                <c:pt idx="2454">
                  <c:v>44885</c:v>
                </c:pt>
                <c:pt idx="2455">
                  <c:v>44886</c:v>
                </c:pt>
                <c:pt idx="2456">
                  <c:v>44887</c:v>
                </c:pt>
                <c:pt idx="2457">
                  <c:v>44888</c:v>
                </c:pt>
                <c:pt idx="2458">
                  <c:v>44889</c:v>
                </c:pt>
                <c:pt idx="2459">
                  <c:v>44890</c:v>
                </c:pt>
                <c:pt idx="2460">
                  <c:v>44891</c:v>
                </c:pt>
                <c:pt idx="2461">
                  <c:v>44892</c:v>
                </c:pt>
                <c:pt idx="2462">
                  <c:v>44893</c:v>
                </c:pt>
                <c:pt idx="2463">
                  <c:v>44894</c:v>
                </c:pt>
                <c:pt idx="2464">
                  <c:v>44895</c:v>
                </c:pt>
                <c:pt idx="2465">
                  <c:v>44896</c:v>
                </c:pt>
                <c:pt idx="2466">
                  <c:v>44897</c:v>
                </c:pt>
                <c:pt idx="2467">
                  <c:v>44898</c:v>
                </c:pt>
                <c:pt idx="2468">
                  <c:v>44899</c:v>
                </c:pt>
                <c:pt idx="2469">
                  <c:v>44900</c:v>
                </c:pt>
                <c:pt idx="2470">
                  <c:v>44901</c:v>
                </c:pt>
                <c:pt idx="2471">
                  <c:v>44902</c:v>
                </c:pt>
                <c:pt idx="2472">
                  <c:v>44903</c:v>
                </c:pt>
                <c:pt idx="2473">
                  <c:v>44904</c:v>
                </c:pt>
                <c:pt idx="2474">
                  <c:v>44905</c:v>
                </c:pt>
                <c:pt idx="2475">
                  <c:v>44906</c:v>
                </c:pt>
                <c:pt idx="2476">
                  <c:v>44907</c:v>
                </c:pt>
                <c:pt idx="2477">
                  <c:v>44908</c:v>
                </c:pt>
                <c:pt idx="2478">
                  <c:v>44909</c:v>
                </c:pt>
                <c:pt idx="2479">
                  <c:v>44910</c:v>
                </c:pt>
                <c:pt idx="2480">
                  <c:v>44911</c:v>
                </c:pt>
                <c:pt idx="2481">
                  <c:v>44912</c:v>
                </c:pt>
                <c:pt idx="2482">
                  <c:v>44913</c:v>
                </c:pt>
                <c:pt idx="2483">
                  <c:v>44914</c:v>
                </c:pt>
                <c:pt idx="2484">
                  <c:v>44915</c:v>
                </c:pt>
                <c:pt idx="2485">
                  <c:v>44916</c:v>
                </c:pt>
                <c:pt idx="2486">
                  <c:v>44917</c:v>
                </c:pt>
                <c:pt idx="2487">
                  <c:v>44918</c:v>
                </c:pt>
                <c:pt idx="2488">
                  <c:v>44919</c:v>
                </c:pt>
                <c:pt idx="2489">
                  <c:v>44920</c:v>
                </c:pt>
                <c:pt idx="2490">
                  <c:v>44921</c:v>
                </c:pt>
                <c:pt idx="2491">
                  <c:v>44922</c:v>
                </c:pt>
                <c:pt idx="2492">
                  <c:v>44923</c:v>
                </c:pt>
                <c:pt idx="2493">
                  <c:v>44924</c:v>
                </c:pt>
                <c:pt idx="2494">
                  <c:v>44925</c:v>
                </c:pt>
                <c:pt idx="2495">
                  <c:v>44926</c:v>
                </c:pt>
                <c:pt idx="2496">
                  <c:v>44927</c:v>
                </c:pt>
                <c:pt idx="2497">
                  <c:v>44928</c:v>
                </c:pt>
                <c:pt idx="2498">
                  <c:v>44929</c:v>
                </c:pt>
                <c:pt idx="2499">
                  <c:v>44930</c:v>
                </c:pt>
                <c:pt idx="2500">
                  <c:v>44931</c:v>
                </c:pt>
                <c:pt idx="2501">
                  <c:v>44932</c:v>
                </c:pt>
                <c:pt idx="2502">
                  <c:v>44933</c:v>
                </c:pt>
                <c:pt idx="2503">
                  <c:v>44934</c:v>
                </c:pt>
                <c:pt idx="2504">
                  <c:v>44935</c:v>
                </c:pt>
                <c:pt idx="2505">
                  <c:v>44936</c:v>
                </c:pt>
                <c:pt idx="2506">
                  <c:v>44937</c:v>
                </c:pt>
                <c:pt idx="2507">
                  <c:v>44938</c:v>
                </c:pt>
                <c:pt idx="2508">
                  <c:v>44939</c:v>
                </c:pt>
                <c:pt idx="2509">
                  <c:v>44940</c:v>
                </c:pt>
                <c:pt idx="2510">
                  <c:v>44941</c:v>
                </c:pt>
                <c:pt idx="2511">
                  <c:v>44942</c:v>
                </c:pt>
                <c:pt idx="2512">
                  <c:v>44943</c:v>
                </c:pt>
                <c:pt idx="2513">
                  <c:v>44944</c:v>
                </c:pt>
                <c:pt idx="2514">
                  <c:v>44945</c:v>
                </c:pt>
                <c:pt idx="2515">
                  <c:v>44946</c:v>
                </c:pt>
                <c:pt idx="2516">
                  <c:v>44947</c:v>
                </c:pt>
                <c:pt idx="2517">
                  <c:v>44948</c:v>
                </c:pt>
                <c:pt idx="2518">
                  <c:v>44949</c:v>
                </c:pt>
                <c:pt idx="2519">
                  <c:v>44950</c:v>
                </c:pt>
                <c:pt idx="2520">
                  <c:v>44951</c:v>
                </c:pt>
                <c:pt idx="2521">
                  <c:v>44952</c:v>
                </c:pt>
                <c:pt idx="2522">
                  <c:v>44953</c:v>
                </c:pt>
                <c:pt idx="2523">
                  <c:v>44954</c:v>
                </c:pt>
                <c:pt idx="2524">
                  <c:v>44955</c:v>
                </c:pt>
                <c:pt idx="2525">
                  <c:v>44956</c:v>
                </c:pt>
                <c:pt idx="2526">
                  <c:v>44957</c:v>
                </c:pt>
                <c:pt idx="2527">
                  <c:v>44958</c:v>
                </c:pt>
                <c:pt idx="2528">
                  <c:v>44959</c:v>
                </c:pt>
                <c:pt idx="2529">
                  <c:v>44960</c:v>
                </c:pt>
                <c:pt idx="2530">
                  <c:v>44961</c:v>
                </c:pt>
                <c:pt idx="2531">
                  <c:v>44962</c:v>
                </c:pt>
                <c:pt idx="2532">
                  <c:v>44963</c:v>
                </c:pt>
                <c:pt idx="2533">
                  <c:v>44964</c:v>
                </c:pt>
                <c:pt idx="2534">
                  <c:v>44965</c:v>
                </c:pt>
                <c:pt idx="2535">
                  <c:v>44966</c:v>
                </c:pt>
                <c:pt idx="2536">
                  <c:v>44967</c:v>
                </c:pt>
                <c:pt idx="2537">
                  <c:v>44968</c:v>
                </c:pt>
                <c:pt idx="2538">
                  <c:v>44969</c:v>
                </c:pt>
                <c:pt idx="2539">
                  <c:v>44970</c:v>
                </c:pt>
                <c:pt idx="2540">
                  <c:v>44971</c:v>
                </c:pt>
                <c:pt idx="2541">
                  <c:v>44972</c:v>
                </c:pt>
                <c:pt idx="2542">
                  <c:v>44973</c:v>
                </c:pt>
                <c:pt idx="2543">
                  <c:v>44974</c:v>
                </c:pt>
                <c:pt idx="2544">
                  <c:v>44975</c:v>
                </c:pt>
                <c:pt idx="2545">
                  <c:v>44976</c:v>
                </c:pt>
                <c:pt idx="2546">
                  <c:v>44977</c:v>
                </c:pt>
                <c:pt idx="2547">
                  <c:v>44978</c:v>
                </c:pt>
                <c:pt idx="2548">
                  <c:v>44979</c:v>
                </c:pt>
                <c:pt idx="2549">
                  <c:v>44980</c:v>
                </c:pt>
                <c:pt idx="2550">
                  <c:v>44981</c:v>
                </c:pt>
                <c:pt idx="2551">
                  <c:v>44982</c:v>
                </c:pt>
                <c:pt idx="2552">
                  <c:v>44983</c:v>
                </c:pt>
                <c:pt idx="2553">
                  <c:v>44984</c:v>
                </c:pt>
                <c:pt idx="2554">
                  <c:v>44985</c:v>
                </c:pt>
                <c:pt idx="2555">
                  <c:v>44986</c:v>
                </c:pt>
                <c:pt idx="2556">
                  <c:v>44987</c:v>
                </c:pt>
                <c:pt idx="2557">
                  <c:v>44988</c:v>
                </c:pt>
                <c:pt idx="2558">
                  <c:v>44989</c:v>
                </c:pt>
                <c:pt idx="2559">
                  <c:v>44990</c:v>
                </c:pt>
                <c:pt idx="2560">
                  <c:v>44991</c:v>
                </c:pt>
                <c:pt idx="2561">
                  <c:v>44992</c:v>
                </c:pt>
                <c:pt idx="2562">
                  <c:v>44993</c:v>
                </c:pt>
                <c:pt idx="2563">
                  <c:v>44994</c:v>
                </c:pt>
                <c:pt idx="2564">
                  <c:v>44995</c:v>
                </c:pt>
                <c:pt idx="2565">
                  <c:v>44996</c:v>
                </c:pt>
                <c:pt idx="2566">
                  <c:v>44997</c:v>
                </c:pt>
                <c:pt idx="2567">
                  <c:v>44998</c:v>
                </c:pt>
                <c:pt idx="2568">
                  <c:v>44999</c:v>
                </c:pt>
                <c:pt idx="2569">
                  <c:v>45000</c:v>
                </c:pt>
                <c:pt idx="2570">
                  <c:v>45001</c:v>
                </c:pt>
                <c:pt idx="2571">
                  <c:v>45002</c:v>
                </c:pt>
                <c:pt idx="2572">
                  <c:v>45003</c:v>
                </c:pt>
                <c:pt idx="2573">
                  <c:v>45004</c:v>
                </c:pt>
                <c:pt idx="2574">
                  <c:v>45005</c:v>
                </c:pt>
                <c:pt idx="2575">
                  <c:v>45006</c:v>
                </c:pt>
                <c:pt idx="2576">
                  <c:v>45007</c:v>
                </c:pt>
                <c:pt idx="2577">
                  <c:v>45008</c:v>
                </c:pt>
                <c:pt idx="2578">
                  <c:v>45009</c:v>
                </c:pt>
                <c:pt idx="2579">
                  <c:v>45010</c:v>
                </c:pt>
                <c:pt idx="2580">
                  <c:v>45011</c:v>
                </c:pt>
                <c:pt idx="2581">
                  <c:v>45012</c:v>
                </c:pt>
                <c:pt idx="2582">
                  <c:v>45013</c:v>
                </c:pt>
                <c:pt idx="2583">
                  <c:v>45014</c:v>
                </c:pt>
                <c:pt idx="2584">
                  <c:v>45015</c:v>
                </c:pt>
                <c:pt idx="2585">
                  <c:v>45016</c:v>
                </c:pt>
                <c:pt idx="2586">
                  <c:v>45017</c:v>
                </c:pt>
                <c:pt idx="2587">
                  <c:v>45018</c:v>
                </c:pt>
                <c:pt idx="2588">
                  <c:v>45019</c:v>
                </c:pt>
                <c:pt idx="2589">
                  <c:v>45020</c:v>
                </c:pt>
                <c:pt idx="2590">
                  <c:v>45021</c:v>
                </c:pt>
                <c:pt idx="2591">
                  <c:v>45022</c:v>
                </c:pt>
                <c:pt idx="2592">
                  <c:v>45023</c:v>
                </c:pt>
                <c:pt idx="2593">
                  <c:v>45024</c:v>
                </c:pt>
                <c:pt idx="2594">
                  <c:v>45025</c:v>
                </c:pt>
                <c:pt idx="2595">
                  <c:v>45026</c:v>
                </c:pt>
                <c:pt idx="2596">
                  <c:v>45027</c:v>
                </c:pt>
                <c:pt idx="2597">
                  <c:v>45028</c:v>
                </c:pt>
                <c:pt idx="2598">
                  <c:v>45029</c:v>
                </c:pt>
                <c:pt idx="2599">
                  <c:v>45030</c:v>
                </c:pt>
                <c:pt idx="2600">
                  <c:v>45031</c:v>
                </c:pt>
                <c:pt idx="2601">
                  <c:v>45032</c:v>
                </c:pt>
                <c:pt idx="2602">
                  <c:v>45033</c:v>
                </c:pt>
                <c:pt idx="2603">
                  <c:v>45034</c:v>
                </c:pt>
                <c:pt idx="2604">
                  <c:v>45035</c:v>
                </c:pt>
                <c:pt idx="2605">
                  <c:v>45036</c:v>
                </c:pt>
                <c:pt idx="2606">
                  <c:v>45037</c:v>
                </c:pt>
                <c:pt idx="2607">
                  <c:v>45038</c:v>
                </c:pt>
                <c:pt idx="2608">
                  <c:v>45039</c:v>
                </c:pt>
                <c:pt idx="2609">
                  <c:v>45040</c:v>
                </c:pt>
                <c:pt idx="2610">
                  <c:v>45041</c:v>
                </c:pt>
                <c:pt idx="2611">
                  <c:v>45042</c:v>
                </c:pt>
                <c:pt idx="2612">
                  <c:v>45043</c:v>
                </c:pt>
                <c:pt idx="2613">
                  <c:v>45044</c:v>
                </c:pt>
                <c:pt idx="2614">
                  <c:v>45045</c:v>
                </c:pt>
                <c:pt idx="2615">
                  <c:v>45046</c:v>
                </c:pt>
                <c:pt idx="2616">
                  <c:v>45047</c:v>
                </c:pt>
                <c:pt idx="2617">
                  <c:v>45048</c:v>
                </c:pt>
                <c:pt idx="2618">
                  <c:v>45049</c:v>
                </c:pt>
                <c:pt idx="2619">
                  <c:v>45050</c:v>
                </c:pt>
                <c:pt idx="2620">
                  <c:v>45051</c:v>
                </c:pt>
                <c:pt idx="2621">
                  <c:v>45052</c:v>
                </c:pt>
                <c:pt idx="2622">
                  <c:v>45053</c:v>
                </c:pt>
                <c:pt idx="2623">
                  <c:v>45054</c:v>
                </c:pt>
                <c:pt idx="2624">
                  <c:v>45055</c:v>
                </c:pt>
                <c:pt idx="2625">
                  <c:v>45056</c:v>
                </c:pt>
                <c:pt idx="2626">
                  <c:v>45057</c:v>
                </c:pt>
                <c:pt idx="2627">
                  <c:v>45058</c:v>
                </c:pt>
                <c:pt idx="2628">
                  <c:v>45059</c:v>
                </c:pt>
                <c:pt idx="2629">
                  <c:v>45060</c:v>
                </c:pt>
                <c:pt idx="2630">
                  <c:v>45061</c:v>
                </c:pt>
                <c:pt idx="2631">
                  <c:v>45062</c:v>
                </c:pt>
                <c:pt idx="2632">
                  <c:v>45063</c:v>
                </c:pt>
                <c:pt idx="2633">
                  <c:v>45064</c:v>
                </c:pt>
                <c:pt idx="2634">
                  <c:v>45065</c:v>
                </c:pt>
                <c:pt idx="2635">
                  <c:v>45066</c:v>
                </c:pt>
                <c:pt idx="2636">
                  <c:v>45067</c:v>
                </c:pt>
                <c:pt idx="2637">
                  <c:v>45068</c:v>
                </c:pt>
                <c:pt idx="2638">
                  <c:v>45069</c:v>
                </c:pt>
                <c:pt idx="2639">
                  <c:v>45070</c:v>
                </c:pt>
                <c:pt idx="2640">
                  <c:v>45071</c:v>
                </c:pt>
                <c:pt idx="2641">
                  <c:v>45072</c:v>
                </c:pt>
                <c:pt idx="2642">
                  <c:v>45073</c:v>
                </c:pt>
                <c:pt idx="2643">
                  <c:v>45074</c:v>
                </c:pt>
                <c:pt idx="2644">
                  <c:v>45075</c:v>
                </c:pt>
                <c:pt idx="2645">
                  <c:v>45076</c:v>
                </c:pt>
                <c:pt idx="2646">
                  <c:v>45077</c:v>
                </c:pt>
                <c:pt idx="2647">
                  <c:v>45078</c:v>
                </c:pt>
                <c:pt idx="2648">
                  <c:v>45079</c:v>
                </c:pt>
                <c:pt idx="2649">
                  <c:v>45080</c:v>
                </c:pt>
                <c:pt idx="2650">
                  <c:v>45081</c:v>
                </c:pt>
                <c:pt idx="2651">
                  <c:v>45082</c:v>
                </c:pt>
                <c:pt idx="2652">
                  <c:v>45083</c:v>
                </c:pt>
                <c:pt idx="2653">
                  <c:v>45084</c:v>
                </c:pt>
                <c:pt idx="2654">
                  <c:v>45085</c:v>
                </c:pt>
                <c:pt idx="2655">
                  <c:v>45086</c:v>
                </c:pt>
                <c:pt idx="2656">
                  <c:v>45087</c:v>
                </c:pt>
                <c:pt idx="2657">
                  <c:v>45088</c:v>
                </c:pt>
                <c:pt idx="2658">
                  <c:v>45089</c:v>
                </c:pt>
                <c:pt idx="2659">
                  <c:v>45090</c:v>
                </c:pt>
                <c:pt idx="2660">
                  <c:v>45091</c:v>
                </c:pt>
                <c:pt idx="2661">
                  <c:v>45092</c:v>
                </c:pt>
                <c:pt idx="2662">
                  <c:v>45093</c:v>
                </c:pt>
                <c:pt idx="2663">
                  <c:v>45094</c:v>
                </c:pt>
                <c:pt idx="2664">
                  <c:v>45095</c:v>
                </c:pt>
                <c:pt idx="2665">
                  <c:v>45096</c:v>
                </c:pt>
                <c:pt idx="2666">
                  <c:v>45097</c:v>
                </c:pt>
                <c:pt idx="2667">
                  <c:v>45098</c:v>
                </c:pt>
                <c:pt idx="2668">
                  <c:v>45099</c:v>
                </c:pt>
                <c:pt idx="2669">
                  <c:v>45100</c:v>
                </c:pt>
                <c:pt idx="2670">
                  <c:v>45101</c:v>
                </c:pt>
                <c:pt idx="2671">
                  <c:v>45102</c:v>
                </c:pt>
                <c:pt idx="2672">
                  <c:v>45103</c:v>
                </c:pt>
                <c:pt idx="2673">
                  <c:v>45104</c:v>
                </c:pt>
                <c:pt idx="2674">
                  <c:v>45105</c:v>
                </c:pt>
                <c:pt idx="2675">
                  <c:v>45106</c:v>
                </c:pt>
                <c:pt idx="2676">
                  <c:v>45107</c:v>
                </c:pt>
                <c:pt idx="2677">
                  <c:v>45108</c:v>
                </c:pt>
                <c:pt idx="2678">
                  <c:v>45109</c:v>
                </c:pt>
                <c:pt idx="2679">
                  <c:v>45110</c:v>
                </c:pt>
                <c:pt idx="2680">
                  <c:v>45111</c:v>
                </c:pt>
                <c:pt idx="2681">
                  <c:v>45112</c:v>
                </c:pt>
                <c:pt idx="2682">
                  <c:v>45113</c:v>
                </c:pt>
                <c:pt idx="2683">
                  <c:v>45114</c:v>
                </c:pt>
                <c:pt idx="2684">
                  <c:v>45115</c:v>
                </c:pt>
                <c:pt idx="2685">
                  <c:v>45116</c:v>
                </c:pt>
                <c:pt idx="2686">
                  <c:v>45117</c:v>
                </c:pt>
                <c:pt idx="2687">
                  <c:v>45118</c:v>
                </c:pt>
                <c:pt idx="2688">
                  <c:v>45119</c:v>
                </c:pt>
                <c:pt idx="2689">
                  <c:v>45120</c:v>
                </c:pt>
                <c:pt idx="2690">
                  <c:v>45121</c:v>
                </c:pt>
                <c:pt idx="2691">
                  <c:v>45122</c:v>
                </c:pt>
                <c:pt idx="2692">
                  <c:v>45123</c:v>
                </c:pt>
                <c:pt idx="2693">
                  <c:v>45124</c:v>
                </c:pt>
                <c:pt idx="2694">
                  <c:v>45125</c:v>
                </c:pt>
                <c:pt idx="2695">
                  <c:v>45126</c:v>
                </c:pt>
                <c:pt idx="2696">
                  <c:v>45127</c:v>
                </c:pt>
                <c:pt idx="2697">
                  <c:v>45128</c:v>
                </c:pt>
                <c:pt idx="2698">
                  <c:v>45129</c:v>
                </c:pt>
                <c:pt idx="2699">
                  <c:v>45130</c:v>
                </c:pt>
                <c:pt idx="2700">
                  <c:v>45131</c:v>
                </c:pt>
                <c:pt idx="2701">
                  <c:v>45132</c:v>
                </c:pt>
                <c:pt idx="2702">
                  <c:v>45133</c:v>
                </c:pt>
                <c:pt idx="2703">
                  <c:v>45134</c:v>
                </c:pt>
                <c:pt idx="2704">
                  <c:v>45135</c:v>
                </c:pt>
                <c:pt idx="2705">
                  <c:v>45136</c:v>
                </c:pt>
                <c:pt idx="2706">
                  <c:v>45137</c:v>
                </c:pt>
                <c:pt idx="2707">
                  <c:v>45138</c:v>
                </c:pt>
                <c:pt idx="2708">
                  <c:v>45139</c:v>
                </c:pt>
                <c:pt idx="2709">
                  <c:v>45140</c:v>
                </c:pt>
                <c:pt idx="2710">
                  <c:v>45141</c:v>
                </c:pt>
                <c:pt idx="2711">
                  <c:v>45142</c:v>
                </c:pt>
                <c:pt idx="2712">
                  <c:v>45143</c:v>
                </c:pt>
                <c:pt idx="2713">
                  <c:v>45144</c:v>
                </c:pt>
                <c:pt idx="2714">
                  <c:v>45145</c:v>
                </c:pt>
                <c:pt idx="2715">
                  <c:v>45146</c:v>
                </c:pt>
                <c:pt idx="2716">
                  <c:v>45147</c:v>
                </c:pt>
                <c:pt idx="2717">
                  <c:v>45148</c:v>
                </c:pt>
                <c:pt idx="2718">
                  <c:v>45149</c:v>
                </c:pt>
                <c:pt idx="2719">
                  <c:v>45150</c:v>
                </c:pt>
                <c:pt idx="2720">
                  <c:v>45151</c:v>
                </c:pt>
                <c:pt idx="2721">
                  <c:v>45152</c:v>
                </c:pt>
                <c:pt idx="2722">
                  <c:v>45153</c:v>
                </c:pt>
                <c:pt idx="2723">
                  <c:v>45154</c:v>
                </c:pt>
                <c:pt idx="2724">
                  <c:v>45155</c:v>
                </c:pt>
                <c:pt idx="2725">
                  <c:v>45156</c:v>
                </c:pt>
                <c:pt idx="2726">
                  <c:v>45157</c:v>
                </c:pt>
                <c:pt idx="2727">
                  <c:v>45158</c:v>
                </c:pt>
                <c:pt idx="2728">
                  <c:v>45159</c:v>
                </c:pt>
                <c:pt idx="2729">
                  <c:v>45160</c:v>
                </c:pt>
                <c:pt idx="2730">
                  <c:v>45161</c:v>
                </c:pt>
                <c:pt idx="2731">
                  <c:v>45162</c:v>
                </c:pt>
                <c:pt idx="2732">
                  <c:v>45163</c:v>
                </c:pt>
                <c:pt idx="2733">
                  <c:v>45164</c:v>
                </c:pt>
                <c:pt idx="2734">
                  <c:v>45165</c:v>
                </c:pt>
                <c:pt idx="2735">
                  <c:v>45166</c:v>
                </c:pt>
                <c:pt idx="2736">
                  <c:v>45167</c:v>
                </c:pt>
                <c:pt idx="2737">
                  <c:v>45168</c:v>
                </c:pt>
                <c:pt idx="2738">
                  <c:v>45169</c:v>
                </c:pt>
                <c:pt idx="2739">
                  <c:v>45170</c:v>
                </c:pt>
                <c:pt idx="2740">
                  <c:v>45171</c:v>
                </c:pt>
                <c:pt idx="2741">
                  <c:v>45172</c:v>
                </c:pt>
                <c:pt idx="2742">
                  <c:v>45173</c:v>
                </c:pt>
                <c:pt idx="2743">
                  <c:v>45174</c:v>
                </c:pt>
                <c:pt idx="2744">
                  <c:v>45175</c:v>
                </c:pt>
                <c:pt idx="2745">
                  <c:v>45176</c:v>
                </c:pt>
                <c:pt idx="2746">
                  <c:v>45177</c:v>
                </c:pt>
                <c:pt idx="2747">
                  <c:v>45178</c:v>
                </c:pt>
                <c:pt idx="2748">
                  <c:v>45179</c:v>
                </c:pt>
                <c:pt idx="2749">
                  <c:v>45180</c:v>
                </c:pt>
                <c:pt idx="2750">
                  <c:v>45181</c:v>
                </c:pt>
                <c:pt idx="2751">
                  <c:v>45182</c:v>
                </c:pt>
                <c:pt idx="2752">
                  <c:v>45183</c:v>
                </c:pt>
                <c:pt idx="2753">
                  <c:v>45184</c:v>
                </c:pt>
                <c:pt idx="2754">
                  <c:v>45185</c:v>
                </c:pt>
                <c:pt idx="2755">
                  <c:v>45186</c:v>
                </c:pt>
                <c:pt idx="2756">
                  <c:v>45187</c:v>
                </c:pt>
                <c:pt idx="2757">
                  <c:v>45188</c:v>
                </c:pt>
                <c:pt idx="2758">
                  <c:v>45189</c:v>
                </c:pt>
                <c:pt idx="2759">
                  <c:v>45190</c:v>
                </c:pt>
                <c:pt idx="2760">
                  <c:v>45191</c:v>
                </c:pt>
                <c:pt idx="2761">
                  <c:v>45192</c:v>
                </c:pt>
                <c:pt idx="2762">
                  <c:v>45193</c:v>
                </c:pt>
                <c:pt idx="2763">
                  <c:v>45194</c:v>
                </c:pt>
                <c:pt idx="2764">
                  <c:v>45195</c:v>
                </c:pt>
                <c:pt idx="2765">
                  <c:v>45196</c:v>
                </c:pt>
                <c:pt idx="2766">
                  <c:v>45197</c:v>
                </c:pt>
                <c:pt idx="2767">
                  <c:v>45198</c:v>
                </c:pt>
                <c:pt idx="2768">
                  <c:v>45199</c:v>
                </c:pt>
                <c:pt idx="2769">
                  <c:v>45200</c:v>
                </c:pt>
                <c:pt idx="2770">
                  <c:v>45201</c:v>
                </c:pt>
                <c:pt idx="2771">
                  <c:v>45202</c:v>
                </c:pt>
                <c:pt idx="2772">
                  <c:v>45203</c:v>
                </c:pt>
                <c:pt idx="2773">
                  <c:v>45204</c:v>
                </c:pt>
                <c:pt idx="2774">
                  <c:v>45205</c:v>
                </c:pt>
                <c:pt idx="2775">
                  <c:v>45206</c:v>
                </c:pt>
                <c:pt idx="2776">
                  <c:v>45207</c:v>
                </c:pt>
                <c:pt idx="2777">
                  <c:v>45208</c:v>
                </c:pt>
                <c:pt idx="2778">
                  <c:v>45209</c:v>
                </c:pt>
                <c:pt idx="2779">
                  <c:v>45210</c:v>
                </c:pt>
                <c:pt idx="2780">
                  <c:v>45211</c:v>
                </c:pt>
                <c:pt idx="2781">
                  <c:v>45212</c:v>
                </c:pt>
                <c:pt idx="2782">
                  <c:v>45213</c:v>
                </c:pt>
                <c:pt idx="2783">
                  <c:v>45214</c:v>
                </c:pt>
                <c:pt idx="2784">
                  <c:v>45215</c:v>
                </c:pt>
                <c:pt idx="2785">
                  <c:v>45216</c:v>
                </c:pt>
                <c:pt idx="2786">
                  <c:v>45217</c:v>
                </c:pt>
                <c:pt idx="2787">
                  <c:v>45218</c:v>
                </c:pt>
                <c:pt idx="2788">
                  <c:v>45219</c:v>
                </c:pt>
                <c:pt idx="2789">
                  <c:v>45220</c:v>
                </c:pt>
                <c:pt idx="2790">
                  <c:v>45221</c:v>
                </c:pt>
                <c:pt idx="2791">
                  <c:v>45222</c:v>
                </c:pt>
                <c:pt idx="2792">
                  <c:v>45223</c:v>
                </c:pt>
                <c:pt idx="2793">
                  <c:v>45224</c:v>
                </c:pt>
                <c:pt idx="2794">
                  <c:v>45225</c:v>
                </c:pt>
                <c:pt idx="2795">
                  <c:v>45226</c:v>
                </c:pt>
                <c:pt idx="2796">
                  <c:v>45227</c:v>
                </c:pt>
                <c:pt idx="2797">
                  <c:v>45228</c:v>
                </c:pt>
                <c:pt idx="2798">
                  <c:v>45229</c:v>
                </c:pt>
                <c:pt idx="2799">
                  <c:v>45230</c:v>
                </c:pt>
                <c:pt idx="2800">
                  <c:v>45231</c:v>
                </c:pt>
                <c:pt idx="2801">
                  <c:v>45232</c:v>
                </c:pt>
                <c:pt idx="2802">
                  <c:v>45233</c:v>
                </c:pt>
                <c:pt idx="2803">
                  <c:v>45234</c:v>
                </c:pt>
                <c:pt idx="2804">
                  <c:v>45235</c:v>
                </c:pt>
                <c:pt idx="2805">
                  <c:v>45236</c:v>
                </c:pt>
                <c:pt idx="2806">
                  <c:v>45237</c:v>
                </c:pt>
                <c:pt idx="2807">
                  <c:v>45238</c:v>
                </c:pt>
                <c:pt idx="2808">
                  <c:v>45239</c:v>
                </c:pt>
                <c:pt idx="2809">
                  <c:v>45240</c:v>
                </c:pt>
                <c:pt idx="2810">
                  <c:v>45241</c:v>
                </c:pt>
                <c:pt idx="2811">
                  <c:v>45242</c:v>
                </c:pt>
                <c:pt idx="2812">
                  <c:v>45243</c:v>
                </c:pt>
                <c:pt idx="2813">
                  <c:v>45244</c:v>
                </c:pt>
                <c:pt idx="2814">
                  <c:v>45245</c:v>
                </c:pt>
                <c:pt idx="2815">
                  <c:v>45246</c:v>
                </c:pt>
                <c:pt idx="2816">
                  <c:v>45247</c:v>
                </c:pt>
                <c:pt idx="2817">
                  <c:v>45248</c:v>
                </c:pt>
                <c:pt idx="2818">
                  <c:v>45249</c:v>
                </c:pt>
                <c:pt idx="2819">
                  <c:v>45250</c:v>
                </c:pt>
                <c:pt idx="2820">
                  <c:v>45251</c:v>
                </c:pt>
                <c:pt idx="2821">
                  <c:v>45252</c:v>
                </c:pt>
                <c:pt idx="2822">
                  <c:v>45253</c:v>
                </c:pt>
                <c:pt idx="2823">
                  <c:v>45254</c:v>
                </c:pt>
                <c:pt idx="2824">
                  <c:v>45255</c:v>
                </c:pt>
                <c:pt idx="2825">
                  <c:v>45256</c:v>
                </c:pt>
                <c:pt idx="2826">
                  <c:v>45257</c:v>
                </c:pt>
                <c:pt idx="2827">
                  <c:v>45258</c:v>
                </c:pt>
                <c:pt idx="2828">
                  <c:v>45259</c:v>
                </c:pt>
                <c:pt idx="2829">
                  <c:v>45260</c:v>
                </c:pt>
                <c:pt idx="2830">
                  <c:v>45261</c:v>
                </c:pt>
                <c:pt idx="2831">
                  <c:v>45262</c:v>
                </c:pt>
                <c:pt idx="2832">
                  <c:v>45263</c:v>
                </c:pt>
                <c:pt idx="2833">
                  <c:v>45264</c:v>
                </c:pt>
                <c:pt idx="2834">
                  <c:v>45265</c:v>
                </c:pt>
                <c:pt idx="2835">
                  <c:v>45266</c:v>
                </c:pt>
                <c:pt idx="2836">
                  <c:v>45267</c:v>
                </c:pt>
                <c:pt idx="2837">
                  <c:v>45268</c:v>
                </c:pt>
                <c:pt idx="2838">
                  <c:v>45269</c:v>
                </c:pt>
                <c:pt idx="2839">
                  <c:v>45270</c:v>
                </c:pt>
                <c:pt idx="2840">
                  <c:v>45271</c:v>
                </c:pt>
                <c:pt idx="2841">
                  <c:v>45272</c:v>
                </c:pt>
                <c:pt idx="2842">
                  <c:v>45273</c:v>
                </c:pt>
                <c:pt idx="2843">
                  <c:v>45274</c:v>
                </c:pt>
                <c:pt idx="2844">
                  <c:v>45275</c:v>
                </c:pt>
                <c:pt idx="2845">
                  <c:v>45276</c:v>
                </c:pt>
                <c:pt idx="2846">
                  <c:v>45277</c:v>
                </c:pt>
                <c:pt idx="2847">
                  <c:v>45278</c:v>
                </c:pt>
                <c:pt idx="2848">
                  <c:v>45279</c:v>
                </c:pt>
                <c:pt idx="2849">
                  <c:v>45280</c:v>
                </c:pt>
                <c:pt idx="2850">
                  <c:v>45281</c:v>
                </c:pt>
                <c:pt idx="2851">
                  <c:v>45282</c:v>
                </c:pt>
                <c:pt idx="2852">
                  <c:v>45283</c:v>
                </c:pt>
                <c:pt idx="2853">
                  <c:v>45284</c:v>
                </c:pt>
                <c:pt idx="2854">
                  <c:v>45285</c:v>
                </c:pt>
                <c:pt idx="2855">
                  <c:v>45286</c:v>
                </c:pt>
                <c:pt idx="2856">
                  <c:v>45287</c:v>
                </c:pt>
                <c:pt idx="2857">
                  <c:v>45288</c:v>
                </c:pt>
                <c:pt idx="2858">
                  <c:v>45289</c:v>
                </c:pt>
                <c:pt idx="2859">
                  <c:v>45290</c:v>
                </c:pt>
                <c:pt idx="2860">
                  <c:v>45291</c:v>
                </c:pt>
                <c:pt idx="2861">
                  <c:v>45292</c:v>
                </c:pt>
                <c:pt idx="2862">
                  <c:v>45293</c:v>
                </c:pt>
                <c:pt idx="2863">
                  <c:v>45294</c:v>
                </c:pt>
                <c:pt idx="2864">
                  <c:v>45295</c:v>
                </c:pt>
                <c:pt idx="2865">
                  <c:v>45296</c:v>
                </c:pt>
                <c:pt idx="2866">
                  <c:v>45297</c:v>
                </c:pt>
                <c:pt idx="2867">
                  <c:v>45298</c:v>
                </c:pt>
                <c:pt idx="2868">
                  <c:v>45299</c:v>
                </c:pt>
                <c:pt idx="2869">
                  <c:v>45300</c:v>
                </c:pt>
                <c:pt idx="2870">
                  <c:v>45301</c:v>
                </c:pt>
                <c:pt idx="2871">
                  <c:v>45302</c:v>
                </c:pt>
                <c:pt idx="2872">
                  <c:v>45303</c:v>
                </c:pt>
                <c:pt idx="2873">
                  <c:v>45304</c:v>
                </c:pt>
                <c:pt idx="2874">
                  <c:v>45305</c:v>
                </c:pt>
                <c:pt idx="2875">
                  <c:v>45306</c:v>
                </c:pt>
                <c:pt idx="2876">
                  <c:v>45307</c:v>
                </c:pt>
                <c:pt idx="2877">
                  <c:v>45308</c:v>
                </c:pt>
              </c:numCache>
            </c:numRef>
          </c:cat>
          <c:val>
            <c:numRef>
              <c:f>Baserate_FRA!$C$3:$C$2880</c:f>
              <c:numCache>
                <c:formatCode>General</c:formatCode>
                <c:ptCount val="2878"/>
                <c:pt idx="0">
                  <c:v>1.35</c:v>
                </c:pt>
                <c:pt idx="1">
                  <c:v>1.35</c:v>
                </c:pt>
                <c:pt idx="2">
                  <c:v>1.35</c:v>
                </c:pt>
                <c:pt idx="3">
                  <c:v>1.35</c:v>
                </c:pt>
                <c:pt idx="4">
                  <c:v>1.35</c:v>
                </c:pt>
                <c:pt idx="5">
                  <c:v>1.35</c:v>
                </c:pt>
                <c:pt idx="6">
                  <c:v>1.35</c:v>
                </c:pt>
                <c:pt idx="7">
                  <c:v>1.35</c:v>
                </c:pt>
                <c:pt idx="8">
                  <c:v>1.35</c:v>
                </c:pt>
                <c:pt idx="9">
                  <c:v>1.35</c:v>
                </c:pt>
                <c:pt idx="10">
                  <c:v>1.35</c:v>
                </c:pt>
                <c:pt idx="11">
                  <c:v>1.35</c:v>
                </c:pt>
                <c:pt idx="12">
                  <c:v>1.35</c:v>
                </c:pt>
                <c:pt idx="13">
                  <c:v>1.35</c:v>
                </c:pt>
                <c:pt idx="14">
                  <c:v>1.35</c:v>
                </c:pt>
                <c:pt idx="15">
                  <c:v>1.35</c:v>
                </c:pt>
                <c:pt idx="16">
                  <c:v>1.35</c:v>
                </c:pt>
                <c:pt idx="17">
                  <c:v>1.35</c:v>
                </c:pt>
                <c:pt idx="18">
                  <c:v>1.35</c:v>
                </c:pt>
                <c:pt idx="19">
                  <c:v>1.35</c:v>
                </c:pt>
                <c:pt idx="20">
                  <c:v>1.35</c:v>
                </c:pt>
                <c:pt idx="21">
                  <c:v>1.35</c:v>
                </c:pt>
                <c:pt idx="22">
                  <c:v>1.35</c:v>
                </c:pt>
                <c:pt idx="23">
                  <c:v>1.35</c:v>
                </c:pt>
                <c:pt idx="24">
                  <c:v>1.35</c:v>
                </c:pt>
                <c:pt idx="25">
                  <c:v>1.35</c:v>
                </c:pt>
                <c:pt idx="26">
                  <c:v>1.35</c:v>
                </c:pt>
                <c:pt idx="27">
                  <c:v>1.35</c:v>
                </c:pt>
                <c:pt idx="28">
                  <c:v>1.35</c:v>
                </c:pt>
                <c:pt idx="29">
                  <c:v>1.35</c:v>
                </c:pt>
                <c:pt idx="30">
                  <c:v>1.35</c:v>
                </c:pt>
                <c:pt idx="31">
                  <c:v>1.35</c:v>
                </c:pt>
                <c:pt idx="32">
                  <c:v>1.35</c:v>
                </c:pt>
                <c:pt idx="33">
                  <c:v>1.35</c:v>
                </c:pt>
                <c:pt idx="34">
                  <c:v>1.35</c:v>
                </c:pt>
                <c:pt idx="35">
                  <c:v>1.35</c:v>
                </c:pt>
                <c:pt idx="36">
                  <c:v>1.35</c:v>
                </c:pt>
                <c:pt idx="37">
                  <c:v>1.35</c:v>
                </c:pt>
                <c:pt idx="38">
                  <c:v>1.35</c:v>
                </c:pt>
                <c:pt idx="39">
                  <c:v>1.35</c:v>
                </c:pt>
                <c:pt idx="40">
                  <c:v>1.35</c:v>
                </c:pt>
                <c:pt idx="41">
                  <c:v>1.35</c:v>
                </c:pt>
                <c:pt idx="42">
                  <c:v>1.35</c:v>
                </c:pt>
                <c:pt idx="43">
                  <c:v>1.35</c:v>
                </c:pt>
                <c:pt idx="44">
                  <c:v>1.35</c:v>
                </c:pt>
                <c:pt idx="45">
                  <c:v>1.35</c:v>
                </c:pt>
                <c:pt idx="46">
                  <c:v>1.35</c:v>
                </c:pt>
                <c:pt idx="47">
                  <c:v>1.35</c:v>
                </c:pt>
                <c:pt idx="48">
                  <c:v>1.35</c:v>
                </c:pt>
                <c:pt idx="49">
                  <c:v>1.35</c:v>
                </c:pt>
                <c:pt idx="50">
                  <c:v>1.35</c:v>
                </c:pt>
                <c:pt idx="51">
                  <c:v>1.35</c:v>
                </c:pt>
                <c:pt idx="52">
                  <c:v>1.35</c:v>
                </c:pt>
                <c:pt idx="53">
                  <c:v>1.35</c:v>
                </c:pt>
                <c:pt idx="54">
                  <c:v>1.35</c:v>
                </c:pt>
                <c:pt idx="55">
                  <c:v>1.35</c:v>
                </c:pt>
                <c:pt idx="56">
                  <c:v>1.35</c:v>
                </c:pt>
                <c:pt idx="57">
                  <c:v>1.35</c:v>
                </c:pt>
                <c:pt idx="58">
                  <c:v>1.35</c:v>
                </c:pt>
                <c:pt idx="59">
                  <c:v>1.35</c:v>
                </c:pt>
                <c:pt idx="60">
                  <c:v>1.35</c:v>
                </c:pt>
                <c:pt idx="61">
                  <c:v>1.35</c:v>
                </c:pt>
                <c:pt idx="62">
                  <c:v>1.35</c:v>
                </c:pt>
                <c:pt idx="63">
                  <c:v>1.35</c:v>
                </c:pt>
                <c:pt idx="64">
                  <c:v>1.35</c:v>
                </c:pt>
                <c:pt idx="65">
                  <c:v>1.35</c:v>
                </c:pt>
                <c:pt idx="66">
                  <c:v>1.35</c:v>
                </c:pt>
                <c:pt idx="67">
                  <c:v>1.35</c:v>
                </c:pt>
                <c:pt idx="68">
                  <c:v>1.35</c:v>
                </c:pt>
                <c:pt idx="69">
                  <c:v>1.35</c:v>
                </c:pt>
                <c:pt idx="70">
                  <c:v>1.35</c:v>
                </c:pt>
                <c:pt idx="71">
                  <c:v>1.35</c:v>
                </c:pt>
                <c:pt idx="72">
                  <c:v>1.35</c:v>
                </c:pt>
                <c:pt idx="73">
                  <c:v>1.35</c:v>
                </c:pt>
                <c:pt idx="74">
                  <c:v>1.35</c:v>
                </c:pt>
                <c:pt idx="75">
                  <c:v>1.35</c:v>
                </c:pt>
                <c:pt idx="76">
                  <c:v>1.35</c:v>
                </c:pt>
                <c:pt idx="77">
                  <c:v>1.35</c:v>
                </c:pt>
                <c:pt idx="78">
                  <c:v>1.35</c:v>
                </c:pt>
                <c:pt idx="79">
                  <c:v>1.35</c:v>
                </c:pt>
                <c:pt idx="80">
                  <c:v>1.35</c:v>
                </c:pt>
                <c:pt idx="81">
                  <c:v>1.35</c:v>
                </c:pt>
                <c:pt idx="82">
                  <c:v>1.35</c:v>
                </c:pt>
                <c:pt idx="83">
                  <c:v>1.35</c:v>
                </c:pt>
                <c:pt idx="84">
                  <c:v>1.35</c:v>
                </c:pt>
                <c:pt idx="85">
                  <c:v>1.35</c:v>
                </c:pt>
                <c:pt idx="86">
                  <c:v>1.35</c:v>
                </c:pt>
                <c:pt idx="87">
                  <c:v>1.35</c:v>
                </c:pt>
                <c:pt idx="88">
                  <c:v>1.35</c:v>
                </c:pt>
                <c:pt idx="89">
                  <c:v>1.35</c:v>
                </c:pt>
                <c:pt idx="90">
                  <c:v>1.35</c:v>
                </c:pt>
                <c:pt idx="91">
                  <c:v>1.35</c:v>
                </c:pt>
                <c:pt idx="92">
                  <c:v>1.35</c:v>
                </c:pt>
                <c:pt idx="93">
                  <c:v>1.35</c:v>
                </c:pt>
                <c:pt idx="94">
                  <c:v>1.35</c:v>
                </c:pt>
                <c:pt idx="95">
                  <c:v>1.35</c:v>
                </c:pt>
                <c:pt idx="96">
                  <c:v>1.35</c:v>
                </c:pt>
                <c:pt idx="97">
                  <c:v>1.35</c:v>
                </c:pt>
                <c:pt idx="98">
                  <c:v>1.35</c:v>
                </c:pt>
                <c:pt idx="99">
                  <c:v>1.35</c:v>
                </c:pt>
                <c:pt idx="100">
                  <c:v>1.35</c:v>
                </c:pt>
                <c:pt idx="101">
                  <c:v>1.35</c:v>
                </c:pt>
                <c:pt idx="102">
                  <c:v>1.35</c:v>
                </c:pt>
                <c:pt idx="103">
                  <c:v>1.35</c:v>
                </c:pt>
                <c:pt idx="104">
                  <c:v>1.35</c:v>
                </c:pt>
                <c:pt idx="105">
                  <c:v>1.35</c:v>
                </c:pt>
                <c:pt idx="106">
                  <c:v>1.35</c:v>
                </c:pt>
                <c:pt idx="107">
                  <c:v>1.35</c:v>
                </c:pt>
                <c:pt idx="108">
                  <c:v>1.35</c:v>
                </c:pt>
                <c:pt idx="109">
                  <c:v>1.35</c:v>
                </c:pt>
                <c:pt idx="110">
                  <c:v>1.35</c:v>
                </c:pt>
                <c:pt idx="111">
                  <c:v>1.35</c:v>
                </c:pt>
                <c:pt idx="112">
                  <c:v>1.35</c:v>
                </c:pt>
                <c:pt idx="113">
                  <c:v>1.35</c:v>
                </c:pt>
                <c:pt idx="114">
                  <c:v>1.35</c:v>
                </c:pt>
                <c:pt idx="115">
                  <c:v>1.35</c:v>
                </c:pt>
                <c:pt idx="116">
                  <c:v>1.35</c:v>
                </c:pt>
                <c:pt idx="117">
                  <c:v>1.35</c:v>
                </c:pt>
                <c:pt idx="118">
                  <c:v>1.35</c:v>
                </c:pt>
                <c:pt idx="119">
                  <c:v>1.35</c:v>
                </c:pt>
                <c:pt idx="120">
                  <c:v>1.35</c:v>
                </c:pt>
                <c:pt idx="121">
                  <c:v>1.35</c:v>
                </c:pt>
                <c:pt idx="122">
                  <c:v>1.35</c:v>
                </c:pt>
                <c:pt idx="123">
                  <c:v>1.35</c:v>
                </c:pt>
                <c:pt idx="124">
                  <c:v>1.35</c:v>
                </c:pt>
                <c:pt idx="125">
                  <c:v>1.35</c:v>
                </c:pt>
                <c:pt idx="126">
                  <c:v>1.35</c:v>
                </c:pt>
                <c:pt idx="127">
                  <c:v>1.35</c:v>
                </c:pt>
                <c:pt idx="128">
                  <c:v>1.35</c:v>
                </c:pt>
                <c:pt idx="129">
                  <c:v>1.35</c:v>
                </c:pt>
                <c:pt idx="130">
                  <c:v>1.35</c:v>
                </c:pt>
                <c:pt idx="131">
                  <c:v>1.35</c:v>
                </c:pt>
                <c:pt idx="132">
                  <c:v>1.35</c:v>
                </c:pt>
                <c:pt idx="133">
                  <c:v>1.35</c:v>
                </c:pt>
                <c:pt idx="134">
                  <c:v>1.35</c:v>
                </c:pt>
                <c:pt idx="135">
                  <c:v>1.35</c:v>
                </c:pt>
                <c:pt idx="136">
                  <c:v>1.35</c:v>
                </c:pt>
                <c:pt idx="137">
                  <c:v>1.35</c:v>
                </c:pt>
                <c:pt idx="138">
                  <c:v>1.35</c:v>
                </c:pt>
                <c:pt idx="139">
                  <c:v>1.35</c:v>
                </c:pt>
                <c:pt idx="140">
                  <c:v>1.35</c:v>
                </c:pt>
                <c:pt idx="141">
                  <c:v>1.2</c:v>
                </c:pt>
                <c:pt idx="142">
                  <c:v>1.2</c:v>
                </c:pt>
                <c:pt idx="143">
                  <c:v>1.2</c:v>
                </c:pt>
                <c:pt idx="144">
                  <c:v>1.2</c:v>
                </c:pt>
                <c:pt idx="145">
                  <c:v>1.2</c:v>
                </c:pt>
                <c:pt idx="146">
                  <c:v>1.2</c:v>
                </c:pt>
                <c:pt idx="147">
                  <c:v>1.2</c:v>
                </c:pt>
                <c:pt idx="148">
                  <c:v>1.2</c:v>
                </c:pt>
                <c:pt idx="149">
                  <c:v>1.2</c:v>
                </c:pt>
                <c:pt idx="150">
                  <c:v>1.2</c:v>
                </c:pt>
                <c:pt idx="151">
                  <c:v>1.2</c:v>
                </c:pt>
                <c:pt idx="152">
                  <c:v>1.2</c:v>
                </c:pt>
                <c:pt idx="153">
                  <c:v>1.2</c:v>
                </c:pt>
                <c:pt idx="154">
                  <c:v>1.2</c:v>
                </c:pt>
                <c:pt idx="155">
                  <c:v>1.2</c:v>
                </c:pt>
                <c:pt idx="156">
                  <c:v>1.2</c:v>
                </c:pt>
                <c:pt idx="157">
                  <c:v>1.2</c:v>
                </c:pt>
                <c:pt idx="158">
                  <c:v>1.2</c:v>
                </c:pt>
                <c:pt idx="159">
                  <c:v>1.2</c:v>
                </c:pt>
                <c:pt idx="160">
                  <c:v>1.2</c:v>
                </c:pt>
                <c:pt idx="161">
                  <c:v>1.2</c:v>
                </c:pt>
                <c:pt idx="162">
                  <c:v>1.2</c:v>
                </c:pt>
                <c:pt idx="163">
                  <c:v>1.2</c:v>
                </c:pt>
                <c:pt idx="164">
                  <c:v>1.2</c:v>
                </c:pt>
                <c:pt idx="165">
                  <c:v>1.05</c:v>
                </c:pt>
                <c:pt idx="166">
                  <c:v>1.05</c:v>
                </c:pt>
                <c:pt idx="167">
                  <c:v>1.05</c:v>
                </c:pt>
                <c:pt idx="168">
                  <c:v>1.05</c:v>
                </c:pt>
                <c:pt idx="169">
                  <c:v>1.05</c:v>
                </c:pt>
                <c:pt idx="170">
                  <c:v>1.05</c:v>
                </c:pt>
                <c:pt idx="171">
                  <c:v>1.05</c:v>
                </c:pt>
                <c:pt idx="172">
                  <c:v>1.05</c:v>
                </c:pt>
                <c:pt idx="173">
                  <c:v>1.05</c:v>
                </c:pt>
                <c:pt idx="174">
                  <c:v>1.05</c:v>
                </c:pt>
                <c:pt idx="175">
                  <c:v>1.05</c:v>
                </c:pt>
                <c:pt idx="176">
                  <c:v>1.05</c:v>
                </c:pt>
                <c:pt idx="177">
                  <c:v>1.05</c:v>
                </c:pt>
                <c:pt idx="178">
                  <c:v>1.05</c:v>
                </c:pt>
                <c:pt idx="179">
                  <c:v>1.05</c:v>
                </c:pt>
                <c:pt idx="180">
                  <c:v>1.05</c:v>
                </c:pt>
                <c:pt idx="181">
                  <c:v>1.05</c:v>
                </c:pt>
                <c:pt idx="182">
                  <c:v>1.05</c:v>
                </c:pt>
                <c:pt idx="183">
                  <c:v>1.05</c:v>
                </c:pt>
                <c:pt idx="184">
                  <c:v>0.9</c:v>
                </c:pt>
                <c:pt idx="185">
                  <c:v>0.9</c:v>
                </c:pt>
                <c:pt idx="186">
                  <c:v>0.9</c:v>
                </c:pt>
                <c:pt idx="187">
                  <c:v>0.9</c:v>
                </c:pt>
                <c:pt idx="188">
                  <c:v>0.9</c:v>
                </c:pt>
                <c:pt idx="189">
                  <c:v>0.9</c:v>
                </c:pt>
                <c:pt idx="190">
                  <c:v>0.9</c:v>
                </c:pt>
                <c:pt idx="191">
                  <c:v>0.9</c:v>
                </c:pt>
                <c:pt idx="192">
                  <c:v>0.9</c:v>
                </c:pt>
                <c:pt idx="193">
                  <c:v>0.9</c:v>
                </c:pt>
                <c:pt idx="194">
                  <c:v>0.9</c:v>
                </c:pt>
                <c:pt idx="195">
                  <c:v>0.9</c:v>
                </c:pt>
                <c:pt idx="196">
                  <c:v>0.9</c:v>
                </c:pt>
                <c:pt idx="197">
                  <c:v>0.9</c:v>
                </c:pt>
                <c:pt idx="198">
                  <c:v>0.9</c:v>
                </c:pt>
                <c:pt idx="199">
                  <c:v>0.9</c:v>
                </c:pt>
                <c:pt idx="200">
                  <c:v>0.9</c:v>
                </c:pt>
                <c:pt idx="201">
                  <c:v>0.9</c:v>
                </c:pt>
                <c:pt idx="202">
                  <c:v>0.9</c:v>
                </c:pt>
                <c:pt idx="203">
                  <c:v>0.9</c:v>
                </c:pt>
                <c:pt idx="204">
                  <c:v>0.9</c:v>
                </c:pt>
                <c:pt idx="205">
                  <c:v>0.9</c:v>
                </c:pt>
                <c:pt idx="206">
                  <c:v>0.9</c:v>
                </c:pt>
                <c:pt idx="207">
                  <c:v>0.9</c:v>
                </c:pt>
                <c:pt idx="208">
                  <c:v>0.9</c:v>
                </c:pt>
                <c:pt idx="209">
                  <c:v>0.9</c:v>
                </c:pt>
                <c:pt idx="210">
                  <c:v>0.9</c:v>
                </c:pt>
                <c:pt idx="211">
                  <c:v>0.9</c:v>
                </c:pt>
                <c:pt idx="212">
                  <c:v>0.9</c:v>
                </c:pt>
                <c:pt idx="213">
                  <c:v>0.9</c:v>
                </c:pt>
                <c:pt idx="214">
                  <c:v>0.9</c:v>
                </c:pt>
                <c:pt idx="215">
                  <c:v>0.9</c:v>
                </c:pt>
                <c:pt idx="216">
                  <c:v>0.9</c:v>
                </c:pt>
                <c:pt idx="217">
                  <c:v>0.9</c:v>
                </c:pt>
                <c:pt idx="218">
                  <c:v>0.9</c:v>
                </c:pt>
                <c:pt idx="219">
                  <c:v>0.9</c:v>
                </c:pt>
                <c:pt idx="220">
                  <c:v>0.9</c:v>
                </c:pt>
                <c:pt idx="221">
                  <c:v>0.9</c:v>
                </c:pt>
                <c:pt idx="222">
                  <c:v>0.9</c:v>
                </c:pt>
                <c:pt idx="223">
                  <c:v>0.9</c:v>
                </c:pt>
                <c:pt idx="224">
                  <c:v>0.9</c:v>
                </c:pt>
                <c:pt idx="225">
                  <c:v>0.9</c:v>
                </c:pt>
                <c:pt idx="226">
                  <c:v>0.9</c:v>
                </c:pt>
                <c:pt idx="227">
                  <c:v>0.9</c:v>
                </c:pt>
                <c:pt idx="228">
                  <c:v>0.9</c:v>
                </c:pt>
                <c:pt idx="229">
                  <c:v>0.9</c:v>
                </c:pt>
                <c:pt idx="230">
                  <c:v>0.9</c:v>
                </c:pt>
                <c:pt idx="231">
                  <c:v>0.9</c:v>
                </c:pt>
                <c:pt idx="232">
                  <c:v>0.9</c:v>
                </c:pt>
                <c:pt idx="233">
                  <c:v>0.9</c:v>
                </c:pt>
                <c:pt idx="234">
                  <c:v>0.9</c:v>
                </c:pt>
                <c:pt idx="235">
                  <c:v>0.9</c:v>
                </c:pt>
                <c:pt idx="236">
                  <c:v>0.9</c:v>
                </c:pt>
                <c:pt idx="237">
                  <c:v>0.9</c:v>
                </c:pt>
                <c:pt idx="238">
                  <c:v>0.9</c:v>
                </c:pt>
                <c:pt idx="239">
                  <c:v>0.9</c:v>
                </c:pt>
                <c:pt idx="240">
                  <c:v>0.9</c:v>
                </c:pt>
                <c:pt idx="241">
                  <c:v>0.9</c:v>
                </c:pt>
                <c:pt idx="242">
                  <c:v>0.9</c:v>
                </c:pt>
                <c:pt idx="243">
                  <c:v>0.9</c:v>
                </c:pt>
                <c:pt idx="244">
                  <c:v>0.9</c:v>
                </c:pt>
                <c:pt idx="245">
                  <c:v>0.9</c:v>
                </c:pt>
                <c:pt idx="246">
                  <c:v>0.9</c:v>
                </c:pt>
                <c:pt idx="247">
                  <c:v>0.9</c:v>
                </c:pt>
                <c:pt idx="248">
                  <c:v>0.9</c:v>
                </c:pt>
                <c:pt idx="249">
                  <c:v>0.9</c:v>
                </c:pt>
                <c:pt idx="250">
                  <c:v>0.9</c:v>
                </c:pt>
                <c:pt idx="251">
                  <c:v>0.9</c:v>
                </c:pt>
                <c:pt idx="252">
                  <c:v>0.9</c:v>
                </c:pt>
                <c:pt idx="253">
                  <c:v>0.9</c:v>
                </c:pt>
                <c:pt idx="254">
                  <c:v>0.9</c:v>
                </c:pt>
                <c:pt idx="255">
                  <c:v>0.9</c:v>
                </c:pt>
                <c:pt idx="256">
                  <c:v>0.9</c:v>
                </c:pt>
                <c:pt idx="257">
                  <c:v>0.9</c:v>
                </c:pt>
                <c:pt idx="258">
                  <c:v>0.9</c:v>
                </c:pt>
                <c:pt idx="259">
                  <c:v>0.9</c:v>
                </c:pt>
                <c:pt idx="260">
                  <c:v>0.9</c:v>
                </c:pt>
                <c:pt idx="261">
                  <c:v>0.9</c:v>
                </c:pt>
                <c:pt idx="262">
                  <c:v>0.9</c:v>
                </c:pt>
                <c:pt idx="263">
                  <c:v>0.9</c:v>
                </c:pt>
                <c:pt idx="264">
                  <c:v>0.9</c:v>
                </c:pt>
                <c:pt idx="265">
                  <c:v>0.9</c:v>
                </c:pt>
                <c:pt idx="266">
                  <c:v>0.9</c:v>
                </c:pt>
                <c:pt idx="267">
                  <c:v>0.9</c:v>
                </c:pt>
                <c:pt idx="268">
                  <c:v>0.9</c:v>
                </c:pt>
                <c:pt idx="269">
                  <c:v>0.9</c:v>
                </c:pt>
                <c:pt idx="270">
                  <c:v>0.9</c:v>
                </c:pt>
                <c:pt idx="271">
                  <c:v>0.9</c:v>
                </c:pt>
                <c:pt idx="272">
                  <c:v>0.9</c:v>
                </c:pt>
                <c:pt idx="273">
                  <c:v>0.9</c:v>
                </c:pt>
                <c:pt idx="274">
                  <c:v>0.9</c:v>
                </c:pt>
                <c:pt idx="275">
                  <c:v>0.9</c:v>
                </c:pt>
                <c:pt idx="276">
                  <c:v>0.9</c:v>
                </c:pt>
                <c:pt idx="277">
                  <c:v>0.9</c:v>
                </c:pt>
                <c:pt idx="278">
                  <c:v>0.9</c:v>
                </c:pt>
                <c:pt idx="279">
                  <c:v>0.9</c:v>
                </c:pt>
                <c:pt idx="280">
                  <c:v>0.9</c:v>
                </c:pt>
                <c:pt idx="281">
                  <c:v>0.9</c:v>
                </c:pt>
                <c:pt idx="282">
                  <c:v>0.9</c:v>
                </c:pt>
                <c:pt idx="283">
                  <c:v>0.9</c:v>
                </c:pt>
                <c:pt idx="284">
                  <c:v>0.9</c:v>
                </c:pt>
                <c:pt idx="285">
                  <c:v>0.9</c:v>
                </c:pt>
                <c:pt idx="286">
                  <c:v>0.9</c:v>
                </c:pt>
                <c:pt idx="287">
                  <c:v>0.9</c:v>
                </c:pt>
                <c:pt idx="288">
                  <c:v>0.9</c:v>
                </c:pt>
                <c:pt idx="289">
                  <c:v>0.9</c:v>
                </c:pt>
                <c:pt idx="290">
                  <c:v>0.9</c:v>
                </c:pt>
                <c:pt idx="291">
                  <c:v>0.9</c:v>
                </c:pt>
                <c:pt idx="292">
                  <c:v>0.9</c:v>
                </c:pt>
                <c:pt idx="293">
                  <c:v>0.9</c:v>
                </c:pt>
                <c:pt idx="294">
                  <c:v>0.9</c:v>
                </c:pt>
                <c:pt idx="295">
                  <c:v>0.9</c:v>
                </c:pt>
                <c:pt idx="296">
                  <c:v>0.9</c:v>
                </c:pt>
                <c:pt idx="297">
                  <c:v>0.9</c:v>
                </c:pt>
                <c:pt idx="298">
                  <c:v>0.9</c:v>
                </c:pt>
                <c:pt idx="299">
                  <c:v>0.9</c:v>
                </c:pt>
                <c:pt idx="300">
                  <c:v>0.9</c:v>
                </c:pt>
                <c:pt idx="301">
                  <c:v>0.9</c:v>
                </c:pt>
                <c:pt idx="302">
                  <c:v>0.9</c:v>
                </c:pt>
                <c:pt idx="303">
                  <c:v>0.9</c:v>
                </c:pt>
                <c:pt idx="304">
                  <c:v>0.9</c:v>
                </c:pt>
                <c:pt idx="305">
                  <c:v>0.9</c:v>
                </c:pt>
                <c:pt idx="306">
                  <c:v>0.9</c:v>
                </c:pt>
                <c:pt idx="307">
                  <c:v>0.9</c:v>
                </c:pt>
                <c:pt idx="308">
                  <c:v>0.9</c:v>
                </c:pt>
                <c:pt idx="309">
                  <c:v>0.9</c:v>
                </c:pt>
                <c:pt idx="310">
                  <c:v>0.9</c:v>
                </c:pt>
                <c:pt idx="311">
                  <c:v>0.9</c:v>
                </c:pt>
                <c:pt idx="312">
                  <c:v>0.9</c:v>
                </c:pt>
                <c:pt idx="313">
                  <c:v>0.9</c:v>
                </c:pt>
                <c:pt idx="314">
                  <c:v>0.9</c:v>
                </c:pt>
                <c:pt idx="315">
                  <c:v>0.9</c:v>
                </c:pt>
                <c:pt idx="316">
                  <c:v>0.9</c:v>
                </c:pt>
                <c:pt idx="317">
                  <c:v>0.9</c:v>
                </c:pt>
                <c:pt idx="318">
                  <c:v>0.9</c:v>
                </c:pt>
                <c:pt idx="319">
                  <c:v>0.9</c:v>
                </c:pt>
                <c:pt idx="320">
                  <c:v>0.9</c:v>
                </c:pt>
                <c:pt idx="321">
                  <c:v>0.9</c:v>
                </c:pt>
                <c:pt idx="322">
                  <c:v>0.9</c:v>
                </c:pt>
                <c:pt idx="323">
                  <c:v>0.9</c:v>
                </c:pt>
                <c:pt idx="324">
                  <c:v>0.9</c:v>
                </c:pt>
                <c:pt idx="325">
                  <c:v>0.9</c:v>
                </c:pt>
                <c:pt idx="326">
                  <c:v>0.9</c:v>
                </c:pt>
                <c:pt idx="327">
                  <c:v>0.9</c:v>
                </c:pt>
                <c:pt idx="328">
                  <c:v>0.9</c:v>
                </c:pt>
                <c:pt idx="329">
                  <c:v>0.9</c:v>
                </c:pt>
                <c:pt idx="330">
                  <c:v>0.9</c:v>
                </c:pt>
                <c:pt idx="331">
                  <c:v>0.9</c:v>
                </c:pt>
                <c:pt idx="332">
                  <c:v>0.9</c:v>
                </c:pt>
                <c:pt idx="333">
                  <c:v>0.9</c:v>
                </c:pt>
                <c:pt idx="334">
                  <c:v>0.9</c:v>
                </c:pt>
                <c:pt idx="335">
                  <c:v>0.9</c:v>
                </c:pt>
                <c:pt idx="336">
                  <c:v>0.9</c:v>
                </c:pt>
                <c:pt idx="337">
                  <c:v>0.9</c:v>
                </c:pt>
                <c:pt idx="338">
                  <c:v>0.9</c:v>
                </c:pt>
                <c:pt idx="339">
                  <c:v>0.9</c:v>
                </c:pt>
                <c:pt idx="340">
                  <c:v>0.9</c:v>
                </c:pt>
                <c:pt idx="341">
                  <c:v>0.9</c:v>
                </c:pt>
                <c:pt idx="342">
                  <c:v>0.9</c:v>
                </c:pt>
                <c:pt idx="343">
                  <c:v>0.9</c:v>
                </c:pt>
                <c:pt idx="344">
                  <c:v>0.9</c:v>
                </c:pt>
                <c:pt idx="345">
                  <c:v>0.9</c:v>
                </c:pt>
                <c:pt idx="346">
                  <c:v>0.9</c:v>
                </c:pt>
                <c:pt idx="347">
                  <c:v>0.9</c:v>
                </c:pt>
                <c:pt idx="348">
                  <c:v>0.9</c:v>
                </c:pt>
                <c:pt idx="349">
                  <c:v>0.9</c:v>
                </c:pt>
                <c:pt idx="350">
                  <c:v>0.9</c:v>
                </c:pt>
                <c:pt idx="351">
                  <c:v>0.9</c:v>
                </c:pt>
                <c:pt idx="352">
                  <c:v>0.9</c:v>
                </c:pt>
                <c:pt idx="353">
                  <c:v>0.9</c:v>
                </c:pt>
                <c:pt idx="354">
                  <c:v>0.9</c:v>
                </c:pt>
                <c:pt idx="355">
                  <c:v>0.9</c:v>
                </c:pt>
                <c:pt idx="356">
                  <c:v>0.9</c:v>
                </c:pt>
                <c:pt idx="357">
                  <c:v>0.9</c:v>
                </c:pt>
                <c:pt idx="358">
                  <c:v>0.9</c:v>
                </c:pt>
                <c:pt idx="359">
                  <c:v>0.9</c:v>
                </c:pt>
                <c:pt idx="360">
                  <c:v>0.9</c:v>
                </c:pt>
                <c:pt idx="361">
                  <c:v>0.9</c:v>
                </c:pt>
                <c:pt idx="362">
                  <c:v>0.9</c:v>
                </c:pt>
                <c:pt idx="363">
                  <c:v>0.9</c:v>
                </c:pt>
                <c:pt idx="364">
                  <c:v>0.9</c:v>
                </c:pt>
                <c:pt idx="365">
                  <c:v>0.9</c:v>
                </c:pt>
                <c:pt idx="366">
                  <c:v>0.9</c:v>
                </c:pt>
                <c:pt idx="367">
                  <c:v>0.9</c:v>
                </c:pt>
                <c:pt idx="368">
                  <c:v>0.9</c:v>
                </c:pt>
                <c:pt idx="369">
                  <c:v>0.9</c:v>
                </c:pt>
                <c:pt idx="370">
                  <c:v>0.9</c:v>
                </c:pt>
                <c:pt idx="371">
                  <c:v>0.9</c:v>
                </c:pt>
                <c:pt idx="372">
                  <c:v>0.9</c:v>
                </c:pt>
                <c:pt idx="373">
                  <c:v>0.9</c:v>
                </c:pt>
                <c:pt idx="374">
                  <c:v>0.9</c:v>
                </c:pt>
                <c:pt idx="375">
                  <c:v>0.9</c:v>
                </c:pt>
                <c:pt idx="376">
                  <c:v>0.9</c:v>
                </c:pt>
                <c:pt idx="377">
                  <c:v>0.9</c:v>
                </c:pt>
                <c:pt idx="378">
                  <c:v>0.9</c:v>
                </c:pt>
                <c:pt idx="379">
                  <c:v>0.9</c:v>
                </c:pt>
                <c:pt idx="380">
                  <c:v>0.9</c:v>
                </c:pt>
                <c:pt idx="381">
                  <c:v>0.9</c:v>
                </c:pt>
                <c:pt idx="382">
                  <c:v>0.9</c:v>
                </c:pt>
                <c:pt idx="383">
                  <c:v>0.9</c:v>
                </c:pt>
                <c:pt idx="384">
                  <c:v>0.9</c:v>
                </c:pt>
                <c:pt idx="385">
                  <c:v>0.9</c:v>
                </c:pt>
                <c:pt idx="386">
                  <c:v>0.9</c:v>
                </c:pt>
                <c:pt idx="387">
                  <c:v>0.9</c:v>
                </c:pt>
                <c:pt idx="388">
                  <c:v>0.9</c:v>
                </c:pt>
                <c:pt idx="389">
                  <c:v>0.9</c:v>
                </c:pt>
                <c:pt idx="390">
                  <c:v>0.9</c:v>
                </c:pt>
                <c:pt idx="391">
                  <c:v>0.9</c:v>
                </c:pt>
                <c:pt idx="392">
                  <c:v>0.9</c:v>
                </c:pt>
                <c:pt idx="393">
                  <c:v>0.9</c:v>
                </c:pt>
                <c:pt idx="394">
                  <c:v>0.9</c:v>
                </c:pt>
                <c:pt idx="395">
                  <c:v>0.9</c:v>
                </c:pt>
                <c:pt idx="396">
                  <c:v>0.9</c:v>
                </c:pt>
                <c:pt idx="397">
                  <c:v>0.9</c:v>
                </c:pt>
                <c:pt idx="398">
                  <c:v>0.9</c:v>
                </c:pt>
                <c:pt idx="399">
                  <c:v>0.9</c:v>
                </c:pt>
                <c:pt idx="400">
                  <c:v>0.9</c:v>
                </c:pt>
                <c:pt idx="401">
                  <c:v>0.9</c:v>
                </c:pt>
                <c:pt idx="402">
                  <c:v>0.9</c:v>
                </c:pt>
                <c:pt idx="403">
                  <c:v>0.9</c:v>
                </c:pt>
                <c:pt idx="404">
                  <c:v>0.9</c:v>
                </c:pt>
                <c:pt idx="405">
                  <c:v>0.9</c:v>
                </c:pt>
                <c:pt idx="406">
                  <c:v>0.9</c:v>
                </c:pt>
                <c:pt idx="407">
                  <c:v>0.9</c:v>
                </c:pt>
                <c:pt idx="408">
                  <c:v>0.9</c:v>
                </c:pt>
                <c:pt idx="409">
                  <c:v>0.9</c:v>
                </c:pt>
                <c:pt idx="410">
                  <c:v>0.9</c:v>
                </c:pt>
                <c:pt idx="411">
                  <c:v>0.9</c:v>
                </c:pt>
                <c:pt idx="412">
                  <c:v>0.9</c:v>
                </c:pt>
                <c:pt idx="413">
                  <c:v>0.9</c:v>
                </c:pt>
                <c:pt idx="414">
                  <c:v>0.9</c:v>
                </c:pt>
                <c:pt idx="415">
                  <c:v>0.9</c:v>
                </c:pt>
                <c:pt idx="416">
                  <c:v>0.9</c:v>
                </c:pt>
                <c:pt idx="417">
                  <c:v>0.9</c:v>
                </c:pt>
                <c:pt idx="418">
                  <c:v>0.9</c:v>
                </c:pt>
                <c:pt idx="419">
                  <c:v>0.9</c:v>
                </c:pt>
                <c:pt idx="420">
                  <c:v>0.9</c:v>
                </c:pt>
                <c:pt idx="421">
                  <c:v>0.9</c:v>
                </c:pt>
                <c:pt idx="422">
                  <c:v>0.9</c:v>
                </c:pt>
                <c:pt idx="423">
                  <c:v>0.9</c:v>
                </c:pt>
                <c:pt idx="424">
                  <c:v>0.9</c:v>
                </c:pt>
                <c:pt idx="425">
                  <c:v>0.9</c:v>
                </c:pt>
                <c:pt idx="426">
                  <c:v>0.9</c:v>
                </c:pt>
                <c:pt idx="427">
                  <c:v>0.9</c:v>
                </c:pt>
                <c:pt idx="428">
                  <c:v>0.9</c:v>
                </c:pt>
                <c:pt idx="429">
                  <c:v>0.9</c:v>
                </c:pt>
                <c:pt idx="430">
                  <c:v>0.9</c:v>
                </c:pt>
                <c:pt idx="431">
                  <c:v>0.9</c:v>
                </c:pt>
                <c:pt idx="432">
                  <c:v>0.9</c:v>
                </c:pt>
                <c:pt idx="433">
                  <c:v>0.9</c:v>
                </c:pt>
                <c:pt idx="434">
                  <c:v>0.9</c:v>
                </c:pt>
                <c:pt idx="435">
                  <c:v>0.9</c:v>
                </c:pt>
                <c:pt idx="436">
                  <c:v>0.9</c:v>
                </c:pt>
                <c:pt idx="437">
                  <c:v>0.9</c:v>
                </c:pt>
                <c:pt idx="438">
                  <c:v>0.9</c:v>
                </c:pt>
                <c:pt idx="439">
                  <c:v>0.9</c:v>
                </c:pt>
                <c:pt idx="440">
                  <c:v>0.9</c:v>
                </c:pt>
                <c:pt idx="441">
                  <c:v>0.9</c:v>
                </c:pt>
                <c:pt idx="442">
                  <c:v>0.9</c:v>
                </c:pt>
                <c:pt idx="443">
                  <c:v>0.9</c:v>
                </c:pt>
                <c:pt idx="444">
                  <c:v>0.9</c:v>
                </c:pt>
                <c:pt idx="445">
                  <c:v>0.9</c:v>
                </c:pt>
                <c:pt idx="446">
                  <c:v>0.9</c:v>
                </c:pt>
                <c:pt idx="447">
                  <c:v>0.9</c:v>
                </c:pt>
                <c:pt idx="448">
                  <c:v>0.9</c:v>
                </c:pt>
                <c:pt idx="449">
                  <c:v>0.9</c:v>
                </c:pt>
                <c:pt idx="450">
                  <c:v>0.9</c:v>
                </c:pt>
                <c:pt idx="451">
                  <c:v>0.9</c:v>
                </c:pt>
                <c:pt idx="452">
                  <c:v>0.9</c:v>
                </c:pt>
                <c:pt idx="453">
                  <c:v>0.9</c:v>
                </c:pt>
                <c:pt idx="454">
                  <c:v>0.9</c:v>
                </c:pt>
                <c:pt idx="455">
                  <c:v>0.9</c:v>
                </c:pt>
                <c:pt idx="456">
                  <c:v>0.9</c:v>
                </c:pt>
                <c:pt idx="457">
                  <c:v>0.9</c:v>
                </c:pt>
                <c:pt idx="458">
                  <c:v>0.9</c:v>
                </c:pt>
                <c:pt idx="459">
                  <c:v>0.9</c:v>
                </c:pt>
                <c:pt idx="460">
                  <c:v>0.9</c:v>
                </c:pt>
                <c:pt idx="461">
                  <c:v>0.9</c:v>
                </c:pt>
                <c:pt idx="462">
                  <c:v>0.9</c:v>
                </c:pt>
                <c:pt idx="463">
                  <c:v>0.9</c:v>
                </c:pt>
                <c:pt idx="464">
                  <c:v>0.9</c:v>
                </c:pt>
                <c:pt idx="465">
                  <c:v>0.9</c:v>
                </c:pt>
                <c:pt idx="466">
                  <c:v>0.9</c:v>
                </c:pt>
                <c:pt idx="467">
                  <c:v>0.9</c:v>
                </c:pt>
                <c:pt idx="468">
                  <c:v>0.9</c:v>
                </c:pt>
                <c:pt idx="469">
                  <c:v>0.9</c:v>
                </c:pt>
                <c:pt idx="470">
                  <c:v>0.9</c:v>
                </c:pt>
                <c:pt idx="471">
                  <c:v>0.9</c:v>
                </c:pt>
                <c:pt idx="472">
                  <c:v>0.9</c:v>
                </c:pt>
                <c:pt idx="473">
                  <c:v>0.9</c:v>
                </c:pt>
                <c:pt idx="474">
                  <c:v>0.9</c:v>
                </c:pt>
                <c:pt idx="475">
                  <c:v>0.9</c:v>
                </c:pt>
                <c:pt idx="476">
                  <c:v>0.9</c:v>
                </c:pt>
                <c:pt idx="477">
                  <c:v>0.9</c:v>
                </c:pt>
                <c:pt idx="478">
                  <c:v>0.9</c:v>
                </c:pt>
                <c:pt idx="479">
                  <c:v>0.9</c:v>
                </c:pt>
                <c:pt idx="480">
                  <c:v>0.9</c:v>
                </c:pt>
                <c:pt idx="481">
                  <c:v>0.9</c:v>
                </c:pt>
                <c:pt idx="482">
                  <c:v>0.9</c:v>
                </c:pt>
                <c:pt idx="483">
                  <c:v>0.9</c:v>
                </c:pt>
                <c:pt idx="484">
                  <c:v>0.9</c:v>
                </c:pt>
                <c:pt idx="485">
                  <c:v>0.9</c:v>
                </c:pt>
                <c:pt idx="486">
                  <c:v>0.9</c:v>
                </c:pt>
                <c:pt idx="487">
                  <c:v>0.9</c:v>
                </c:pt>
                <c:pt idx="488">
                  <c:v>0.9</c:v>
                </c:pt>
                <c:pt idx="489">
                  <c:v>0.9</c:v>
                </c:pt>
                <c:pt idx="490">
                  <c:v>0.9</c:v>
                </c:pt>
                <c:pt idx="491">
                  <c:v>0.9</c:v>
                </c:pt>
                <c:pt idx="492">
                  <c:v>0.9</c:v>
                </c:pt>
                <c:pt idx="493">
                  <c:v>0.9</c:v>
                </c:pt>
                <c:pt idx="494">
                  <c:v>0.9</c:v>
                </c:pt>
                <c:pt idx="495">
                  <c:v>0.9</c:v>
                </c:pt>
                <c:pt idx="496">
                  <c:v>0.9</c:v>
                </c:pt>
                <c:pt idx="497">
                  <c:v>0.9</c:v>
                </c:pt>
                <c:pt idx="498">
                  <c:v>0.9</c:v>
                </c:pt>
                <c:pt idx="499">
                  <c:v>0.9</c:v>
                </c:pt>
                <c:pt idx="500">
                  <c:v>0.9</c:v>
                </c:pt>
                <c:pt idx="501">
                  <c:v>0.9</c:v>
                </c:pt>
                <c:pt idx="502">
                  <c:v>0.9</c:v>
                </c:pt>
                <c:pt idx="503">
                  <c:v>0.9</c:v>
                </c:pt>
                <c:pt idx="504">
                  <c:v>0.9</c:v>
                </c:pt>
                <c:pt idx="505">
                  <c:v>0.9</c:v>
                </c:pt>
                <c:pt idx="506">
                  <c:v>0.9</c:v>
                </c:pt>
                <c:pt idx="507">
                  <c:v>0.9</c:v>
                </c:pt>
                <c:pt idx="508">
                  <c:v>0.9</c:v>
                </c:pt>
                <c:pt idx="509">
                  <c:v>0.9</c:v>
                </c:pt>
                <c:pt idx="510">
                  <c:v>0.9</c:v>
                </c:pt>
                <c:pt idx="511">
                  <c:v>0.9</c:v>
                </c:pt>
                <c:pt idx="512">
                  <c:v>0.9</c:v>
                </c:pt>
                <c:pt idx="513">
                  <c:v>0.9</c:v>
                </c:pt>
                <c:pt idx="514">
                  <c:v>0.9</c:v>
                </c:pt>
                <c:pt idx="515">
                  <c:v>0.9</c:v>
                </c:pt>
                <c:pt idx="516">
                  <c:v>0.9</c:v>
                </c:pt>
                <c:pt idx="517">
                  <c:v>0.9</c:v>
                </c:pt>
                <c:pt idx="518">
                  <c:v>0.9</c:v>
                </c:pt>
                <c:pt idx="519">
                  <c:v>0.9</c:v>
                </c:pt>
                <c:pt idx="520">
                  <c:v>0.9</c:v>
                </c:pt>
                <c:pt idx="521">
                  <c:v>0.9</c:v>
                </c:pt>
                <c:pt idx="522">
                  <c:v>0.9</c:v>
                </c:pt>
                <c:pt idx="523">
                  <c:v>0.9</c:v>
                </c:pt>
                <c:pt idx="524">
                  <c:v>0.9</c:v>
                </c:pt>
                <c:pt idx="525">
                  <c:v>0.9</c:v>
                </c:pt>
                <c:pt idx="526">
                  <c:v>0.9</c:v>
                </c:pt>
                <c:pt idx="527">
                  <c:v>0.9</c:v>
                </c:pt>
                <c:pt idx="528">
                  <c:v>0.9</c:v>
                </c:pt>
                <c:pt idx="529">
                  <c:v>0.9</c:v>
                </c:pt>
                <c:pt idx="530">
                  <c:v>0.9</c:v>
                </c:pt>
                <c:pt idx="531">
                  <c:v>0.9</c:v>
                </c:pt>
                <c:pt idx="532">
                  <c:v>0.9</c:v>
                </c:pt>
                <c:pt idx="533">
                  <c:v>0.9</c:v>
                </c:pt>
                <c:pt idx="534">
                  <c:v>0.9</c:v>
                </c:pt>
                <c:pt idx="535">
                  <c:v>0.9</c:v>
                </c:pt>
                <c:pt idx="536">
                  <c:v>0.9</c:v>
                </c:pt>
                <c:pt idx="537">
                  <c:v>0.9</c:v>
                </c:pt>
                <c:pt idx="538">
                  <c:v>0.9</c:v>
                </c:pt>
                <c:pt idx="539">
                  <c:v>0.9</c:v>
                </c:pt>
                <c:pt idx="540">
                  <c:v>0.9</c:v>
                </c:pt>
                <c:pt idx="541">
                  <c:v>0.9</c:v>
                </c:pt>
                <c:pt idx="542">
                  <c:v>0.9</c:v>
                </c:pt>
                <c:pt idx="543">
                  <c:v>0.9</c:v>
                </c:pt>
                <c:pt idx="544">
                  <c:v>0.9</c:v>
                </c:pt>
                <c:pt idx="545">
                  <c:v>0.9</c:v>
                </c:pt>
                <c:pt idx="546">
                  <c:v>0.9</c:v>
                </c:pt>
                <c:pt idx="547">
                  <c:v>0.9</c:v>
                </c:pt>
                <c:pt idx="548">
                  <c:v>0.9</c:v>
                </c:pt>
                <c:pt idx="549">
                  <c:v>0.9</c:v>
                </c:pt>
                <c:pt idx="550">
                  <c:v>0.9</c:v>
                </c:pt>
                <c:pt idx="551">
                  <c:v>0.9</c:v>
                </c:pt>
                <c:pt idx="552">
                  <c:v>0.9</c:v>
                </c:pt>
                <c:pt idx="553">
                  <c:v>0.9</c:v>
                </c:pt>
                <c:pt idx="554">
                  <c:v>0.9</c:v>
                </c:pt>
                <c:pt idx="555">
                  <c:v>0.9</c:v>
                </c:pt>
                <c:pt idx="556">
                  <c:v>0.9</c:v>
                </c:pt>
                <c:pt idx="557">
                  <c:v>0.9</c:v>
                </c:pt>
                <c:pt idx="558">
                  <c:v>0.9</c:v>
                </c:pt>
                <c:pt idx="559">
                  <c:v>0.9</c:v>
                </c:pt>
                <c:pt idx="560">
                  <c:v>0.9</c:v>
                </c:pt>
                <c:pt idx="561">
                  <c:v>0.9</c:v>
                </c:pt>
                <c:pt idx="562">
                  <c:v>0.9</c:v>
                </c:pt>
                <c:pt idx="563">
                  <c:v>0.9</c:v>
                </c:pt>
                <c:pt idx="564">
                  <c:v>0.9</c:v>
                </c:pt>
                <c:pt idx="565">
                  <c:v>0.9</c:v>
                </c:pt>
                <c:pt idx="566">
                  <c:v>0.9</c:v>
                </c:pt>
                <c:pt idx="567">
                  <c:v>0.9</c:v>
                </c:pt>
                <c:pt idx="568">
                  <c:v>0.9</c:v>
                </c:pt>
                <c:pt idx="569">
                  <c:v>0.9</c:v>
                </c:pt>
                <c:pt idx="570">
                  <c:v>0.9</c:v>
                </c:pt>
                <c:pt idx="571">
                  <c:v>0.9</c:v>
                </c:pt>
                <c:pt idx="572">
                  <c:v>0.9</c:v>
                </c:pt>
                <c:pt idx="573">
                  <c:v>0.9</c:v>
                </c:pt>
                <c:pt idx="574">
                  <c:v>0.9</c:v>
                </c:pt>
                <c:pt idx="575">
                  <c:v>0.9</c:v>
                </c:pt>
                <c:pt idx="576">
                  <c:v>0.9</c:v>
                </c:pt>
                <c:pt idx="577">
                  <c:v>0.9</c:v>
                </c:pt>
                <c:pt idx="578">
                  <c:v>0.9</c:v>
                </c:pt>
                <c:pt idx="579">
                  <c:v>0.9</c:v>
                </c:pt>
                <c:pt idx="580">
                  <c:v>0.9</c:v>
                </c:pt>
                <c:pt idx="581">
                  <c:v>0.9</c:v>
                </c:pt>
                <c:pt idx="582">
                  <c:v>0.9</c:v>
                </c:pt>
                <c:pt idx="583">
                  <c:v>0.9</c:v>
                </c:pt>
                <c:pt idx="584">
                  <c:v>0.9</c:v>
                </c:pt>
                <c:pt idx="585">
                  <c:v>0.9</c:v>
                </c:pt>
                <c:pt idx="586">
                  <c:v>0.9</c:v>
                </c:pt>
                <c:pt idx="587">
                  <c:v>0.9</c:v>
                </c:pt>
                <c:pt idx="588">
                  <c:v>0.9</c:v>
                </c:pt>
                <c:pt idx="589">
                  <c:v>0.9</c:v>
                </c:pt>
                <c:pt idx="590">
                  <c:v>0.9</c:v>
                </c:pt>
                <c:pt idx="591">
                  <c:v>0.9</c:v>
                </c:pt>
                <c:pt idx="592">
                  <c:v>0.9</c:v>
                </c:pt>
                <c:pt idx="593">
                  <c:v>0.9</c:v>
                </c:pt>
                <c:pt idx="594">
                  <c:v>0.9</c:v>
                </c:pt>
                <c:pt idx="595">
                  <c:v>0.9</c:v>
                </c:pt>
                <c:pt idx="596">
                  <c:v>0.9</c:v>
                </c:pt>
                <c:pt idx="597">
                  <c:v>0.9</c:v>
                </c:pt>
                <c:pt idx="598">
                  <c:v>0.9</c:v>
                </c:pt>
                <c:pt idx="599">
                  <c:v>0.9</c:v>
                </c:pt>
                <c:pt idx="600">
                  <c:v>0.9</c:v>
                </c:pt>
                <c:pt idx="601">
                  <c:v>0.9</c:v>
                </c:pt>
                <c:pt idx="602">
                  <c:v>0.9</c:v>
                </c:pt>
                <c:pt idx="603">
                  <c:v>0.9</c:v>
                </c:pt>
                <c:pt idx="604">
                  <c:v>0.9</c:v>
                </c:pt>
                <c:pt idx="605">
                  <c:v>0.9</c:v>
                </c:pt>
                <c:pt idx="606">
                  <c:v>0.9</c:v>
                </c:pt>
                <c:pt idx="607">
                  <c:v>0.9</c:v>
                </c:pt>
                <c:pt idx="608">
                  <c:v>0.9</c:v>
                </c:pt>
                <c:pt idx="609">
                  <c:v>0.9</c:v>
                </c:pt>
                <c:pt idx="610">
                  <c:v>0.9</c:v>
                </c:pt>
                <c:pt idx="611">
                  <c:v>0.9</c:v>
                </c:pt>
                <c:pt idx="612">
                  <c:v>0.9</c:v>
                </c:pt>
                <c:pt idx="613">
                  <c:v>0.9</c:v>
                </c:pt>
                <c:pt idx="614">
                  <c:v>0.9</c:v>
                </c:pt>
                <c:pt idx="615">
                  <c:v>0.9</c:v>
                </c:pt>
                <c:pt idx="616">
                  <c:v>0.9</c:v>
                </c:pt>
                <c:pt idx="617">
                  <c:v>0.9</c:v>
                </c:pt>
                <c:pt idx="618">
                  <c:v>0.9</c:v>
                </c:pt>
                <c:pt idx="619">
                  <c:v>0.9</c:v>
                </c:pt>
                <c:pt idx="620">
                  <c:v>0.9</c:v>
                </c:pt>
                <c:pt idx="621">
                  <c:v>0.9</c:v>
                </c:pt>
                <c:pt idx="622">
                  <c:v>0.9</c:v>
                </c:pt>
                <c:pt idx="623">
                  <c:v>0.9</c:v>
                </c:pt>
                <c:pt idx="624">
                  <c:v>0.9</c:v>
                </c:pt>
                <c:pt idx="625">
                  <c:v>0.9</c:v>
                </c:pt>
                <c:pt idx="626">
                  <c:v>0.9</c:v>
                </c:pt>
                <c:pt idx="627">
                  <c:v>0.9</c:v>
                </c:pt>
                <c:pt idx="628">
                  <c:v>0.9</c:v>
                </c:pt>
                <c:pt idx="629">
                  <c:v>0.9</c:v>
                </c:pt>
                <c:pt idx="630">
                  <c:v>0.9</c:v>
                </c:pt>
                <c:pt idx="631">
                  <c:v>0.9</c:v>
                </c:pt>
                <c:pt idx="632">
                  <c:v>0.9</c:v>
                </c:pt>
                <c:pt idx="633">
                  <c:v>0.9</c:v>
                </c:pt>
                <c:pt idx="634">
                  <c:v>0.9</c:v>
                </c:pt>
                <c:pt idx="635">
                  <c:v>0.9</c:v>
                </c:pt>
                <c:pt idx="636">
                  <c:v>0.9</c:v>
                </c:pt>
                <c:pt idx="637">
                  <c:v>0.9</c:v>
                </c:pt>
                <c:pt idx="638">
                  <c:v>0.9</c:v>
                </c:pt>
                <c:pt idx="639">
                  <c:v>0.9</c:v>
                </c:pt>
                <c:pt idx="640">
                  <c:v>0.9</c:v>
                </c:pt>
                <c:pt idx="641">
                  <c:v>0.9</c:v>
                </c:pt>
                <c:pt idx="642">
                  <c:v>0.9</c:v>
                </c:pt>
                <c:pt idx="643">
                  <c:v>0.9</c:v>
                </c:pt>
                <c:pt idx="644">
                  <c:v>0.9</c:v>
                </c:pt>
                <c:pt idx="645">
                  <c:v>0.9</c:v>
                </c:pt>
                <c:pt idx="646">
                  <c:v>0.9</c:v>
                </c:pt>
                <c:pt idx="647">
                  <c:v>0.9</c:v>
                </c:pt>
                <c:pt idx="648">
                  <c:v>0.9</c:v>
                </c:pt>
                <c:pt idx="649">
                  <c:v>0.9</c:v>
                </c:pt>
                <c:pt idx="650">
                  <c:v>0.9</c:v>
                </c:pt>
                <c:pt idx="651">
                  <c:v>0.9</c:v>
                </c:pt>
                <c:pt idx="652">
                  <c:v>0.9</c:v>
                </c:pt>
                <c:pt idx="653">
                  <c:v>0.9</c:v>
                </c:pt>
                <c:pt idx="654">
                  <c:v>0.9</c:v>
                </c:pt>
                <c:pt idx="655">
                  <c:v>0.9</c:v>
                </c:pt>
                <c:pt idx="656">
                  <c:v>0.9</c:v>
                </c:pt>
                <c:pt idx="657">
                  <c:v>0.9</c:v>
                </c:pt>
                <c:pt idx="658">
                  <c:v>0.9</c:v>
                </c:pt>
                <c:pt idx="659">
                  <c:v>0.9</c:v>
                </c:pt>
                <c:pt idx="660">
                  <c:v>0.9</c:v>
                </c:pt>
                <c:pt idx="661">
                  <c:v>0.9</c:v>
                </c:pt>
                <c:pt idx="662">
                  <c:v>0.9</c:v>
                </c:pt>
                <c:pt idx="663">
                  <c:v>0.9</c:v>
                </c:pt>
                <c:pt idx="664">
                  <c:v>0.9</c:v>
                </c:pt>
                <c:pt idx="665">
                  <c:v>0.9</c:v>
                </c:pt>
                <c:pt idx="666">
                  <c:v>0.9</c:v>
                </c:pt>
                <c:pt idx="667">
                  <c:v>0.9</c:v>
                </c:pt>
                <c:pt idx="668">
                  <c:v>0.9</c:v>
                </c:pt>
                <c:pt idx="669">
                  <c:v>0.9</c:v>
                </c:pt>
                <c:pt idx="670">
                  <c:v>0.9</c:v>
                </c:pt>
                <c:pt idx="671">
                  <c:v>0.9</c:v>
                </c:pt>
                <c:pt idx="672">
                  <c:v>0.9</c:v>
                </c:pt>
                <c:pt idx="673">
                  <c:v>0.9</c:v>
                </c:pt>
                <c:pt idx="674">
                  <c:v>0.9</c:v>
                </c:pt>
                <c:pt idx="675">
                  <c:v>0.9</c:v>
                </c:pt>
                <c:pt idx="676">
                  <c:v>0.9</c:v>
                </c:pt>
                <c:pt idx="677">
                  <c:v>0.9</c:v>
                </c:pt>
                <c:pt idx="678">
                  <c:v>0.9</c:v>
                </c:pt>
                <c:pt idx="679">
                  <c:v>0.9</c:v>
                </c:pt>
                <c:pt idx="680">
                  <c:v>0.9</c:v>
                </c:pt>
                <c:pt idx="681">
                  <c:v>0.9</c:v>
                </c:pt>
                <c:pt idx="682">
                  <c:v>0.9</c:v>
                </c:pt>
                <c:pt idx="683">
                  <c:v>0.9</c:v>
                </c:pt>
                <c:pt idx="684">
                  <c:v>0.9</c:v>
                </c:pt>
                <c:pt idx="685">
                  <c:v>0.9</c:v>
                </c:pt>
                <c:pt idx="686">
                  <c:v>0.9</c:v>
                </c:pt>
                <c:pt idx="687">
                  <c:v>0.9</c:v>
                </c:pt>
                <c:pt idx="688">
                  <c:v>0.9</c:v>
                </c:pt>
                <c:pt idx="689">
                  <c:v>0.9</c:v>
                </c:pt>
                <c:pt idx="690">
                  <c:v>0.9</c:v>
                </c:pt>
                <c:pt idx="691">
                  <c:v>0.9</c:v>
                </c:pt>
                <c:pt idx="692">
                  <c:v>0.9</c:v>
                </c:pt>
                <c:pt idx="693">
                  <c:v>0.9</c:v>
                </c:pt>
                <c:pt idx="694">
                  <c:v>0.9</c:v>
                </c:pt>
                <c:pt idx="695">
                  <c:v>0.9</c:v>
                </c:pt>
                <c:pt idx="696">
                  <c:v>0.9</c:v>
                </c:pt>
                <c:pt idx="697">
                  <c:v>0.9</c:v>
                </c:pt>
                <c:pt idx="698">
                  <c:v>0.9</c:v>
                </c:pt>
                <c:pt idx="699">
                  <c:v>0.9</c:v>
                </c:pt>
                <c:pt idx="700">
                  <c:v>0.9</c:v>
                </c:pt>
                <c:pt idx="701">
                  <c:v>0.9</c:v>
                </c:pt>
                <c:pt idx="702">
                  <c:v>0.9</c:v>
                </c:pt>
                <c:pt idx="703">
                  <c:v>0.9</c:v>
                </c:pt>
                <c:pt idx="704">
                  <c:v>0.9</c:v>
                </c:pt>
                <c:pt idx="705">
                  <c:v>0.9</c:v>
                </c:pt>
                <c:pt idx="706">
                  <c:v>0.9</c:v>
                </c:pt>
                <c:pt idx="707">
                  <c:v>0.9</c:v>
                </c:pt>
                <c:pt idx="708">
                  <c:v>0.9</c:v>
                </c:pt>
                <c:pt idx="709">
                  <c:v>0.9</c:v>
                </c:pt>
                <c:pt idx="710">
                  <c:v>0.9</c:v>
                </c:pt>
                <c:pt idx="711">
                  <c:v>0.9</c:v>
                </c:pt>
                <c:pt idx="712">
                  <c:v>0.9</c:v>
                </c:pt>
                <c:pt idx="713">
                  <c:v>0.9</c:v>
                </c:pt>
                <c:pt idx="714">
                  <c:v>0.9</c:v>
                </c:pt>
                <c:pt idx="715">
                  <c:v>0.9</c:v>
                </c:pt>
                <c:pt idx="716">
                  <c:v>0.9</c:v>
                </c:pt>
                <c:pt idx="717">
                  <c:v>0.9</c:v>
                </c:pt>
                <c:pt idx="718">
                  <c:v>0.9</c:v>
                </c:pt>
                <c:pt idx="719">
                  <c:v>0.9</c:v>
                </c:pt>
                <c:pt idx="720">
                  <c:v>0.9</c:v>
                </c:pt>
                <c:pt idx="721">
                  <c:v>0.9</c:v>
                </c:pt>
                <c:pt idx="722">
                  <c:v>0.9</c:v>
                </c:pt>
                <c:pt idx="723">
                  <c:v>0.9</c:v>
                </c:pt>
                <c:pt idx="724">
                  <c:v>0.9</c:v>
                </c:pt>
                <c:pt idx="725">
                  <c:v>0.9</c:v>
                </c:pt>
                <c:pt idx="726">
                  <c:v>0.9</c:v>
                </c:pt>
                <c:pt idx="727">
                  <c:v>0.9</c:v>
                </c:pt>
                <c:pt idx="728">
                  <c:v>0.9</c:v>
                </c:pt>
                <c:pt idx="729">
                  <c:v>0.9</c:v>
                </c:pt>
                <c:pt idx="730">
                  <c:v>0.9</c:v>
                </c:pt>
                <c:pt idx="731">
                  <c:v>0.9</c:v>
                </c:pt>
                <c:pt idx="732">
                  <c:v>0.9</c:v>
                </c:pt>
                <c:pt idx="733">
                  <c:v>0.9</c:v>
                </c:pt>
                <c:pt idx="734">
                  <c:v>0.9</c:v>
                </c:pt>
                <c:pt idx="735">
                  <c:v>0.9</c:v>
                </c:pt>
                <c:pt idx="736">
                  <c:v>0.9</c:v>
                </c:pt>
                <c:pt idx="737">
                  <c:v>0.9</c:v>
                </c:pt>
                <c:pt idx="738">
                  <c:v>0.9</c:v>
                </c:pt>
                <c:pt idx="739">
                  <c:v>0.9</c:v>
                </c:pt>
                <c:pt idx="740">
                  <c:v>0.9</c:v>
                </c:pt>
                <c:pt idx="741">
                  <c:v>0.9</c:v>
                </c:pt>
                <c:pt idx="742">
                  <c:v>0.9</c:v>
                </c:pt>
                <c:pt idx="743">
                  <c:v>0.9</c:v>
                </c:pt>
                <c:pt idx="744">
                  <c:v>0.9</c:v>
                </c:pt>
                <c:pt idx="745">
                  <c:v>0.9</c:v>
                </c:pt>
                <c:pt idx="746">
                  <c:v>0.9</c:v>
                </c:pt>
                <c:pt idx="747">
                  <c:v>0.9</c:v>
                </c:pt>
                <c:pt idx="748">
                  <c:v>0.9</c:v>
                </c:pt>
                <c:pt idx="749">
                  <c:v>0.9</c:v>
                </c:pt>
                <c:pt idx="750">
                  <c:v>0.9</c:v>
                </c:pt>
                <c:pt idx="751">
                  <c:v>0.9</c:v>
                </c:pt>
                <c:pt idx="752">
                  <c:v>0.9</c:v>
                </c:pt>
                <c:pt idx="753">
                  <c:v>0.9</c:v>
                </c:pt>
                <c:pt idx="754">
                  <c:v>0.9</c:v>
                </c:pt>
                <c:pt idx="755">
                  <c:v>0.9</c:v>
                </c:pt>
                <c:pt idx="756">
                  <c:v>0.9</c:v>
                </c:pt>
                <c:pt idx="757">
                  <c:v>0.9</c:v>
                </c:pt>
                <c:pt idx="758">
                  <c:v>0.9</c:v>
                </c:pt>
                <c:pt idx="759">
                  <c:v>0.9</c:v>
                </c:pt>
                <c:pt idx="760">
                  <c:v>0.9</c:v>
                </c:pt>
                <c:pt idx="761">
                  <c:v>0.9</c:v>
                </c:pt>
                <c:pt idx="762">
                  <c:v>0.9</c:v>
                </c:pt>
                <c:pt idx="763">
                  <c:v>0.9</c:v>
                </c:pt>
                <c:pt idx="764">
                  <c:v>0.9</c:v>
                </c:pt>
                <c:pt idx="765">
                  <c:v>0.9</c:v>
                </c:pt>
                <c:pt idx="766">
                  <c:v>0.9</c:v>
                </c:pt>
                <c:pt idx="767">
                  <c:v>0.9</c:v>
                </c:pt>
                <c:pt idx="768">
                  <c:v>0.9</c:v>
                </c:pt>
                <c:pt idx="769">
                  <c:v>0.9</c:v>
                </c:pt>
                <c:pt idx="770">
                  <c:v>0.9</c:v>
                </c:pt>
                <c:pt idx="771">
                  <c:v>0.9</c:v>
                </c:pt>
                <c:pt idx="772">
                  <c:v>0.9</c:v>
                </c:pt>
                <c:pt idx="773">
                  <c:v>0.9</c:v>
                </c:pt>
                <c:pt idx="774">
                  <c:v>0.9</c:v>
                </c:pt>
                <c:pt idx="775">
                  <c:v>0.9</c:v>
                </c:pt>
                <c:pt idx="776">
                  <c:v>0.9</c:v>
                </c:pt>
                <c:pt idx="777">
                  <c:v>0.9</c:v>
                </c:pt>
                <c:pt idx="778">
                  <c:v>0.9</c:v>
                </c:pt>
                <c:pt idx="779">
                  <c:v>0.9</c:v>
                </c:pt>
                <c:pt idx="780">
                  <c:v>0.9</c:v>
                </c:pt>
                <c:pt idx="781">
                  <c:v>0.9</c:v>
                </c:pt>
                <c:pt idx="782">
                  <c:v>0.9</c:v>
                </c:pt>
                <c:pt idx="783">
                  <c:v>0.9</c:v>
                </c:pt>
                <c:pt idx="784">
                  <c:v>0.9</c:v>
                </c:pt>
                <c:pt idx="785">
                  <c:v>0.9</c:v>
                </c:pt>
                <c:pt idx="786">
                  <c:v>0.9</c:v>
                </c:pt>
                <c:pt idx="787">
                  <c:v>0.9</c:v>
                </c:pt>
                <c:pt idx="788">
                  <c:v>0.9</c:v>
                </c:pt>
                <c:pt idx="789">
                  <c:v>0.9</c:v>
                </c:pt>
                <c:pt idx="790">
                  <c:v>0.9</c:v>
                </c:pt>
                <c:pt idx="791">
                  <c:v>0.9</c:v>
                </c:pt>
                <c:pt idx="792">
                  <c:v>0.9</c:v>
                </c:pt>
                <c:pt idx="793">
                  <c:v>0.9</c:v>
                </c:pt>
                <c:pt idx="794">
                  <c:v>0.9</c:v>
                </c:pt>
                <c:pt idx="795">
                  <c:v>0.9</c:v>
                </c:pt>
                <c:pt idx="796">
                  <c:v>0.9</c:v>
                </c:pt>
                <c:pt idx="797">
                  <c:v>0.9</c:v>
                </c:pt>
                <c:pt idx="798">
                  <c:v>0.9</c:v>
                </c:pt>
                <c:pt idx="799">
                  <c:v>0.9</c:v>
                </c:pt>
                <c:pt idx="800">
                  <c:v>0.9</c:v>
                </c:pt>
                <c:pt idx="801">
                  <c:v>0.9</c:v>
                </c:pt>
                <c:pt idx="802">
                  <c:v>0.9</c:v>
                </c:pt>
                <c:pt idx="803">
                  <c:v>0.9</c:v>
                </c:pt>
                <c:pt idx="804">
                  <c:v>0.9</c:v>
                </c:pt>
                <c:pt idx="805">
                  <c:v>0.9</c:v>
                </c:pt>
                <c:pt idx="806">
                  <c:v>0.9</c:v>
                </c:pt>
                <c:pt idx="807">
                  <c:v>0.9</c:v>
                </c:pt>
                <c:pt idx="808">
                  <c:v>0.9</c:v>
                </c:pt>
                <c:pt idx="809">
                  <c:v>0.9</c:v>
                </c:pt>
                <c:pt idx="810">
                  <c:v>0.9</c:v>
                </c:pt>
                <c:pt idx="811">
                  <c:v>0.9</c:v>
                </c:pt>
                <c:pt idx="812">
                  <c:v>0.9</c:v>
                </c:pt>
                <c:pt idx="813">
                  <c:v>0.9</c:v>
                </c:pt>
                <c:pt idx="814">
                  <c:v>0.9</c:v>
                </c:pt>
                <c:pt idx="815">
                  <c:v>0.9</c:v>
                </c:pt>
                <c:pt idx="816">
                  <c:v>0.9</c:v>
                </c:pt>
                <c:pt idx="817">
                  <c:v>0.9</c:v>
                </c:pt>
                <c:pt idx="818">
                  <c:v>0.9</c:v>
                </c:pt>
                <c:pt idx="819">
                  <c:v>0.9</c:v>
                </c:pt>
                <c:pt idx="820">
                  <c:v>0.9</c:v>
                </c:pt>
                <c:pt idx="821">
                  <c:v>0.9</c:v>
                </c:pt>
                <c:pt idx="822">
                  <c:v>0.9</c:v>
                </c:pt>
                <c:pt idx="823">
                  <c:v>0.9</c:v>
                </c:pt>
                <c:pt idx="824">
                  <c:v>0.9</c:v>
                </c:pt>
                <c:pt idx="825">
                  <c:v>0.9</c:v>
                </c:pt>
                <c:pt idx="826">
                  <c:v>0.9</c:v>
                </c:pt>
                <c:pt idx="827">
                  <c:v>0.9</c:v>
                </c:pt>
                <c:pt idx="828">
                  <c:v>0.9</c:v>
                </c:pt>
                <c:pt idx="829">
                  <c:v>0.9</c:v>
                </c:pt>
                <c:pt idx="830">
                  <c:v>0.9</c:v>
                </c:pt>
                <c:pt idx="831">
                  <c:v>0.9</c:v>
                </c:pt>
                <c:pt idx="832">
                  <c:v>0.9</c:v>
                </c:pt>
                <c:pt idx="833">
                  <c:v>0.9</c:v>
                </c:pt>
                <c:pt idx="834">
                  <c:v>0.9</c:v>
                </c:pt>
                <c:pt idx="835">
                  <c:v>0.9</c:v>
                </c:pt>
                <c:pt idx="836">
                  <c:v>0.9</c:v>
                </c:pt>
                <c:pt idx="837">
                  <c:v>0.9</c:v>
                </c:pt>
                <c:pt idx="838">
                  <c:v>0.9</c:v>
                </c:pt>
                <c:pt idx="839">
                  <c:v>0.9</c:v>
                </c:pt>
                <c:pt idx="840">
                  <c:v>0.9</c:v>
                </c:pt>
                <c:pt idx="841">
                  <c:v>0.9</c:v>
                </c:pt>
                <c:pt idx="842">
                  <c:v>0.9</c:v>
                </c:pt>
                <c:pt idx="843">
                  <c:v>0.9</c:v>
                </c:pt>
                <c:pt idx="844">
                  <c:v>0.9</c:v>
                </c:pt>
                <c:pt idx="845">
                  <c:v>0.9</c:v>
                </c:pt>
                <c:pt idx="846">
                  <c:v>0.9</c:v>
                </c:pt>
                <c:pt idx="847">
                  <c:v>0.9</c:v>
                </c:pt>
                <c:pt idx="848">
                  <c:v>0.9</c:v>
                </c:pt>
                <c:pt idx="849">
                  <c:v>0.9</c:v>
                </c:pt>
                <c:pt idx="850">
                  <c:v>0.9</c:v>
                </c:pt>
                <c:pt idx="851">
                  <c:v>0.9</c:v>
                </c:pt>
                <c:pt idx="852">
                  <c:v>0.9</c:v>
                </c:pt>
                <c:pt idx="853">
                  <c:v>0.9</c:v>
                </c:pt>
                <c:pt idx="854">
                  <c:v>0.9</c:v>
                </c:pt>
                <c:pt idx="855">
                  <c:v>0.9</c:v>
                </c:pt>
                <c:pt idx="856">
                  <c:v>0.9</c:v>
                </c:pt>
                <c:pt idx="857">
                  <c:v>0.9</c:v>
                </c:pt>
                <c:pt idx="858">
                  <c:v>0.9</c:v>
                </c:pt>
                <c:pt idx="859">
                  <c:v>0.9</c:v>
                </c:pt>
                <c:pt idx="860">
                  <c:v>0.9</c:v>
                </c:pt>
                <c:pt idx="861">
                  <c:v>0.9</c:v>
                </c:pt>
                <c:pt idx="862">
                  <c:v>0.9</c:v>
                </c:pt>
                <c:pt idx="863">
                  <c:v>0.9</c:v>
                </c:pt>
                <c:pt idx="864">
                  <c:v>0.9</c:v>
                </c:pt>
                <c:pt idx="865">
                  <c:v>0.9</c:v>
                </c:pt>
                <c:pt idx="866">
                  <c:v>0.9</c:v>
                </c:pt>
                <c:pt idx="867">
                  <c:v>0.9</c:v>
                </c:pt>
                <c:pt idx="868">
                  <c:v>0.9</c:v>
                </c:pt>
                <c:pt idx="869">
                  <c:v>0.9</c:v>
                </c:pt>
                <c:pt idx="870">
                  <c:v>0.9</c:v>
                </c:pt>
                <c:pt idx="871">
                  <c:v>0.9</c:v>
                </c:pt>
                <c:pt idx="872">
                  <c:v>0.9</c:v>
                </c:pt>
                <c:pt idx="873">
                  <c:v>0.9</c:v>
                </c:pt>
                <c:pt idx="874">
                  <c:v>0.9</c:v>
                </c:pt>
                <c:pt idx="875">
                  <c:v>0.9</c:v>
                </c:pt>
                <c:pt idx="876">
                  <c:v>0.9</c:v>
                </c:pt>
                <c:pt idx="877">
                  <c:v>0.9</c:v>
                </c:pt>
                <c:pt idx="878">
                  <c:v>0.9</c:v>
                </c:pt>
                <c:pt idx="879">
                  <c:v>0.9</c:v>
                </c:pt>
                <c:pt idx="880">
                  <c:v>0.9</c:v>
                </c:pt>
                <c:pt idx="881">
                  <c:v>0.9</c:v>
                </c:pt>
                <c:pt idx="882">
                  <c:v>0.9</c:v>
                </c:pt>
                <c:pt idx="883">
                  <c:v>0.9</c:v>
                </c:pt>
                <c:pt idx="884">
                  <c:v>0.9</c:v>
                </c:pt>
                <c:pt idx="885">
                  <c:v>0.9</c:v>
                </c:pt>
                <c:pt idx="886">
                  <c:v>0.9</c:v>
                </c:pt>
                <c:pt idx="887">
                  <c:v>0.9</c:v>
                </c:pt>
                <c:pt idx="888">
                  <c:v>0.9</c:v>
                </c:pt>
                <c:pt idx="889">
                  <c:v>0.9</c:v>
                </c:pt>
                <c:pt idx="890">
                  <c:v>0.9</c:v>
                </c:pt>
                <c:pt idx="891">
                  <c:v>0.9</c:v>
                </c:pt>
                <c:pt idx="892">
                  <c:v>0.9</c:v>
                </c:pt>
                <c:pt idx="893">
                  <c:v>0.9</c:v>
                </c:pt>
                <c:pt idx="894">
                  <c:v>0.9</c:v>
                </c:pt>
                <c:pt idx="895">
                  <c:v>0.9</c:v>
                </c:pt>
                <c:pt idx="896">
                  <c:v>0.9</c:v>
                </c:pt>
                <c:pt idx="897">
                  <c:v>0.9</c:v>
                </c:pt>
                <c:pt idx="898">
                  <c:v>0.9</c:v>
                </c:pt>
                <c:pt idx="899">
                  <c:v>0.9</c:v>
                </c:pt>
                <c:pt idx="900">
                  <c:v>0.9</c:v>
                </c:pt>
                <c:pt idx="901">
                  <c:v>0.9</c:v>
                </c:pt>
                <c:pt idx="902">
                  <c:v>0.9</c:v>
                </c:pt>
                <c:pt idx="903">
                  <c:v>0.9</c:v>
                </c:pt>
                <c:pt idx="904">
                  <c:v>0.9</c:v>
                </c:pt>
                <c:pt idx="905">
                  <c:v>0.9</c:v>
                </c:pt>
                <c:pt idx="906">
                  <c:v>0.9</c:v>
                </c:pt>
                <c:pt idx="907">
                  <c:v>0.9</c:v>
                </c:pt>
                <c:pt idx="908">
                  <c:v>0.9</c:v>
                </c:pt>
                <c:pt idx="909">
                  <c:v>0.9</c:v>
                </c:pt>
                <c:pt idx="910">
                  <c:v>0.9</c:v>
                </c:pt>
                <c:pt idx="911">
                  <c:v>0.9</c:v>
                </c:pt>
                <c:pt idx="912">
                  <c:v>0.9</c:v>
                </c:pt>
                <c:pt idx="913">
                  <c:v>0.9</c:v>
                </c:pt>
                <c:pt idx="914">
                  <c:v>0.9</c:v>
                </c:pt>
                <c:pt idx="915">
                  <c:v>0.9</c:v>
                </c:pt>
                <c:pt idx="916">
                  <c:v>0.9</c:v>
                </c:pt>
                <c:pt idx="917">
                  <c:v>0.9</c:v>
                </c:pt>
                <c:pt idx="918">
                  <c:v>0.9</c:v>
                </c:pt>
                <c:pt idx="919">
                  <c:v>0.9</c:v>
                </c:pt>
                <c:pt idx="920">
                  <c:v>0.9</c:v>
                </c:pt>
                <c:pt idx="921">
                  <c:v>0.9</c:v>
                </c:pt>
                <c:pt idx="922">
                  <c:v>0.9</c:v>
                </c:pt>
                <c:pt idx="923">
                  <c:v>0.9</c:v>
                </c:pt>
                <c:pt idx="924">
                  <c:v>0.9</c:v>
                </c:pt>
                <c:pt idx="925">
                  <c:v>0.9</c:v>
                </c:pt>
                <c:pt idx="926">
                  <c:v>0.9</c:v>
                </c:pt>
                <c:pt idx="927">
                  <c:v>0.9</c:v>
                </c:pt>
                <c:pt idx="928">
                  <c:v>0.9</c:v>
                </c:pt>
                <c:pt idx="929">
                  <c:v>0.9</c:v>
                </c:pt>
                <c:pt idx="930">
                  <c:v>0.9</c:v>
                </c:pt>
                <c:pt idx="931">
                  <c:v>0.9</c:v>
                </c:pt>
                <c:pt idx="932">
                  <c:v>0.9</c:v>
                </c:pt>
                <c:pt idx="933">
                  <c:v>0.9</c:v>
                </c:pt>
                <c:pt idx="934">
                  <c:v>0.9</c:v>
                </c:pt>
                <c:pt idx="935">
                  <c:v>0.9</c:v>
                </c:pt>
                <c:pt idx="936">
                  <c:v>0.9</c:v>
                </c:pt>
                <c:pt idx="937">
                  <c:v>0.9</c:v>
                </c:pt>
                <c:pt idx="938">
                  <c:v>0.9</c:v>
                </c:pt>
                <c:pt idx="939">
                  <c:v>0.9</c:v>
                </c:pt>
                <c:pt idx="940">
                  <c:v>0.9</c:v>
                </c:pt>
                <c:pt idx="941">
                  <c:v>0.9</c:v>
                </c:pt>
                <c:pt idx="942">
                  <c:v>0.9</c:v>
                </c:pt>
                <c:pt idx="943">
                  <c:v>0.9</c:v>
                </c:pt>
                <c:pt idx="944">
                  <c:v>0.9</c:v>
                </c:pt>
                <c:pt idx="945">
                  <c:v>0.9</c:v>
                </c:pt>
                <c:pt idx="946">
                  <c:v>0.9</c:v>
                </c:pt>
                <c:pt idx="947">
                  <c:v>0.9</c:v>
                </c:pt>
                <c:pt idx="948">
                  <c:v>0.9</c:v>
                </c:pt>
                <c:pt idx="949">
                  <c:v>0.9</c:v>
                </c:pt>
                <c:pt idx="950">
                  <c:v>0.9</c:v>
                </c:pt>
                <c:pt idx="951">
                  <c:v>0.9</c:v>
                </c:pt>
                <c:pt idx="952">
                  <c:v>0.9</c:v>
                </c:pt>
                <c:pt idx="953">
                  <c:v>0.9</c:v>
                </c:pt>
                <c:pt idx="954">
                  <c:v>0.9</c:v>
                </c:pt>
                <c:pt idx="955">
                  <c:v>0.9</c:v>
                </c:pt>
                <c:pt idx="956">
                  <c:v>0.9</c:v>
                </c:pt>
                <c:pt idx="957">
                  <c:v>0.9</c:v>
                </c:pt>
                <c:pt idx="958">
                  <c:v>0.9</c:v>
                </c:pt>
                <c:pt idx="959">
                  <c:v>0.9</c:v>
                </c:pt>
                <c:pt idx="960">
                  <c:v>0.9</c:v>
                </c:pt>
                <c:pt idx="961">
                  <c:v>0.9</c:v>
                </c:pt>
                <c:pt idx="962">
                  <c:v>0.9</c:v>
                </c:pt>
                <c:pt idx="963">
                  <c:v>0.9</c:v>
                </c:pt>
                <c:pt idx="964">
                  <c:v>0.9</c:v>
                </c:pt>
                <c:pt idx="965">
                  <c:v>0.9</c:v>
                </c:pt>
                <c:pt idx="966">
                  <c:v>0.9</c:v>
                </c:pt>
                <c:pt idx="967">
                  <c:v>0.9</c:v>
                </c:pt>
                <c:pt idx="968">
                  <c:v>0.9</c:v>
                </c:pt>
                <c:pt idx="969">
                  <c:v>0.9</c:v>
                </c:pt>
                <c:pt idx="970">
                  <c:v>0.9</c:v>
                </c:pt>
                <c:pt idx="971">
                  <c:v>0.9</c:v>
                </c:pt>
                <c:pt idx="972">
                  <c:v>0.9</c:v>
                </c:pt>
                <c:pt idx="973">
                  <c:v>0.9</c:v>
                </c:pt>
                <c:pt idx="974">
                  <c:v>0.9</c:v>
                </c:pt>
                <c:pt idx="975">
                  <c:v>0.9</c:v>
                </c:pt>
                <c:pt idx="976">
                  <c:v>0.9</c:v>
                </c:pt>
                <c:pt idx="977">
                  <c:v>0.9</c:v>
                </c:pt>
                <c:pt idx="978">
                  <c:v>0.9</c:v>
                </c:pt>
                <c:pt idx="979">
                  <c:v>0.9</c:v>
                </c:pt>
                <c:pt idx="980">
                  <c:v>0.9</c:v>
                </c:pt>
                <c:pt idx="981">
                  <c:v>0.9</c:v>
                </c:pt>
                <c:pt idx="982">
                  <c:v>0.9</c:v>
                </c:pt>
                <c:pt idx="983">
                  <c:v>0.9</c:v>
                </c:pt>
                <c:pt idx="984">
                  <c:v>0.9</c:v>
                </c:pt>
                <c:pt idx="985">
                  <c:v>0.9</c:v>
                </c:pt>
                <c:pt idx="986">
                  <c:v>0.9</c:v>
                </c:pt>
                <c:pt idx="987">
                  <c:v>0.9</c:v>
                </c:pt>
                <c:pt idx="988">
                  <c:v>0.9</c:v>
                </c:pt>
                <c:pt idx="989">
                  <c:v>0.9</c:v>
                </c:pt>
                <c:pt idx="990">
                  <c:v>0.9</c:v>
                </c:pt>
                <c:pt idx="991">
                  <c:v>0.9</c:v>
                </c:pt>
                <c:pt idx="992">
                  <c:v>0.9</c:v>
                </c:pt>
                <c:pt idx="993">
                  <c:v>0.9</c:v>
                </c:pt>
                <c:pt idx="994">
                  <c:v>0.9</c:v>
                </c:pt>
                <c:pt idx="995">
                  <c:v>0.9</c:v>
                </c:pt>
                <c:pt idx="996">
                  <c:v>0.9</c:v>
                </c:pt>
                <c:pt idx="997">
                  <c:v>0.9</c:v>
                </c:pt>
                <c:pt idx="998">
                  <c:v>0.9</c:v>
                </c:pt>
                <c:pt idx="999">
                  <c:v>0.9</c:v>
                </c:pt>
                <c:pt idx="1000">
                  <c:v>0.9</c:v>
                </c:pt>
                <c:pt idx="1001">
                  <c:v>0.9</c:v>
                </c:pt>
                <c:pt idx="1002">
                  <c:v>0.9</c:v>
                </c:pt>
                <c:pt idx="1003">
                  <c:v>0.9</c:v>
                </c:pt>
                <c:pt idx="1004">
                  <c:v>0.9</c:v>
                </c:pt>
                <c:pt idx="1005">
                  <c:v>0.9</c:v>
                </c:pt>
                <c:pt idx="1006">
                  <c:v>0.9</c:v>
                </c:pt>
                <c:pt idx="1007">
                  <c:v>0.9</c:v>
                </c:pt>
                <c:pt idx="1008">
                  <c:v>0.9</c:v>
                </c:pt>
                <c:pt idx="1009">
                  <c:v>0.9</c:v>
                </c:pt>
                <c:pt idx="1010">
                  <c:v>0.9</c:v>
                </c:pt>
                <c:pt idx="1011">
                  <c:v>0.9</c:v>
                </c:pt>
                <c:pt idx="1012">
                  <c:v>0.9</c:v>
                </c:pt>
                <c:pt idx="1013">
                  <c:v>0.9</c:v>
                </c:pt>
                <c:pt idx="1014">
                  <c:v>0.9</c:v>
                </c:pt>
                <c:pt idx="1015">
                  <c:v>0.9</c:v>
                </c:pt>
                <c:pt idx="1016">
                  <c:v>0.9</c:v>
                </c:pt>
                <c:pt idx="1017">
                  <c:v>0.9</c:v>
                </c:pt>
                <c:pt idx="1018">
                  <c:v>0.9</c:v>
                </c:pt>
                <c:pt idx="1019">
                  <c:v>0.9</c:v>
                </c:pt>
                <c:pt idx="1020">
                  <c:v>0.9</c:v>
                </c:pt>
                <c:pt idx="1021">
                  <c:v>0.9</c:v>
                </c:pt>
                <c:pt idx="1022">
                  <c:v>0.9</c:v>
                </c:pt>
                <c:pt idx="1023">
                  <c:v>0.9</c:v>
                </c:pt>
                <c:pt idx="1024">
                  <c:v>0.9</c:v>
                </c:pt>
                <c:pt idx="1025">
                  <c:v>0.9</c:v>
                </c:pt>
                <c:pt idx="1026">
                  <c:v>0.9</c:v>
                </c:pt>
                <c:pt idx="1027">
                  <c:v>0.9</c:v>
                </c:pt>
                <c:pt idx="1028">
                  <c:v>0.9</c:v>
                </c:pt>
                <c:pt idx="1029">
                  <c:v>0.9</c:v>
                </c:pt>
                <c:pt idx="1030">
                  <c:v>0.9</c:v>
                </c:pt>
                <c:pt idx="1031">
                  <c:v>0.9</c:v>
                </c:pt>
                <c:pt idx="1032">
                  <c:v>0.9</c:v>
                </c:pt>
                <c:pt idx="1033">
                  <c:v>0.9</c:v>
                </c:pt>
                <c:pt idx="1034">
                  <c:v>0.9</c:v>
                </c:pt>
                <c:pt idx="1035">
                  <c:v>0.9</c:v>
                </c:pt>
                <c:pt idx="1036">
                  <c:v>0.9</c:v>
                </c:pt>
                <c:pt idx="1037">
                  <c:v>0.9</c:v>
                </c:pt>
                <c:pt idx="1038">
                  <c:v>0.9</c:v>
                </c:pt>
                <c:pt idx="1039">
                  <c:v>0.9</c:v>
                </c:pt>
                <c:pt idx="1040">
                  <c:v>0.9</c:v>
                </c:pt>
                <c:pt idx="1041">
                  <c:v>0.9</c:v>
                </c:pt>
                <c:pt idx="1042">
                  <c:v>0.9</c:v>
                </c:pt>
                <c:pt idx="1043">
                  <c:v>0.9</c:v>
                </c:pt>
                <c:pt idx="1044">
                  <c:v>0.9</c:v>
                </c:pt>
                <c:pt idx="1045">
                  <c:v>0.9</c:v>
                </c:pt>
                <c:pt idx="1046">
                  <c:v>0.9</c:v>
                </c:pt>
                <c:pt idx="1047">
                  <c:v>0.9</c:v>
                </c:pt>
                <c:pt idx="1048">
                  <c:v>0.9</c:v>
                </c:pt>
                <c:pt idx="1049">
                  <c:v>0.9</c:v>
                </c:pt>
                <c:pt idx="1050">
                  <c:v>0.9</c:v>
                </c:pt>
                <c:pt idx="1051">
                  <c:v>0.9</c:v>
                </c:pt>
                <c:pt idx="1052">
                  <c:v>0.9</c:v>
                </c:pt>
                <c:pt idx="1053">
                  <c:v>0.9</c:v>
                </c:pt>
                <c:pt idx="1054">
                  <c:v>0.9</c:v>
                </c:pt>
                <c:pt idx="1055">
                  <c:v>0.9</c:v>
                </c:pt>
                <c:pt idx="1056">
                  <c:v>0.9</c:v>
                </c:pt>
                <c:pt idx="1057">
                  <c:v>0.9</c:v>
                </c:pt>
                <c:pt idx="1058">
                  <c:v>0.9</c:v>
                </c:pt>
                <c:pt idx="1059">
                  <c:v>0.9</c:v>
                </c:pt>
                <c:pt idx="1060">
                  <c:v>0.9</c:v>
                </c:pt>
                <c:pt idx="1061">
                  <c:v>0.9</c:v>
                </c:pt>
                <c:pt idx="1062">
                  <c:v>0.9</c:v>
                </c:pt>
                <c:pt idx="1063">
                  <c:v>0.9</c:v>
                </c:pt>
                <c:pt idx="1064">
                  <c:v>0.9</c:v>
                </c:pt>
                <c:pt idx="1065">
                  <c:v>0.9</c:v>
                </c:pt>
                <c:pt idx="1066">
                  <c:v>0.9</c:v>
                </c:pt>
                <c:pt idx="1067">
                  <c:v>0.9</c:v>
                </c:pt>
                <c:pt idx="1068">
                  <c:v>0.9</c:v>
                </c:pt>
                <c:pt idx="1069">
                  <c:v>0.9</c:v>
                </c:pt>
                <c:pt idx="1070">
                  <c:v>0.9</c:v>
                </c:pt>
                <c:pt idx="1071">
                  <c:v>0.9</c:v>
                </c:pt>
                <c:pt idx="1072">
                  <c:v>0.9</c:v>
                </c:pt>
                <c:pt idx="1073">
                  <c:v>0.9</c:v>
                </c:pt>
                <c:pt idx="1074">
                  <c:v>0.9</c:v>
                </c:pt>
                <c:pt idx="1075">
                  <c:v>0.9</c:v>
                </c:pt>
                <c:pt idx="1076">
                  <c:v>0.9</c:v>
                </c:pt>
                <c:pt idx="1077">
                  <c:v>0.9</c:v>
                </c:pt>
                <c:pt idx="1078">
                  <c:v>0.9</c:v>
                </c:pt>
                <c:pt idx="1079">
                  <c:v>0.9</c:v>
                </c:pt>
                <c:pt idx="1080">
                  <c:v>0.9</c:v>
                </c:pt>
                <c:pt idx="1081">
                  <c:v>0.9</c:v>
                </c:pt>
                <c:pt idx="1082">
                  <c:v>0.9</c:v>
                </c:pt>
                <c:pt idx="1083">
                  <c:v>0.9</c:v>
                </c:pt>
                <c:pt idx="1084">
                  <c:v>0.9</c:v>
                </c:pt>
                <c:pt idx="1085">
                  <c:v>0.9</c:v>
                </c:pt>
                <c:pt idx="1086">
                  <c:v>0.9</c:v>
                </c:pt>
                <c:pt idx="1087">
                  <c:v>0.9</c:v>
                </c:pt>
                <c:pt idx="1088">
                  <c:v>0.9</c:v>
                </c:pt>
                <c:pt idx="1089">
                  <c:v>0.9</c:v>
                </c:pt>
                <c:pt idx="1090">
                  <c:v>0.9</c:v>
                </c:pt>
                <c:pt idx="1091">
                  <c:v>0.9</c:v>
                </c:pt>
                <c:pt idx="1092">
                  <c:v>0.9</c:v>
                </c:pt>
                <c:pt idx="1093">
                  <c:v>0.9</c:v>
                </c:pt>
                <c:pt idx="1094">
                  <c:v>0.9</c:v>
                </c:pt>
                <c:pt idx="1095">
                  <c:v>0.9</c:v>
                </c:pt>
                <c:pt idx="1096">
                  <c:v>0.9</c:v>
                </c:pt>
                <c:pt idx="1097">
                  <c:v>0.9</c:v>
                </c:pt>
                <c:pt idx="1098">
                  <c:v>0.9</c:v>
                </c:pt>
                <c:pt idx="1099">
                  <c:v>0.9</c:v>
                </c:pt>
                <c:pt idx="1100">
                  <c:v>0.9</c:v>
                </c:pt>
                <c:pt idx="1101">
                  <c:v>0.9</c:v>
                </c:pt>
                <c:pt idx="1102">
                  <c:v>0.9</c:v>
                </c:pt>
                <c:pt idx="1103">
                  <c:v>0.9</c:v>
                </c:pt>
                <c:pt idx="1104">
                  <c:v>0.9</c:v>
                </c:pt>
                <c:pt idx="1105">
                  <c:v>0.9</c:v>
                </c:pt>
                <c:pt idx="1106">
                  <c:v>0.9</c:v>
                </c:pt>
                <c:pt idx="1107">
                  <c:v>0.9</c:v>
                </c:pt>
                <c:pt idx="1108">
                  <c:v>0.9</c:v>
                </c:pt>
                <c:pt idx="1109">
                  <c:v>0.9</c:v>
                </c:pt>
                <c:pt idx="1110">
                  <c:v>0.9</c:v>
                </c:pt>
                <c:pt idx="1111">
                  <c:v>0.9</c:v>
                </c:pt>
                <c:pt idx="1112">
                  <c:v>0.9</c:v>
                </c:pt>
                <c:pt idx="1113">
                  <c:v>0.9</c:v>
                </c:pt>
                <c:pt idx="1114">
                  <c:v>0.9</c:v>
                </c:pt>
                <c:pt idx="1115">
                  <c:v>0.9</c:v>
                </c:pt>
                <c:pt idx="1116">
                  <c:v>0.9</c:v>
                </c:pt>
                <c:pt idx="1117">
                  <c:v>0.9</c:v>
                </c:pt>
                <c:pt idx="1118">
                  <c:v>0.9</c:v>
                </c:pt>
                <c:pt idx="1119">
                  <c:v>0.9</c:v>
                </c:pt>
                <c:pt idx="1120">
                  <c:v>0.9</c:v>
                </c:pt>
                <c:pt idx="1121">
                  <c:v>0.9</c:v>
                </c:pt>
                <c:pt idx="1122">
                  <c:v>0.9</c:v>
                </c:pt>
                <c:pt idx="1123">
                  <c:v>0.9</c:v>
                </c:pt>
                <c:pt idx="1124">
                  <c:v>0.9</c:v>
                </c:pt>
                <c:pt idx="1125">
                  <c:v>0.9</c:v>
                </c:pt>
                <c:pt idx="1126">
                  <c:v>0.9</c:v>
                </c:pt>
                <c:pt idx="1127">
                  <c:v>0.9</c:v>
                </c:pt>
                <c:pt idx="1128">
                  <c:v>0.9</c:v>
                </c:pt>
                <c:pt idx="1129">
                  <c:v>0.9</c:v>
                </c:pt>
                <c:pt idx="1130">
                  <c:v>0.9</c:v>
                </c:pt>
                <c:pt idx="1131">
                  <c:v>0.9</c:v>
                </c:pt>
                <c:pt idx="1132">
                  <c:v>0.9</c:v>
                </c:pt>
                <c:pt idx="1133">
                  <c:v>0.9</c:v>
                </c:pt>
                <c:pt idx="1134">
                  <c:v>0.9</c:v>
                </c:pt>
                <c:pt idx="1135">
                  <c:v>0.9</c:v>
                </c:pt>
                <c:pt idx="1136">
                  <c:v>0.9</c:v>
                </c:pt>
                <c:pt idx="1137">
                  <c:v>0.9</c:v>
                </c:pt>
                <c:pt idx="1138">
                  <c:v>0.9</c:v>
                </c:pt>
                <c:pt idx="1139">
                  <c:v>0.9</c:v>
                </c:pt>
                <c:pt idx="1140">
                  <c:v>0.9</c:v>
                </c:pt>
                <c:pt idx="1141">
                  <c:v>0.9</c:v>
                </c:pt>
                <c:pt idx="1142">
                  <c:v>0.9</c:v>
                </c:pt>
                <c:pt idx="1143">
                  <c:v>0.9</c:v>
                </c:pt>
                <c:pt idx="1144">
                  <c:v>0.9</c:v>
                </c:pt>
                <c:pt idx="1145">
                  <c:v>0.9</c:v>
                </c:pt>
                <c:pt idx="1146">
                  <c:v>0.9</c:v>
                </c:pt>
                <c:pt idx="1147">
                  <c:v>0.9</c:v>
                </c:pt>
                <c:pt idx="1148">
                  <c:v>0.9</c:v>
                </c:pt>
                <c:pt idx="1149">
                  <c:v>0.9</c:v>
                </c:pt>
                <c:pt idx="1150">
                  <c:v>0.9</c:v>
                </c:pt>
                <c:pt idx="1151">
                  <c:v>0.9</c:v>
                </c:pt>
                <c:pt idx="1152">
                  <c:v>0.9</c:v>
                </c:pt>
                <c:pt idx="1153">
                  <c:v>0.9</c:v>
                </c:pt>
                <c:pt idx="1154">
                  <c:v>0.9</c:v>
                </c:pt>
                <c:pt idx="1155">
                  <c:v>0.9</c:v>
                </c:pt>
                <c:pt idx="1156">
                  <c:v>0.9</c:v>
                </c:pt>
                <c:pt idx="1157">
                  <c:v>0.9</c:v>
                </c:pt>
                <c:pt idx="1158">
                  <c:v>0.9</c:v>
                </c:pt>
                <c:pt idx="1159">
                  <c:v>0.9</c:v>
                </c:pt>
                <c:pt idx="1160">
                  <c:v>0.9</c:v>
                </c:pt>
                <c:pt idx="1161">
                  <c:v>0.9</c:v>
                </c:pt>
                <c:pt idx="1162">
                  <c:v>0.9</c:v>
                </c:pt>
                <c:pt idx="1163">
                  <c:v>0.9</c:v>
                </c:pt>
                <c:pt idx="1164">
                  <c:v>0.9</c:v>
                </c:pt>
                <c:pt idx="1165">
                  <c:v>0.9</c:v>
                </c:pt>
                <c:pt idx="1166">
                  <c:v>0.9</c:v>
                </c:pt>
                <c:pt idx="1167">
                  <c:v>0.9</c:v>
                </c:pt>
                <c:pt idx="1168">
                  <c:v>0.9</c:v>
                </c:pt>
                <c:pt idx="1169">
                  <c:v>0.9</c:v>
                </c:pt>
                <c:pt idx="1170">
                  <c:v>0.9</c:v>
                </c:pt>
                <c:pt idx="1171">
                  <c:v>0.9</c:v>
                </c:pt>
                <c:pt idx="1172">
                  <c:v>0.9</c:v>
                </c:pt>
                <c:pt idx="1173">
                  <c:v>0.9</c:v>
                </c:pt>
                <c:pt idx="1174">
                  <c:v>0.9</c:v>
                </c:pt>
                <c:pt idx="1175">
                  <c:v>0.9</c:v>
                </c:pt>
                <c:pt idx="1176">
                  <c:v>0.9</c:v>
                </c:pt>
                <c:pt idx="1177">
                  <c:v>0.9</c:v>
                </c:pt>
                <c:pt idx="1178">
                  <c:v>0.9</c:v>
                </c:pt>
                <c:pt idx="1179">
                  <c:v>0.9</c:v>
                </c:pt>
                <c:pt idx="1180">
                  <c:v>0.9</c:v>
                </c:pt>
                <c:pt idx="1181">
                  <c:v>0.9</c:v>
                </c:pt>
                <c:pt idx="1182">
                  <c:v>0.9</c:v>
                </c:pt>
                <c:pt idx="1183">
                  <c:v>0.9</c:v>
                </c:pt>
                <c:pt idx="1184">
                  <c:v>0.9</c:v>
                </c:pt>
                <c:pt idx="1185">
                  <c:v>0.9</c:v>
                </c:pt>
                <c:pt idx="1186">
                  <c:v>0.9</c:v>
                </c:pt>
                <c:pt idx="1187">
                  <c:v>0.9</c:v>
                </c:pt>
                <c:pt idx="1188">
                  <c:v>0.9</c:v>
                </c:pt>
                <c:pt idx="1189">
                  <c:v>0.9</c:v>
                </c:pt>
                <c:pt idx="1190">
                  <c:v>0.9</c:v>
                </c:pt>
                <c:pt idx="1191">
                  <c:v>0.9</c:v>
                </c:pt>
                <c:pt idx="1192">
                  <c:v>0.9</c:v>
                </c:pt>
                <c:pt idx="1193">
                  <c:v>0.9</c:v>
                </c:pt>
                <c:pt idx="1194">
                  <c:v>0.9</c:v>
                </c:pt>
                <c:pt idx="1195">
                  <c:v>0.9</c:v>
                </c:pt>
                <c:pt idx="1196">
                  <c:v>0.9</c:v>
                </c:pt>
                <c:pt idx="1197">
                  <c:v>0.9</c:v>
                </c:pt>
                <c:pt idx="1198">
                  <c:v>0.9</c:v>
                </c:pt>
                <c:pt idx="1199">
                  <c:v>0.9</c:v>
                </c:pt>
                <c:pt idx="1200">
                  <c:v>0.9</c:v>
                </c:pt>
                <c:pt idx="1201">
                  <c:v>0.9</c:v>
                </c:pt>
                <c:pt idx="1202">
                  <c:v>0.9</c:v>
                </c:pt>
                <c:pt idx="1203">
                  <c:v>0.9</c:v>
                </c:pt>
                <c:pt idx="1204">
                  <c:v>0.9</c:v>
                </c:pt>
                <c:pt idx="1205">
                  <c:v>0.9</c:v>
                </c:pt>
                <c:pt idx="1206">
                  <c:v>0.9</c:v>
                </c:pt>
                <c:pt idx="1207">
                  <c:v>0.9</c:v>
                </c:pt>
                <c:pt idx="1208">
                  <c:v>0.9</c:v>
                </c:pt>
                <c:pt idx="1209">
                  <c:v>0.9</c:v>
                </c:pt>
                <c:pt idx="1210">
                  <c:v>0.9</c:v>
                </c:pt>
                <c:pt idx="1211">
                  <c:v>0.9</c:v>
                </c:pt>
                <c:pt idx="1212">
                  <c:v>0.9</c:v>
                </c:pt>
                <c:pt idx="1213">
                  <c:v>0.9</c:v>
                </c:pt>
                <c:pt idx="1214">
                  <c:v>0.9</c:v>
                </c:pt>
                <c:pt idx="1215">
                  <c:v>0.9</c:v>
                </c:pt>
                <c:pt idx="1216">
                  <c:v>0.9</c:v>
                </c:pt>
                <c:pt idx="1217">
                  <c:v>0.9</c:v>
                </c:pt>
                <c:pt idx="1218">
                  <c:v>0.9</c:v>
                </c:pt>
                <c:pt idx="1219">
                  <c:v>0.9</c:v>
                </c:pt>
                <c:pt idx="1220">
                  <c:v>0.9</c:v>
                </c:pt>
                <c:pt idx="1221">
                  <c:v>0.9</c:v>
                </c:pt>
                <c:pt idx="1222">
                  <c:v>0.9</c:v>
                </c:pt>
                <c:pt idx="1223">
                  <c:v>0.9</c:v>
                </c:pt>
                <c:pt idx="1224">
                  <c:v>0.9</c:v>
                </c:pt>
                <c:pt idx="1225">
                  <c:v>0.9</c:v>
                </c:pt>
                <c:pt idx="1226">
                  <c:v>0.9</c:v>
                </c:pt>
                <c:pt idx="1227">
                  <c:v>0.9</c:v>
                </c:pt>
                <c:pt idx="1228">
                  <c:v>0.9</c:v>
                </c:pt>
                <c:pt idx="1229">
                  <c:v>0.9</c:v>
                </c:pt>
                <c:pt idx="1230">
                  <c:v>0.9</c:v>
                </c:pt>
                <c:pt idx="1231">
                  <c:v>0.9</c:v>
                </c:pt>
                <c:pt idx="1232">
                  <c:v>0.9</c:v>
                </c:pt>
                <c:pt idx="1233">
                  <c:v>0.9</c:v>
                </c:pt>
                <c:pt idx="1234">
                  <c:v>0.9</c:v>
                </c:pt>
                <c:pt idx="1235">
                  <c:v>0.9</c:v>
                </c:pt>
                <c:pt idx="1236">
                  <c:v>0.9</c:v>
                </c:pt>
                <c:pt idx="1237">
                  <c:v>0.9</c:v>
                </c:pt>
                <c:pt idx="1238">
                  <c:v>0.9</c:v>
                </c:pt>
                <c:pt idx="1239">
                  <c:v>0.9</c:v>
                </c:pt>
                <c:pt idx="1240">
                  <c:v>0.9</c:v>
                </c:pt>
                <c:pt idx="1241">
                  <c:v>0.9</c:v>
                </c:pt>
                <c:pt idx="1242">
                  <c:v>0.9</c:v>
                </c:pt>
                <c:pt idx="1243">
                  <c:v>0.9</c:v>
                </c:pt>
                <c:pt idx="1244">
                  <c:v>0.9</c:v>
                </c:pt>
                <c:pt idx="1245">
                  <c:v>0.9</c:v>
                </c:pt>
                <c:pt idx="1246">
                  <c:v>0.9</c:v>
                </c:pt>
                <c:pt idx="1247">
                  <c:v>0.9</c:v>
                </c:pt>
                <c:pt idx="1248">
                  <c:v>0.9</c:v>
                </c:pt>
                <c:pt idx="1249">
                  <c:v>0.9</c:v>
                </c:pt>
                <c:pt idx="1250">
                  <c:v>0.9</c:v>
                </c:pt>
                <c:pt idx="1251">
                  <c:v>0.9</c:v>
                </c:pt>
                <c:pt idx="1252">
                  <c:v>0.9</c:v>
                </c:pt>
                <c:pt idx="1253">
                  <c:v>0.9</c:v>
                </c:pt>
                <c:pt idx="1254">
                  <c:v>0.9</c:v>
                </c:pt>
                <c:pt idx="1255">
                  <c:v>0.9</c:v>
                </c:pt>
                <c:pt idx="1256">
                  <c:v>0.9</c:v>
                </c:pt>
                <c:pt idx="1257">
                  <c:v>0.9</c:v>
                </c:pt>
                <c:pt idx="1258">
                  <c:v>0.9</c:v>
                </c:pt>
                <c:pt idx="1259">
                  <c:v>0.9</c:v>
                </c:pt>
                <c:pt idx="1260">
                  <c:v>0.9</c:v>
                </c:pt>
                <c:pt idx="1261">
                  <c:v>0.9</c:v>
                </c:pt>
                <c:pt idx="1262">
                  <c:v>0.9</c:v>
                </c:pt>
                <c:pt idx="1263">
                  <c:v>0.9</c:v>
                </c:pt>
                <c:pt idx="1264">
                  <c:v>0.9</c:v>
                </c:pt>
                <c:pt idx="1265">
                  <c:v>0.9</c:v>
                </c:pt>
                <c:pt idx="1266">
                  <c:v>0.9</c:v>
                </c:pt>
                <c:pt idx="1267">
                  <c:v>0.9</c:v>
                </c:pt>
                <c:pt idx="1268">
                  <c:v>0.9</c:v>
                </c:pt>
                <c:pt idx="1269">
                  <c:v>0.9</c:v>
                </c:pt>
                <c:pt idx="1270">
                  <c:v>0.9</c:v>
                </c:pt>
                <c:pt idx="1271">
                  <c:v>0.9</c:v>
                </c:pt>
                <c:pt idx="1272">
                  <c:v>0.9</c:v>
                </c:pt>
                <c:pt idx="1273">
                  <c:v>0.9</c:v>
                </c:pt>
                <c:pt idx="1274">
                  <c:v>0.9</c:v>
                </c:pt>
                <c:pt idx="1275">
                  <c:v>0.9</c:v>
                </c:pt>
                <c:pt idx="1276">
                  <c:v>0.9</c:v>
                </c:pt>
                <c:pt idx="1277">
                  <c:v>0.9</c:v>
                </c:pt>
                <c:pt idx="1278">
                  <c:v>0.9</c:v>
                </c:pt>
                <c:pt idx="1279">
                  <c:v>0.9</c:v>
                </c:pt>
                <c:pt idx="1280">
                  <c:v>0.9</c:v>
                </c:pt>
                <c:pt idx="1281">
                  <c:v>0.9</c:v>
                </c:pt>
                <c:pt idx="1282">
                  <c:v>0.9</c:v>
                </c:pt>
                <c:pt idx="1283">
                  <c:v>0.9</c:v>
                </c:pt>
                <c:pt idx="1284">
                  <c:v>0.9</c:v>
                </c:pt>
                <c:pt idx="1285">
                  <c:v>0.9</c:v>
                </c:pt>
                <c:pt idx="1286">
                  <c:v>0.9</c:v>
                </c:pt>
                <c:pt idx="1287">
                  <c:v>0.9</c:v>
                </c:pt>
                <c:pt idx="1288">
                  <c:v>0.9</c:v>
                </c:pt>
                <c:pt idx="1289">
                  <c:v>0.9</c:v>
                </c:pt>
                <c:pt idx="1290">
                  <c:v>0.9</c:v>
                </c:pt>
                <c:pt idx="1291">
                  <c:v>0.9</c:v>
                </c:pt>
                <c:pt idx="1292">
                  <c:v>0.9</c:v>
                </c:pt>
                <c:pt idx="1293">
                  <c:v>0.9</c:v>
                </c:pt>
                <c:pt idx="1294">
                  <c:v>0.9</c:v>
                </c:pt>
                <c:pt idx="1295">
                  <c:v>0.9</c:v>
                </c:pt>
                <c:pt idx="1296">
                  <c:v>0.9</c:v>
                </c:pt>
                <c:pt idx="1297">
                  <c:v>0.9</c:v>
                </c:pt>
                <c:pt idx="1298">
                  <c:v>0.9</c:v>
                </c:pt>
                <c:pt idx="1299">
                  <c:v>0.9</c:v>
                </c:pt>
                <c:pt idx="1300">
                  <c:v>0.9</c:v>
                </c:pt>
                <c:pt idx="1301">
                  <c:v>0.9</c:v>
                </c:pt>
                <c:pt idx="1302">
                  <c:v>0.9</c:v>
                </c:pt>
                <c:pt idx="1303">
                  <c:v>0.9</c:v>
                </c:pt>
                <c:pt idx="1304">
                  <c:v>0.9</c:v>
                </c:pt>
                <c:pt idx="1305">
                  <c:v>0.9</c:v>
                </c:pt>
                <c:pt idx="1306">
                  <c:v>0.9</c:v>
                </c:pt>
                <c:pt idx="1307">
                  <c:v>0.9</c:v>
                </c:pt>
                <c:pt idx="1308">
                  <c:v>0.9</c:v>
                </c:pt>
                <c:pt idx="1309">
                  <c:v>0.9</c:v>
                </c:pt>
                <c:pt idx="1310">
                  <c:v>0.9</c:v>
                </c:pt>
                <c:pt idx="1311">
                  <c:v>0.9</c:v>
                </c:pt>
                <c:pt idx="1312">
                  <c:v>0.9</c:v>
                </c:pt>
                <c:pt idx="1313">
                  <c:v>0.9</c:v>
                </c:pt>
                <c:pt idx="1314">
                  <c:v>0.9</c:v>
                </c:pt>
                <c:pt idx="1315">
                  <c:v>0.9</c:v>
                </c:pt>
                <c:pt idx="1316">
                  <c:v>0.9</c:v>
                </c:pt>
                <c:pt idx="1317">
                  <c:v>0.9</c:v>
                </c:pt>
                <c:pt idx="1318">
                  <c:v>0.9</c:v>
                </c:pt>
                <c:pt idx="1319">
                  <c:v>0.9</c:v>
                </c:pt>
                <c:pt idx="1320">
                  <c:v>0.9</c:v>
                </c:pt>
                <c:pt idx="1321">
                  <c:v>0.9</c:v>
                </c:pt>
                <c:pt idx="1322">
                  <c:v>0.9</c:v>
                </c:pt>
                <c:pt idx="1323">
                  <c:v>0.9</c:v>
                </c:pt>
                <c:pt idx="1324">
                  <c:v>0.9</c:v>
                </c:pt>
                <c:pt idx="1325">
                  <c:v>0.9</c:v>
                </c:pt>
                <c:pt idx="1326">
                  <c:v>0.9</c:v>
                </c:pt>
                <c:pt idx="1327">
                  <c:v>0.9</c:v>
                </c:pt>
                <c:pt idx="1328">
                  <c:v>0.9</c:v>
                </c:pt>
                <c:pt idx="1329">
                  <c:v>0.9</c:v>
                </c:pt>
                <c:pt idx="1330">
                  <c:v>0.9</c:v>
                </c:pt>
                <c:pt idx="1331">
                  <c:v>0.9</c:v>
                </c:pt>
                <c:pt idx="1332">
                  <c:v>0.9</c:v>
                </c:pt>
                <c:pt idx="1333">
                  <c:v>0.9</c:v>
                </c:pt>
                <c:pt idx="1334">
                  <c:v>0.9</c:v>
                </c:pt>
                <c:pt idx="1335">
                  <c:v>0.9</c:v>
                </c:pt>
                <c:pt idx="1336">
                  <c:v>0.9</c:v>
                </c:pt>
                <c:pt idx="1337">
                  <c:v>0.9</c:v>
                </c:pt>
                <c:pt idx="1338">
                  <c:v>0.9</c:v>
                </c:pt>
                <c:pt idx="1339">
                  <c:v>0.9</c:v>
                </c:pt>
                <c:pt idx="1340">
                  <c:v>0.9</c:v>
                </c:pt>
                <c:pt idx="1341">
                  <c:v>0.9</c:v>
                </c:pt>
                <c:pt idx="1342">
                  <c:v>0.9</c:v>
                </c:pt>
                <c:pt idx="1343">
                  <c:v>0.9</c:v>
                </c:pt>
                <c:pt idx="1344">
                  <c:v>0.9</c:v>
                </c:pt>
                <c:pt idx="1345">
                  <c:v>0.9</c:v>
                </c:pt>
                <c:pt idx="1346">
                  <c:v>0.9</c:v>
                </c:pt>
                <c:pt idx="1347">
                  <c:v>0.9</c:v>
                </c:pt>
                <c:pt idx="1348">
                  <c:v>0.9</c:v>
                </c:pt>
                <c:pt idx="1349">
                  <c:v>0.9</c:v>
                </c:pt>
                <c:pt idx="1350">
                  <c:v>0.9</c:v>
                </c:pt>
                <c:pt idx="1351">
                  <c:v>0.9</c:v>
                </c:pt>
                <c:pt idx="1352">
                  <c:v>0.9</c:v>
                </c:pt>
                <c:pt idx="1353">
                  <c:v>0.9</c:v>
                </c:pt>
                <c:pt idx="1354">
                  <c:v>0.9</c:v>
                </c:pt>
                <c:pt idx="1355">
                  <c:v>0.9</c:v>
                </c:pt>
                <c:pt idx="1356">
                  <c:v>0.9</c:v>
                </c:pt>
                <c:pt idx="1357">
                  <c:v>0.9</c:v>
                </c:pt>
                <c:pt idx="1358">
                  <c:v>0.9</c:v>
                </c:pt>
                <c:pt idx="1359">
                  <c:v>0.9</c:v>
                </c:pt>
                <c:pt idx="1360">
                  <c:v>0.9</c:v>
                </c:pt>
                <c:pt idx="1361">
                  <c:v>0.9</c:v>
                </c:pt>
                <c:pt idx="1362">
                  <c:v>0.9</c:v>
                </c:pt>
                <c:pt idx="1363">
                  <c:v>0.9</c:v>
                </c:pt>
                <c:pt idx="1364">
                  <c:v>0.9</c:v>
                </c:pt>
                <c:pt idx="1365">
                  <c:v>0.9</c:v>
                </c:pt>
                <c:pt idx="1366">
                  <c:v>0.9</c:v>
                </c:pt>
                <c:pt idx="1367">
                  <c:v>0.9</c:v>
                </c:pt>
                <c:pt idx="1368">
                  <c:v>0.9</c:v>
                </c:pt>
                <c:pt idx="1369">
                  <c:v>0.9</c:v>
                </c:pt>
                <c:pt idx="1370">
                  <c:v>0.9</c:v>
                </c:pt>
                <c:pt idx="1371">
                  <c:v>0.9</c:v>
                </c:pt>
                <c:pt idx="1372">
                  <c:v>0.9</c:v>
                </c:pt>
                <c:pt idx="1373">
                  <c:v>0.9</c:v>
                </c:pt>
                <c:pt idx="1374">
                  <c:v>0.9</c:v>
                </c:pt>
                <c:pt idx="1375">
                  <c:v>0.9</c:v>
                </c:pt>
                <c:pt idx="1376">
                  <c:v>0.9</c:v>
                </c:pt>
                <c:pt idx="1377">
                  <c:v>0.9</c:v>
                </c:pt>
                <c:pt idx="1378">
                  <c:v>0.9</c:v>
                </c:pt>
                <c:pt idx="1379">
                  <c:v>0.9</c:v>
                </c:pt>
                <c:pt idx="1380">
                  <c:v>0.9</c:v>
                </c:pt>
                <c:pt idx="1381">
                  <c:v>0.9</c:v>
                </c:pt>
                <c:pt idx="1382">
                  <c:v>0.9</c:v>
                </c:pt>
                <c:pt idx="1383">
                  <c:v>0.9</c:v>
                </c:pt>
                <c:pt idx="1384">
                  <c:v>0.9</c:v>
                </c:pt>
                <c:pt idx="1385">
                  <c:v>0.9</c:v>
                </c:pt>
                <c:pt idx="1386">
                  <c:v>0.9</c:v>
                </c:pt>
                <c:pt idx="1387">
                  <c:v>0.9</c:v>
                </c:pt>
                <c:pt idx="1388">
                  <c:v>0.9</c:v>
                </c:pt>
                <c:pt idx="1389">
                  <c:v>0.9</c:v>
                </c:pt>
                <c:pt idx="1390">
                  <c:v>0.9</c:v>
                </c:pt>
                <c:pt idx="1391">
                  <c:v>0.9</c:v>
                </c:pt>
                <c:pt idx="1392">
                  <c:v>0.9</c:v>
                </c:pt>
                <c:pt idx="1393">
                  <c:v>0.9</c:v>
                </c:pt>
                <c:pt idx="1394">
                  <c:v>0.9</c:v>
                </c:pt>
                <c:pt idx="1395">
                  <c:v>0.9</c:v>
                </c:pt>
                <c:pt idx="1396">
                  <c:v>0.9</c:v>
                </c:pt>
                <c:pt idx="1397">
                  <c:v>0.9</c:v>
                </c:pt>
                <c:pt idx="1398">
                  <c:v>0.9</c:v>
                </c:pt>
                <c:pt idx="1399">
                  <c:v>0.9</c:v>
                </c:pt>
                <c:pt idx="1400">
                  <c:v>0.9</c:v>
                </c:pt>
                <c:pt idx="1401">
                  <c:v>0.9</c:v>
                </c:pt>
                <c:pt idx="1402">
                  <c:v>0.9</c:v>
                </c:pt>
                <c:pt idx="1403">
                  <c:v>0.9</c:v>
                </c:pt>
                <c:pt idx="1404">
                  <c:v>0.9</c:v>
                </c:pt>
                <c:pt idx="1405">
                  <c:v>0.9</c:v>
                </c:pt>
                <c:pt idx="1406">
                  <c:v>0.9</c:v>
                </c:pt>
                <c:pt idx="1407">
                  <c:v>0.9</c:v>
                </c:pt>
                <c:pt idx="1408">
                  <c:v>0.9</c:v>
                </c:pt>
                <c:pt idx="1409">
                  <c:v>0.9</c:v>
                </c:pt>
                <c:pt idx="1410">
                  <c:v>0.9</c:v>
                </c:pt>
                <c:pt idx="1411">
                  <c:v>0.9</c:v>
                </c:pt>
                <c:pt idx="1412">
                  <c:v>0.9</c:v>
                </c:pt>
                <c:pt idx="1413">
                  <c:v>0.9</c:v>
                </c:pt>
                <c:pt idx="1414">
                  <c:v>0.9</c:v>
                </c:pt>
                <c:pt idx="1415">
                  <c:v>0.9</c:v>
                </c:pt>
                <c:pt idx="1416">
                  <c:v>0.9</c:v>
                </c:pt>
                <c:pt idx="1417">
                  <c:v>0.9</c:v>
                </c:pt>
                <c:pt idx="1418">
                  <c:v>0.9</c:v>
                </c:pt>
                <c:pt idx="1419">
                  <c:v>0.9</c:v>
                </c:pt>
                <c:pt idx="1420">
                  <c:v>0.9</c:v>
                </c:pt>
                <c:pt idx="1421">
                  <c:v>0.9</c:v>
                </c:pt>
                <c:pt idx="1422">
                  <c:v>0.9</c:v>
                </c:pt>
                <c:pt idx="1423">
                  <c:v>0.9</c:v>
                </c:pt>
                <c:pt idx="1424">
                  <c:v>0.9</c:v>
                </c:pt>
                <c:pt idx="1425">
                  <c:v>0.9</c:v>
                </c:pt>
                <c:pt idx="1426">
                  <c:v>0.9</c:v>
                </c:pt>
                <c:pt idx="1427">
                  <c:v>0.9</c:v>
                </c:pt>
                <c:pt idx="1428">
                  <c:v>0.9</c:v>
                </c:pt>
                <c:pt idx="1429">
                  <c:v>0.9</c:v>
                </c:pt>
                <c:pt idx="1430">
                  <c:v>0.9</c:v>
                </c:pt>
                <c:pt idx="1431">
                  <c:v>0.9</c:v>
                </c:pt>
                <c:pt idx="1432">
                  <c:v>0.9</c:v>
                </c:pt>
                <c:pt idx="1433">
                  <c:v>0.9</c:v>
                </c:pt>
                <c:pt idx="1434">
                  <c:v>0.9</c:v>
                </c:pt>
                <c:pt idx="1435">
                  <c:v>0.9</c:v>
                </c:pt>
                <c:pt idx="1436">
                  <c:v>0.9</c:v>
                </c:pt>
                <c:pt idx="1437">
                  <c:v>0.9</c:v>
                </c:pt>
                <c:pt idx="1438">
                  <c:v>0.9</c:v>
                </c:pt>
                <c:pt idx="1439">
                  <c:v>0.9</c:v>
                </c:pt>
                <c:pt idx="1440">
                  <c:v>0.9</c:v>
                </c:pt>
                <c:pt idx="1441">
                  <c:v>0.9</c:v>
                </c:pt>
                <c:pt idx="1442">
                  <c:v>0.9</c:v>
                </c:pt>
                <c:pt idx="1443">
                  <c:v>0.9</c:v>
                </c:pt>
                <c:pt idx="1444">
                  <c:v>0.9</c:v>
                </c:pt>
                <c:pt idx="1445">
                  <c:v>0.9</c:v>
                </c:pt>
                <c:pt idx="1446">
                  <c:v>0.9</c:v>
                </c:pt>
                <c:pt idx="1447">
                  <c:v>0.9</c:v>
                </c:pt>
                <c:pt idx="1448">
                  <c:v>0.9</c:v>
                </c:pt>
                <c:pt idx="1449">
                  <c:v>0.9</c:v>
                </c:pt>
                <c:pt idx="1450">
                  <c:v>0.9</c:v>
                </c:pt>
                <c:pt idx="1451">
                  <c:v>0.9</c:v>
                </c:pt>
                <c:pt idx="1452">
                  <c:v>0.9</c:v>
                </c:pt>
                <c:pt idx="1453">
                  <c:v>0.9</c:v>
                </c:pt>
                <c:pt idx="1454">
                  <c:v>0.9</c:v>
                </c:pt>
                <c:pt idx="1455">
                  <c:v>0.9</c:v>
                </c:pt>
                <c:pt idx="1456">
                  <c:v>0.9</c:v>
                </c:pt>
                <c:pt idx="1457">
                  <c:v>0.9</c:v>
                </c:pt>
                <c:pt idx="1458">
                  <c:v>0.9</c:v>
                </c:pt>
                <c:pt idx="1459">
                  <c:v>0.9</c:v>
                </c:pt>
                <c:pt idx="1460">
                  <c:v>0.9</c:v>
                </c:pt>
                <c:pt idx="1461">
                  <c:v>0.9</c:v>
                </c:pt>
                <c:pt idx="1462">
                  <c:v>0.9</c:v>
                </c:pt>
                <c:pt idx="1463">
                  <c:v>0.9</c:v>
                </c:pt>
                <c:pt idx="1464">
                  <c:v>0.9</c:v>
                </c:pt>
                <c:pt idx="1465">
                  <c:v>0.9</c:v>
                </c:pt>
                <c:pt idx="1466">
                  <c:v>0.9</c:v>
                </c:pt>
                <c:pt idx="1467">
                  <c:v>0.9</c:v>
                </c:pt>
                <c:pt idx="1468">
                  <c:v>0.9</c:v>
                </c:pt>
                <c:pt idx="1469">
                  <c:v>0.9</c:v>
                </c:pt>
                <c:pt idx="1470">
                  <c:v>0.9</c:v>
                </c:pt>
                <c:pt idx="1471">
                  <c:v>0.9</c:v>
                </c:pt>
                <c:pt idx="1472">
                  <c:v>0.9</c:v>
                </c:pt>
                <c:pt idx="1473">
                  <c:v>0.9</c:v>
                </c:pt>
                <c:pt idx="1474">
                  <c:v>0.9</c:v>
                </c:pt>
                <c:pt idx="1475">
                  <c:v>0.9</c:v>
                </c:pt>
                <c:pt idx="1476">
                  <c:v>0.9</c:v>
                </c:pt>
                <c:pt idx="1477">
                  <c:v>0.9</c:v>
                </c:pt>
                <c:pt idx="1478">
                  <c:v>0.9</c:v>
                </c:pt>
                <c:pt idx="1479">
                  <c:v>0.9</c:v>
                </c:pt>
                <c:pt idx="1480">
                  <c:v>0.9</c:v>
                </c:pt>
                <c:pt idx="1481">
                  <c:v>0.9</c:v>
                </c:pt>
                <c:pt idx="1482">
                  <c:v>0.9</c:v>
                </c:pt>
                <c:pt idx="1483">
                  <c:v>0.9</c:v>
                </c:pt>
                <c:pt idx="1484">
                  <c:v>0.9</c:v>
                </c:pt>
                <c:pt idx="1485">
                  <c:v>0.9</c:v>
                </c:pt>
                <c:pt idx="1486">
                  <c:v>0.9</c:v>
                </c:pt>
                <c:pt idx="1487">
                  <c:v>0.9</c:v>
                </c:pt>
                <c:pt idx="1488">
                  <c:v>0.9</c:v>
                </c:pt>
                <c:pt idx="1489">
                  <c:v>0.9</c:v>
                </c:pt>
                <c:pt idx="1490">
                  <c:v>0.9</c:v>
                </c:pt>
                <c:pt idx="1491">
                  <c:v>0.9</c:v>
                </c:pt>
                <c:pt idx="1492">
                  <c:v>0.9</c:v>
                </c:pt>
                <c:pt idx="1493">
                  <c:v>0.9</c:v>
                </c:pt>
                <c:pt idx="1494">
                  <c:v>0.9</c:v>
                </c:pt>
                <c:pt idx="1495">
                  <c:v>0.9</c:v>
                </c:pt>
                <c:pt idx="1496">
                  <c:v>0.9</c:v>
                </c:pt>
                <c:pt idx="1497">
                  <c:v>0.9</c:v>
                </c:pt>
                <c:pt idx="1498">
                  <c:v>0.9</c:v>
                </c:pt>
                <c:pt idx="1499">
                  <c:v>0.9</c:v>
                </c:pt>
                <c:pt idx="1500">
                  <c:v>0.9</c:v>
                </c:pt>
                <c:pt idx="1501">
                  <c:v>0.9</c:v>
                </c:pt>
                <c:pt idx="1502">
                  <c:v>0.9</c:v>
                </c:pt>
                <c:pt idx="1503">
                  <c:v>0.9</c:v>
                </c:pt>
                <c:pt idx="1504">
                  <c:v>0.9</c:v>
                </c:pt>
                <c:pt idx="1505">
                  <c:v>0.9</c:v>
                </c:pt>
                <c:pt idx="1506">
                  <c:v>0.9</c:v>
                </c:pt>
                <c:pt idx="1507">
                  <c:v>0.9</c:v>
                </c:pt>
                <c:pt idx="1508">
                  <c:v>0.9</c:v>
                </c:pt>
                <c:pt idx="1509">
                  <c:v>0.9</c:v>
                </c:pt>
                <c:pt idx="1510">
                  <c:v>0.9</c:v>
                </c:pt>
                <c:pt idx="1511">
                  <c:v>0.9</c:v>
                </c:pt>
                <c:pt idx="1512">
                  <c:v>0.9</c:v>
                </c:pt>
                <c:pt idx="1513">
                  <c:v>0.9</c:v>
                </c:pt>
                <c:pt idx="1514">
                  <c:v>0.9</c:v>
                </c:pt>
                <c:pt idx="1515">
                  <c:v>0.9</c:v>
                </c:pt>
                <c:pt idx="1516">
                  <c:v>0.9</c:v>
                </c:pt>
                <c:pt idx="1517">
                  <c:v>0.9</c:v>
                </c:pt>
                <c:pt idx="1518">
                  <c:v>0.9</c:v>
                </c:pt>
                <c:pt idx="1519">
                  <c:v>0.9</c:v>
                </c:pt>
                <c:pt idx="1520">
                  <c:v>0.9</c:v>
                </c:pt>
                <c:pt idx="1521">
                  <c:v>0.9</c:v>
                </c:pt>
                <c:pt idx="1522">
                  <c:v>0.9</c:v>
                </c:pt>
                <c:pt idx="1523">
                  <c:v>0.9</c:v>
                </c:pt>
                <c:pt idx="1524">
                  <c:v>0.9</c:v>
                </c:pt>
                <c:pt idx="1525">
                  <c:v>0.9</c:v>
                </c:pt>
                <c:pt idx="1526">
                  <c:v>0.9</c:v>
                </c:pt>
                <c:pt idx="1527">
                  <c:v>0.9</c:v>
                </c:pt>
                <c:pt idx="1528">
                  <c:v>0.9</c:v>
                </c:pt>
                <c:pt idx="1529">
                  <c:v>0.9</c:v>
                </c:pt>
                <c:pt idx="1530">
                  <c:v>0.9</c:v>
                </c:pt>
                <c:pt idx="1531">
                  <c:v>0.9</c:v>
                </c:pt>
                <c:pt idx="1532">
                  <c:v>0.9</c:v>
                </c:pt>
                <c:pt idx="1533">
                  <c:v>0.9</c:v>
                </c:pt>
                <c:pt idx="1534">
                  <c:v>0.9</c:v>
                </c:pt>
                <c:pt idx="1535">
                  <c:v>0.9</c:v>
                </c:pt>
                <c:pt idx="1536">
                  <c:v>0.9</c:v>
                </c:pt>
                <c:pt idx="1537">
                  <c:v>0.9</c:v>
                </c:pt>
                <c:pt idx="1538">
                  <c:v>0.9</c:v>
                </c:pt>
                <c:pt idx="1539">
                  <c:v>0.9</c:v>
                </c:pt>
                <c:pt idx="1540">
                  <c:v>0.9</c:v>
                </c:pt>
                <c:pt idx="1541">
                  <c:v>0.9</c:v>
                </c:pt>
                <c:pt idx="1542">
                  <c:v>0.9</c:v>
                </c:pt>
                <c:pt idx="1543">
                  <c:v>0.9</c:v>
                </c:pt>
                <c:pt idx="1544">
                  <c:v>0.9</c:v>
                </c:pt>
                <c:pt idx="1545">
                  <c:v>0.9</c:v>
                </c:pt>
                <c:pt idx="1546">
                  <c:v>0.9</c:v>
                </c:pt>
                <c:pt idx="1547">
                  <c:v>0.9</c:v>
                </c:pt>
                <c:pt idx="1548">
                  <c:v>0.9</c:v>
                </c:pt>
                <c:pt idx="1549">
                  <c:v>0.9</c:v>
                </c:pt>
                <c:pt idx="1550">
                  <c:v>0.9</c:v>
                </c:pt>
                <c:pt idx="1551">
                  <c:v>0.9</c:v>
                </c:pt>
                <c:pt idx="1552">
                  <c:v>0.9</c:v>
                </c:pt>
                <c:pt idx="1553">
                  <c:v>0.9</c:v>
                </c:pt>
                <c:pt idx="1554">
                  <c:v>0.9</c:v>
                </c:pt>
                <c:pt idx="1555">
                  <c:v>0.9</c:v>
                </c:pt>
                <c:pt idx="1556">
                  <c:v>0.9</c:v>
                </c:pt>
                <c:pt idx="1557">
                  <c:v>0.9</c:v>
                </c:pt>
                <c:pt idx="1558">
                  <c:v>0.9</c:v>
                </c:pt>
                <c:pt idx="1559">
                  <c:v>0.9</c:v>
                </c:pt>
                <c:pt idx="1560">
                  <c:v>0.9</c:v>
                </c:pt>
                <c:pt idx="1561">
                  <c:v>0.9</c:v>
                </c:pt>
                <c:pt idx="1562">
                  <c:v>0.9</c:v>
                </c:pt>
                <c:pt idx="1563">
                  <c:v>0.9</c:v>
                </c:pt>
                <c:pt idx="1564">
                  <c:v>0.9</c:v>
                </c:pt>
                <c:pt idx="1565">
                  <c:v>0.9</c:v>
                </c:pt>
                <c:pt idx="1566">
                  <c:v>0.9</c:v>
                </c:pt>
                <c:pt idx="1567">
                  <c:v>0.9</c:v>
                </c:pt>
                <c:pt idx="1568">
                  <c:v>0.9</c:v>
                </c:pt>
                <c:pt idx="1569">
                  <c:v>0.9</c:v>
                </c:pt>
                <c:pt idx="1570">
                  <c:v>0.9</c:v>
                </c:pt>
                <c:pt idx="1571">
                  <c:v>0.9</c:v>
                </c:pt>
                <c:pt idx="1572">
                  <c:v>0.9</c:v>
                </c:pt>
                <c:pt idx="1573">
                  <c:v>0.9</c:v>
                </c:pt>
                <c:pt idx="1574">
                  <c:v>0.9</c:v>
                </c:pt>
                <c:pt idx="1575">
                  <c:v>0.75</c:v>
                </c:pt>
                <c:pt idx="1576">
                  <c:v>0.75</c:v>
                </c:pt>
                <c:pt idx="1577">
                  <c:v>0.75</c:v>
                </c:pt>
                <c:pt idx="1578">
                  <c:v>0.75</c:v>
                </c:pt>
                <c:pt idx="1579">
                  <c:v>0.75</c:v>
                </c:pt>
                <c:pt idx="1580">
                  <c:v>0.75</c:v>
                </c:pt>
                <c:pt idx="1581">
                  <c:v>0.75</c:v>
                </c:pt>
                <c:pt idx="1582">
                  <c:v>0.75</c:v>
                </c:pt>
                <c:pt idx="1583">
                  <c:v>0.75</c:v>
                </c:pt>
                <c:pt idx="1584">
                  <c:v>0.75</c:v>
                </c:pt>
                <c:pt idx="1585">
                  <c:v>0.75</c:v>
                </c:pt>
                <c:pt idx="1586">
                  <c:v>0.75</c:v>
                </c:pt>
                <c:pt idx="1587">
                  <c:v>0.75</c:v>
                </c:pt>
                <c:pt idx="1588">
                  <c:v>0.75</c:v>
                </c:pt>
                <c:pt idx="1589">
                  <c:v>0.75</c:v>
                </c:pt>
                <c:pt idx="1590">
                  <c:v>0.75</c:v>
                </c:pt>
                <c:pt idx="1591">
                  <c:v>0.75</c:v>
                </c:pt>
                <c:pt idx="1592">
                  <c:v>0.75</c:v>
                </c:pt>
                <c:pt idx="1593">
                  <c:v>0.75</c:v>
                </c:pt>
                <c:pt idx="1594">
                  <c:v>0.75</c:v>
                </c:pt>
                <c:pt idx="1595">
                  <c:v>0.75</c:v>
                </c:pt>
                <c:pt idx="1596">
                  <c:v>0.75</c:v>
                </c:pt>
                <c:pt idx="1597">
                  <c:v>0.75</c:v>
                </c:pt>
                <c:pt idx="1598">
                  <c:v>0.75</c:v>
                </c:pt>
                <c:pt idx="1599">
                  <c:v>0.75</c:v>
                </c:pt>
                <c:pt idx="1600">
                  <c:v>0.75</c:v>
                </c:pt>
                <c:pt idx="1601">
                  <c:v>0.75</c:v>
                </c:pt>
                <c:pt idx="1602">
                  <c:v>0.75</c:v>
                </c:pt>
                <c:pt idx="1603">
                  <c:v>0.6</c:v>
                </c:pt>
                <c:pt idx="1604">
                  <c:v>0.6</c:v>
                </c:pt>
                <c:pt idx="1605">
                  <c:v>0.6</c:v>
                </c:pt>
                <c:pt idx="1606">
                  <c:v>0.6</c:v>
                </c:pt>
                <c:pt idx="1607">
                  <c:v>0.6</c:v>
                </c:pt>
                <c:pt idx="1608">
                  <c:v>0.6</c:v>
                </c:pt>
                <c:pt idx="1609">
                  <c:v>0.6</c:v>
                </c:pt>
                <c:pt idx="1610">
                  <c:v>0.6</c:v>
                </c:pt>
                <c:pt idx="1611">
                  <c:v>0.6</c:v>
                </c:pt>
                <c:pt idx="1612">
                  <c:v>0.6</c:v>
                </c:pt>
                <c:pt idx="1613">
                  <c:v>0.6</c:v>
                </c:pt>
                <c:pt idx="1614">
                  <c:v>0.6</c:v>
                </c:pt>
                <c:pt idx="1615">
                  <c:v>0.6</c:v>
                </c:pt>
                <c:pt idx="1616">
                  <c:v>0.6</c:v>
                </c:pt>
                <c:pt idx="1617">
                  <c:v>0.6</c:v>
                </c:pt>
                <c:pt idx="1618">
                  <c:v>0.6</c:v>
                </c:pt>
                <c:pt idx="1619">
                  <c:v>0.6</c:v>
                </c:pt>
                <c:pt idx="1620">
                  <c:v>0.6</c:v>
                </c:pt>
                <c:pt idx="1621">
                  <c:v>0.6</c:v>
                </c:pt>
                <c:pt idx="1622">
                  <c:v>0.6</c:v>
                </c:pt>
                <c:pt idx="1623">
                  <c:v>0.6</c:v>
                </c:pt>
                <c:pt idx="1624">
                  <c:v>0.6</c:v>
                </c:pt>
                <c:pt idx="1625">
                  <c:v>0.6</c:v>
                </c:pt>
                <c:pt idx="1626">
                  <c:v>0.6</c:v>
                </c:pt>
                <c:pt idx="1627">
                  <c:v>0.6</c:v>
                </c:pt>
                <c:pt idx="1628">
                  <c:v>0.6</c:v>
                </c:pt>
                <c:pt idx="1629">
                  <c:v>0.6</c:v>
                </c:pt>
                <c:pt idx="1630">
                  <c:v>0.6</c:v>
                </c:pt>
                <c:pt idx="1631">
                  <c:v>0.6</c:v>
                </c:pt>
                <c:pt idx="1632">
                  <c:v>0.6</c:v>
                </c:pt>
                <c:pt idx="1633">
                  <c:v>0.6</c:v>
                </c:pt>
                <c:pt idx="1634">
                  <c:v>0.6</c:v>
                </c:pt>
                <c:pt idx="1635">
                  <c:v>0.6</c:v>
                </c:pt>
                <c:pt idx="1636">
                  <c:v>0.6</c:v>
                </c:pt>
                <c:pt idx="1637">
                  <c:v>0.6</c:v>
                </c:pt>
                <c:pt idx="1638">
                  <c:v>0.6</c:v>
                </c:pt>
                <c:pt idx="1639">
                  <c:v>0.6</c:v>
                </c:pt>
                <c:pt idx="1640">
                  <c:v>0.6</c:v>
                </c:pt>
                <c:pt idx="1641">
                  <c:v>0.6</c:v>
                </c:pt>
                <c:pt idx="1642">
                  <c:v>0.6</c:v>
                </c:pt>
                <c:pt idx="1643">
                  <c:v>0.6</c:v>
                </c:pt>
                <c:pt idx="1644">
                  <c:v>0.6</c:v>
                </c:pt>
                <c:pt idx="1645">
                  <c:v>0.6</c:v>
                </c:pt>
                <c:pt idx="1646">
                  <c:v>0.6</c:v>
                </c:pt>
                <c:pt idx="1647">
                  <c:v>0.6</c:v>
                </c:pt>
                <c:pt idx="1648">
                  <c:v>0.6</c:v>
                </c:pt>
                <c:pt idx="1649">
                  <c:v>0.6</c:v>
                </c:pt>
                <c:pt idx="1650">
                  <c:v>0.6</c:v>
                </c:pt>
                <c:pt idx="1651">
                  <c:v>0.6</c:v>
                </c:pt>
                <c:pt idx="1652">
                  <c:v>0.6</c:v>
                </c:pt>
                <c:pt idx="1653">
                  <c:v>0.6</c:v>
                </c:pt>
                <c:pt idx="1654">
                  <c:v>0.6</c:v>
                </c:pt>
                <c:pt idx="1655">
                  <c:v>0.6</c:v>
                </c:pt>
                <c:pt idx="1656">
                  <c:v>0.6</c:v>
                </c:pt>
                <c:pt idx="1657">
                  <c:v>0.6</c:v>
                </c:pt>
                <c:pt idx="1658">
                  <c:v>0.6</c:v>
                </c:pt>
                <c:pt idx="1659">
                  <c:v>0.6</c:v>
                </c:pt>
                <c:pt idx="1660">
                  <c:v>0.6</c:v>
                </c:pt>
                <c:pt idx="1661">
                  <c:v>0.6</c:v>
                </c:pt>
                <c:pt idx="1662">
                  <c:v>0.6</c:v>
                </c:pt>
                <c:pt idx="1663">
                  <c:v>0.6</c:v>
                </c:pt>
                <c:pt idx="1664">
                  <c:v>0.6</c:v>
                </c:pt>
                <c:pt idx="1665">
                  <c:v>0.6</c:v>
                </c:pt>
                <c:pt idx="1666">
                  <c:v>0.6</c:v>
                </c:pt>
                <c:pt idx="1667">
                  <c:v>0.6</c:v>
                </c:pt>
                <c:pt idx="1668">
                  <c:v>0.6</c:v>
                </c:pt>
                <c:pt idx="1669">
                  <c:v>0.6</c:v>
                </c:pt>
                <c:pt idx="1670">
                  <c:v>0.6</c:v>
                </c:pt>
                <c:pt idx="1671">
                  <c:v>0.6</c:v>
                </c:pt>
                <c:pt idx="1672">
                  <c:v>0.6</c:v>
                </c:pt>
                <c:pt idx="1673">
                  <c:v>0.6</c:v>
                </c:pt>
                <c:pt idx="1674">
                  <c:v>0.6</c:v>
                </c:pt>
                <c:pt idx="1675">
                  <c:v>0.6</c:v>
                </c:pt>
                <c:pt idx="1676">
                  <c:v>0.6</c:v>
                </c:pt>
                <c:pt idx="1677">
                  <c:v>0.6</c:v>
                </c:pt>
                <c:pt idx="1678">
                  <c:v>0.6</c:v>
                </c:pt>
                <c:pt idx="1679">
                  <c:v>0.6</c:v>
                </c:pt>
                <c:pt idx="1680">
                  <c:v>0.6</c:v>
                </c:pt>
                <c:pt idx="1681">
                  <c:v>0.6</c:v>
                </c:pt>
                <c:pt idx="1682">
                  <c:v>0.6</c:v>
                </c:pt>
                <c:pt idx="1683">
                  <c:v>0.6</c:v>
                </c:pt>
                <c:pt idx="1684">
                  <c:v>0.6</c:v>
                </c:pt>
                <c:pt idx="1685">
                  <c:v>0.6</c:v>
                </c:pt>
                <c:pt idx="1686">
                  <c:v>0.6</c:v>
                </c:pt>
                <c:pt idx="1687">
                  <c:v>0.6</c:v>
                </c:pt>
                <c:pt idx="1688">
                  <c:v>0.6</c:v>
                </c:pt>
                <c:pt idx="1689">
                  <c:v>0.6</c:v>
                </c:pt>
                <c:pt idx="1690">
                  <c:v>0.6</c:v>
                </c:pt>
                <c:pt idx="1691">
                  <c:v>0.6</c:v>
                </c:pt>
                <c:pt idx="1692">
                  <c:v>0.6</c:v>
                </c:pt>
                <c:pt idx="1693">
                  <c:v>0.6</c:v>
                </c:pt>
                <c:pt idx="1694">
                  <c:v>0.6</c:v>
                </c:pt>
                <c:pt idx="1695">
                  <c:v>0.6</c:v>
                </c:pt>
                <c:pt idx="1696">
                  <c:v>0.6</c:v>
                </c:pt>
                <c:pt idx="1697">
                  <c:v>0.6</c:v>
                </c:pt>
                <c:pt idx="1698">
                  <c:v>0.6</c:v>
                </c:pt>
                <c:pt idx="1699">
                  <c:v>0.6</c:v>
                </c:pt>
                <c:pt idx="1700">
                  <c:v>0.6</c:v>
                </c:pt>
                <c:pt idx="1701">
                  <c:v>0.6</c:v>
                </c:pt>
                <c:pt idx="1702">
                  <c:v>0.6</c:v>
                </c:pt>
                <c:pt idx="1703">
                  <c:v>0.6</c:v>
                </c:pt>
                <c:pt idx="1704">
                  <c:v>0.6</c:v>
                </c:pt>
                <c:pt idx="1705">
                  <c:v>0.6</c:v>
                </c:pt>
                <c:pt idx="1706">
                  <c:v>0.6</c:v>
                </c:pt>
                <c:pt idx="1707">
                  <c:v>0.6</c:v>
                </c:pt>
                <c:pt idx="1708">
                  <c:v>0.6</c:v>
                </c:pt>
                <c:pt idx="1709">
                  <c:v>0.6</c:v>
                </c:pt>
                <c:pt idx="1710">
                  <c:v>0.6</c:v>
                </c:pt>
                <c:pt idx="1711">
                  <c:v>0.6</c:v>
                </c:pt>
                <c:pt idx="1712">
                  <c:v>0.6</c:v>
                </c:pt>
                <c:pt idx="1713">
                  <c:v>0.6</c:v>
                </c:pt>
                <c:pt idx="1714">
                  <c:v>0.6</c:v>
                </c:pt>
                <c:pt idx="1715">
                  <c:v>0.6</c:v>
                </c:pt>
                <c:pt idx="1716">
                  <c:v>0.6</c:v>
                </c:pt>
                <c:pt idx="1717">
                  <c:v>0.6</c:v>
                </c:pt>
                <c:pt idx="1718">
                  <c:v>0.6</c:v>
                </c:pt>
                <c:pt idx="1719">
                  <c:v>0.6</c:v>
                </c:pt>
                <c:pt idx="1720">
                  <c:v>0.6</c:v>
                </c:pt>
                <c:pt idx="1721">
                  <c:v>0.6</c:v>
                </c:pt>
                <c:pt idx="1722">
                  <c:v>0.6</c:v>
                </c:pt>
                <c:pt idx="1723">
                  <c:v>0.6</c:v>
                </c:pt>
                <c:pt idx="1724">
                  <c:v>0.6</c:v>
                </c:pt>
                <c:pt idx="1725">
                  <c:v>0.6</c:v>
                </c:pt>
                <c:pt idx="1726">
                  <c:v>0.6</c:v>
                </c:pt>
                <c:pt idx="1727">
                  <c:v>0.6</c:v>
                </c:pt>
                <c:pt idx="1728">
                  <c:v>0.6</c:v>
                </c:pt>
                <c:pt idx="1729">
                  <c:v>0.6</c:v>
                </c:pt>
                <c:pt idx="1730">
                  <c:v>0.6</c:v>
                </c:pt>
                <c:pt idx="1731">
                  <c:v>0.6</c:v>
                </c:pt>
                <c:pt idx="1732">
                  <c:v>0.6</c:v>
                </c:pt>
                <c:pt idx="1733">
                  <c:v>0.6</c:v>
                </c:pt>
                <c:pt idx="1734">
                  <c:v>0.6</c:v>
                </c:pt>
                <c:pt idx="1735">
                  <c:v>0.6</c:v>
                </c:pt>
                <c:pt idx="1736">
                  <c:v>0.6</c:v>
                </c:pt>
                <c:pt idx="1737">
                  <c:v>0.6</c:v>
                </c:pt>
                <c:pt idx="1738">
                  <c:v>0.6</c:v>
                </c:pt>
                <c:pt idx="1739">
                  <c:v>0.6</c:v>
                </c:pt>
                <c:pt idx="1740">
                  <c:v>0.6</c:v>
                </c:pt>
                <c:pt idx="1741">
                  <c:v>0.6</c:v>
                </c:pt>
                <c:pt idx="1742">
                  <c:v>0.6</c:v>
                </c:pt>
                <c:pt idx="1743">
                  <c:v>0.6</c:v>
                </c:pt>
                <c:pt idx="1744">
                  <c:v>0.6</c:v>
                </c:pt>
                <c:pt idx="1745">
                  <c:v>0.6</c:v>
                </c:pt>
                <c:pt idx="1746">
                  <c:v>0.6</c:v>
                </c:pt>
                <c:pt idx="1747">
                  <c:v>0.6</c:v>
                </c:pt>
                <c:pt idx="1748">
                  <c:v>0.6</c:v>
                </c:pt>
                <c:pt idx="1749">
                  <c:v>0.6</c:v>
                </c:pt>
                <c:pt idx="1750">
                  <c:v>0.6</c:v>
                </c:pt>
                <c:pt idx="1751">
                  <c:v>0.6</c:v>
                </c:pt>
                <c:pt idx="1752">
                  <c:v>0.6</c:v>
                </c:pt>
                <c:pt idx="1753">
                  <c:v>0.6</c:v>
                </c:pt>
                <c:pt idx="1754">
                  <c:v>0.6</c:v>
                </c:pt>
                <c:pt idx="1755">
                  <c:v>0.6</c:v>
                </c:pt>
                <c:pt idx="1756">
                  <c:v>0.6</c:v>
                </c:pt>
                <c:pt idx="1757">
                  <c:v>0.6</c:v>
                </c:pt>
                <c:pt idx="1758">
                  <c:v>0.6</c:v>
                </c:pt>
                <c:pt idx="1759">
                  <c:v>0.6</c:v>
                </c:pt>
                <c:pt idx="1760">
                  <c:v>0.6</c:v>
                </c:pt>
                <c:pt idx="1761">
                  <c:v>0.6</c:v>
                </c:pt>
                <c:pt idx="1762">
                  <c:v>0.6</c:v>
                </c:pt>
                <c:pt idx="1763">
                  <c:v>0.6</c:v>
                </c:pt>
                <c:pt idx="1764">
                  <c:v>0.6</c:v>
                </c:pt>
                <c:pt idx="1765">
                  <c:v>0.6</c:v>
                </c:pt>
                <c:pt idx="1766">
                  <c:v>0.6</c:v>
                </c:pt>
                <c:pt idx="1767">
                  <c:v>0.6</c:v>
                </c:pt>
                <c:pt idx="1768">
                  <c:v>0.6</c:v>
                </c:pt>
                <c:pt idx="1769">
                  <c:v>0.6</c:v>
                </c:pt>
                <c:pt idx="1770">
                  <c:v>0.6</c:v>
                </c:pt>
                <c:pt idx="1771">
                  <c:v>0.6</c:v>
                </c:pt>
                <c:pt idx="1772">
                  <c:v>0.6</c:v>
                </c:pt>
                <c:pt idx="1773">
                  <c:v>0.6</c:v>
                </c:pt>
                <c:pt idx="1774">
                  <c:v>0.6</c:v>
                </c:pt>
                <c:pt idx="1775">
                  <c:v>0.6</c:v>
                </c:pt>
                <c:pt idx="1776">
                  <c:v>0.6</c:v>
                </c:pt>
                <c:pt idx="1777">
                  <c:v>0.6</c:v>
                </c:pt>
                <c:pt idx="1778">
                  <c:v>0.6</c:v>
                </c:pt>
                <c:pt idx="1779">
                  <c:v>0.6</c:v>
                </c:pt>
                <c:pt idx="1780">
                  <c:v>0.6</c:v>
                </c:pt>
                <c:pt idx="1781">
                  <c:v>0.6</c:v>
                </c:pt>
                <c:pt idx="1782">
                  <c:v>0.6</c:v>
                </c:pt>
                <c:pt idx="1783">
                  <c:v>0.6</c:v>
                </c:pt>
                <c:pt idx="1784">
                  <c:v>0.6</c:v>
                </c:pt>
                <c:pt idx="1785">
                  <c:v>0.6</c:v>
                </c:pt>
                <c:pt idx="1786">
                  <c:v>0.6</c:v>
                </c:pt>
                <c:pt idx="1787">
                  <c:v>0.6</c:v>
                </c:pt>
                <c:pt idx="1788">
                  <c:v>0.6</c:v>
                </c:pt>
                <c:pt idx="1789">
                  <c:v>0.6</c:v>
                </c:pt>
                <c:pt idx="1790">
                  <c:v>0.6</c:v>
                </c:pt>
                <c:pt idx="1791">
                  <c:v>0.6</c:v>
                </c:pt>
                <c:pt idx="1792">
                  <c:v>0.6</c:v>
                </c:pt>
                <c:pt idx="1793">
                  <c:v>0.6</c:v>
                </c:pt>
                <c:pt idx="1794">
                  <c:v>0.6</c:v>
                </c:pt>
                <c:pt idx="1795">
                  <c:v>0.6</c:v>
                </c:pt>
                <c:pt idx="1796">
                  <c:v>0.6</c:v>
                </c:pt>
                <c:pt idx="1797">
                  <c:v>0.6</c:v>
                </c:pt>
                <c:pt idx="1798">
                  <c:v>0.6</c:v>
                </c:pt>
                <c:pt idx="1799">
                  <c:v>0.6</c:v>
                </c:pt>
                <c:pt idx="1800">
                  <c:v>0.6</c:v>
                </c:pt>
                <c:pt idx="1801">
                  <c:v>0.6</c:v>
                </c:pt>
                <c:pt idx="1802">
                  <c:v>0.6</c:v>
                </c:pt>
                <c:pt idx="1803">
                  <c:v>0.6</c:v>
                </c:pt>
                <c:pt idx="1804">
                  <c:v>0.6</c:v>
                </c:pt>
                <c:pt idx="1805">
                  <c:v>0.6</c:v>
                </c:pt>
                <c:pt idx="1806">
                  <c:v>0.6</c:v>
                </c:pt>
                <c:pt idx="1807">
                  <c:v>0.6</c:v>
                </c:pt>
                <c:pt idx="1808">
                  <c:v>0.6</c:v>
                </c:pt>
                <c:pt idx="1809">
                  <c:v>0.6</c:v>
                </c:pt>
                <c:pt idx="1810">
                  <c:v>0.6</c:v>
                </c:pt>
                <c:pt idx="1811">
                  <c:v>0.6</c:v>
                </c:pt>
                <c:pt idx="1812">
                  <c:v>0.6</c:v>
                </c:pt>
                <c:pt idx="1813">
                  <c:v>0.6</c:v>
                </c:pt>
                <c:pt idx="1814">
                  <c:v>0.6</c:v>
                </c:pt>
                <c:pt idx="1815">
                  <c:v>0.6</c:v>
                </c:pt>
                <c:pt idx="1816">
                  <c:v>0.6</c:v>
                </c:pt>
                <c:pt idx="1817">
                  <c:v>0.6</c:v>
                </c:pt>
                <c:pt idx="1818">
                  <c:v>0.6</c:v>
                </c:pt>
                <c:pt idx="1819">
                  <c:v>0.6</c:v>
                </c:pt>
                <c:pt idx="1820">
                  <c:v>0.6</c:v>
                </c:pt>
                <c:pt idx="1821">
                  <c:v>0.6</c:v>
                </c:pt>
                <c:pt idx="1822">
                  <c:v>0.6</c:v>
                </c:pt>
                <c:pt idx="1823">
                  <c:v>0.6</c:v>
                </c:pt>
                <c:pt idx="1824">
                  <c:v>0.6</c:v>
                </c:pt>
                <c:pt idx="1825">
                  <c:v>0.6</c:v>
                </c:pt>
                <c:pt idx="1826">
                  <c:v>0.6</c:v>
                </c:pt>
                <c:pt idx="1827">
                  <c:v>0.6</c:v>
                </c:pt>
                <c:pt idx="1828">
                  <c:v>0.6</c:v>
                </c:pt>
                <c:pt idx="1829">
                  <c:v>0.6</c:v>
                </c:pt>
                <c:pt idx="1830">
                  <c:v>0.6</c:v>
                </c:pt>
                <c:pt idx="1831">
                  <c:v>0.6</c:v>
                </c:pt>
                <c:pt idx="1832">
                  <c:v>0.6</c:v>
                </c:pt>
                <c:pt idx="1833">
                  <c:v>0.6</c:v>
                </c:pt>
                <c:pt idx="1834">
                  <c:v>0.6</c:v>
                </c:pt>
                <c:pt idx="1835">
                  <c:v>0.6</c:v>
                </c:pt>
                <c:pt idx="1836">
                  <c:v>0.6</c:v>
                </c:pt>
                <c:pt idx="1837">
                  <c:v>0.6</c:v>
                </c:pt>
                <c:pt idx="1838">
                  <c:v>0.6</c:v>
                </c:pt>
                <c:pt idx="1839">
                  <c:v>0.6</c:v>
                </c:pt>
                <c:pt idx="1840">
                  <c:v>0.6</c:v>
                </c:pt>
                <c:pt idx="1841">
                  <c:v>0.6</c:v>
                </c:pt>
                <c:pt idx="1842">
                  <c:v>0.6</c:v>
                </c:pt>
                <c:pt idx="1843">
                  <c:v>0.6</c:v>
                </c:pt>
                <c:pt idx="1844">
                  <c:v>0.6</c:v>
                </c:pt>
                <c:pt idx="1845">
                  <c:v>0.6</c:v>
                </c:pt>
                <c:pt idx="1846">
                  <c:v>0.6</c:v>
                </c:pt>
                <c:pt idx="1847">
                  <c:v>0.6</c:v>
                </c:pt>
                <c:pt idx="1848">
                  <c:v>0.6</c:v>
                </c:pt>
                <c:pt idx="1849">
                  <c:v>0.6</c:v>
                </c:pt>
                <c:pt idx="1850">
                  <c:v>0.6</c:v>
                </c:pt>
                <c:pt idx="1851">
                  <c:v>0.6</c:v>
                </c:pt>
                <c:pt idx="1852">
                  <c:v>0.6</c:v>
                </c:pt>
                <c:pt idx="1853">
                  <c:v>0.6</c:v>
                </c:pt>
                <c:pt idx="1854">
                  <c:v>0.6</c:v>
                </c:pt>
                <c:pt idx="1855">
                  <c:v>0.6</c:v>
                </c:pt>
                <c:pt idx="1856">
                  <c:v>0.6</c:v>
                </c:pt>
                <c:pt idx="1857">
                  <c:v>0.6</c:v>
                </c:pt>
                <c:pt idx="1858">
                  <c:v>0.6</c:v>
                </c:pt>
                <c:pt idx="1859">
                  <c:v>0.6</c:v>
                </c:pt>
                <c:pt idx="1860">
                  <c:v>0.6</c:v>
                </c:pt>
                <c:pt idx="1861">
                  <c:v>0.6</c:v>
                </c:pt>
                <c:pt idx="1862">
                  <c:v>0.6</c:v>
                </c:pt>
                <c:pt idx="1863">
                  <c:v>0.6</c:v>
                </c:pt>
                <c:pt idx="1864">
                  <c:v>0.6</c:v>
                </c:pt>
                <c:pt idx="1865">
                  <c:v>0.6</c:v>
                </c:pt>
                <c:pt idx="1866">
                  <c:v>0.6</c:v>
                </c:pt>
                <c:pt idx="1867">
                  <c:v>0.6</c:v>
                </c:pt>
                <c:pt idx="1868">
                  <c:v>0.6</c:v>
                </c:pt>
                <c:pt idx="1869">
                  <c:v>0.6</c:v>
                </c:pt>
                <c:pt idx="1870">
                  <c:v>0.6</c:v>
                </c:pt>
                <c:pt idx="1871">
                  <c:v>0.6</c:v>
                </c:pt>
                <c:pt idx="1872">
                  <c:v>0.6</c:v>
                </c:pt>
                <c:pt idx="1873">
                  <c:v>0.6</c:v>
                </c:pt>
                <c:pt idx="1874">
                  <c:v>0.6</c:v>
                </c:pt>
                <c:pt idx="1875">
                  <c:v>0.6</c:v>
                </c:pt>
                <c:pt idx="1876">
                  <c:v>0.6</c:v>
                </c:pt>
                <c:pt idx="1877">
                  <c:v>0.6</c:v>
                </c:pt>
                <c:pt idx="1878">
                  <c:v>0.6</c:v>
                </c:pt>
                <c:pt idx="1879">
                  <c:v>0.6</c:v>
                </c:pt>
                <c:pt idx="1880">
                  <c:v>0.6</c:v>
                </c:pt>
                <c:pt idx="1881">
                  <c:v>0.6</c:v>
                </c:pt>
                <c:pt idx="1882">
                  <c:v>0.6</c:v>
                </c:pt>
                <c:pt idx="1883">
                  <c:v>0.6</c:v>
                </c:pt>
                <c:pt idx="1884">
                  <c:v>0.6</c:v>
                </c:pt>
                <c:pt idx="1885">
                  <c:v>0.6</c:v>
                </c:pt>
                <c:pt idx="1886">
                  <c:v>0.6</c:v>
                </c:pt>
                <c:pt idx="1887">
                  <c:v>0.6</c:v>
                </c:pt>
                <c:pt idx="1888">
                  <c:v>0.6</c:v>
                </c:pt>
                <c:pt idx="1889">
                  <c:v>0.6</c:v>
                </c:pt>
                <c:pt idx="1890">
                  <c:v>0.6</c:v>
                </c:pt>
                <c:pt idx="1891">
                  <c:v>0.6</c:v>
                </c:pt>
                <c:pt idx="1892">
                  <c:v>0.6</c:v>
                </c:pt>
                <c:pt idx="1893">
                  <c:v>0.6</c:v>
                </c:pt>
                <c:pt idx="1894">
                  <c:v>0.6</c:v>
                </c:pt>
                <c:pt idx="1895">
                  <c:v>0.6</c:v>
                </c:pt>
                <c:pt idx="1896">
                  <c:v>0.6</c:v>
                </c:pt>
                <c:pt idx="1897">
                  <c:v>0.6</c:v>
                </c:pt>
                <c:pt idx="1898">
                  <c:v>0.6</c:v>
                </c:pt>
                <c:pt idx="1899">
                  <c:v>0.6</c:v>
                </c:pt>
                <c:pt idx="1900">
                  <c:v>0.6</c:v>
                </c:pt>
                <c:pt idx="1901">
                  <c:v>0.6</c:v>
                </c:pt>
                <c:pt idx="1902">
                  <c:v>0.6</c:v>
                </c:pt>
                <c:pt idx="1903">
                  <c:v>0.6</c:v>
                </c:pt>
                <c:pt idx="1904">
                  <c:v>0.6</c:v>
                </c:pt>
                <c:pt idx="1905">
                  <c:v>0.6</c:v>
                </c:pt>
                <c:pt idx="1906">
                  <c:v>0.6</c:v>
                </c:pt>
                <c:pt idx="1907">
                  <c:v>0.6</c:v>
                </c:pt>
                <c:pt idx="1908">
                  <c:v>0.6</c:v>
                </c:pt>
                <c:pt idx="1909">
                  <c:v>0.6</c:v>
                </c:pt>
                <c:pt idx="1910">
                  <c:v>0.6</c:v>
                </c:pt>
                <c:pt idx="1911">
                  <c:v>0.6</c:v>
                </c:pt>
                <c:pt idx="1912">
                  <c:v>0.6</c:v>
                </c:pt>
                <c:pt idx="1913">
                  <c:v>0.6</c:v>
                </c:pt>
                <c:pt idx="1914">
                  <c:v>0.6</c:v>
                </c:pt>
                <c:pt idx="1915">
                  <c:v>0.6</c:v>
                </c:pt>
                <c:pt idx="1916">
                  <c:v>0.6</c:v>
                </c:pt>
                <c:pt idx="1917">
                  <c:v>0.6</c:v>
                </c:pt>
                <c:pt idx="1918">
                  <c:v>0.6</c:v>
                </c:pt>
                <c:pt idx="1919">
                  <c:v>0.6</c:v>
                </c:pt>
                <c:pt idx="1920">
                  <c:v>0.6</c:v>
                </c:pt>
                <c:pt idx="1921">
                  <c:v>0.6</c:v>
                </c:pt>
                <c:pt idx="1922">
                  <c:v>0.6</c:v>
                </c:pt>
                <c:pt idx="1923">
                  <c:v>0.6</c:v>
                </c:pt>
                <c:pt idx="1924">
                  <c:v>0.6</c:v>
                </c:pt>
                <c:pt idx="1925">
                  <c:v>0.6</c:v>
                </c:pt>
                <c:pt idx="1926">
                  <c:v>0.6</c:v>
                </c:pt>
                <c:pt idx="1927">
                  <c:v>0.6</c:v>
                </c:pt>
                <c:pt idx="1928">
                  <c:v>0.6</c:v>
                </c:pt>
                <c:pt idx="1929">
                  <c:v>0.6</c:v>
                </c:pt>
                <c:pt idx="1930">
                  <c:v>0.6</c:v>
                </c:pt>
                <c:pt idx="1931">
                  <c:v>0.6</c:v>
                </c:pt>
                <c:pt idx="1932">
                  <c:v>0.6</c:v>
                </c:pt>
                <c:pt idx="1933">
                  <c:v>0.6</c:v>
                </c:pt>
                <c:pt idx="1934">
                  <c:v>0.6</c:v>
                </c:pt>
                <c:pt idx="1935">
                  <c:v>0.6</c:v>
                </c:pt>
                <c:pt idx="1936">
                  <c:v>0.6</c:v>
                </c:pt>
                <c:pt idx="1937">
                  <c:v>0.6</c:v>
                </c:pt>
                <c:pt idx="1938">
                  <c:v>0.6</c:v>
                </c:pt>
                <c:pt idx="1939">
                  <c:v>0.9</c:v>
                </c:pt>
                <c:pt idx="1940">
                  <c:v>0.9</c:v>
                </c:pt>
                <c:pt idx="1941">
                  <c:v>0.9</c:v>
                </c:pt>
                <c:pt idx="1942">
                  <c:v>0.9</c:v>
                </c:pt>
                <c:pt idx="1943">
                  <c:v>0.9</c:v>
                </c:pt>
                <c:pt idx="1944">
                  <c:v>0.9</c:v>
                </c:pt>
                <c:pt idx="1945">
                  <c:v>0.9</c:v>
                </c:pt>
                <c:pt idx="1946">
                  <c:v>0.9</c:v>
                </c:pt>
                <c:pt idx="1947">
                  <c:v>0.9</c:v>
                </c:pt>
                <c:pt idx="1948">
                  <c:v>0.9</c:v>
                </c:pt>
                <c:pt idx="1949">
                  <c:v>0.9</c:v>
                </c:pt>
                <c:pt idx="1950">
                  <c:v>0.9</c:v>
                </c:pt>
                <c:pt idx="1951">
                  <c:v>0.9</c:v>
                </c:pt>
                <c:pt idx="1952">
                  <c:v>0.9</c:v>
                </c:pt>
                <c:pt idx="1953">
                  <c:v>0.9</c:v>
                </c:pt>
                <c:pt idx="1954">
                  <c:v>0.9</c:v>
                </c:pt>
                <c:pt idx="1955">
                  <c:v>0.9</c:v>
                </c:pt>
                <c:pt idx="1956">
                  <c:v>0.9</c:v>
                </c:pt>
                <c:pt idx="1957">
                  <c:v>0.9</c:v>
                </c:pt>
                <c:pt idx="1958">
                  <c:v>0.9</c:v>
                </c:pt>
                <c:pt idx="1959">
                  <c:v>0.9</c:v>
                </c:pt>
                <c:pt idx="1960">
                  <c:v>0.9</c:v>
                </c:pt>
                <c:pt idx="1961">
                  <c:v>0.9</c:v>
                </c:pt>
                <c:pt idx="1962">
                  <c:v>0.9</c:v>
                </c:pt>
                <c:pt idx="1963">
                  <c:v>0.9</c:v>
                </c:pt>
                <c:pt idx="1964">
                  <c:v>0.9</c:v>
                </c:pt>
                <c:pt idx="1965">
                  <c:v>0.9</c:v>
                </c:pt>
                <c:pt idx="1966">
                  <c:v>0.9</c:v>
                </c:pt>
                <c:pt idx="1967">
                  <c:v>0.9</c:v>
                </c:pt>
                <c:pt idx="1968">
                  <c:v>0.9</c:v>
                </c:pt>
                <c:pt idx="1969">
                  <c:v>0.9</c:v>
                </c:pt>
                <c:pt idx="1970">
                  <c:v>0.9</c:v>
                </c:pt>
                <c:pt idx="1971">
                  <c:v>0.9</c:v>
                </c:pt>
                <c:pt idx="1972">
                  <c:v>0.9</c:v>
                </c:pt>
                <c:pt idx="1973">
                  <c:v>0.9</c:v>
                </c:pt>
                <c:pt idx="1974">
                  <c:v>1.2</c:v>
                </c:pt>
                <c:pt idx="1975">
                  <c:v>1.2</c:v>
                </c:pt>
                <c:pt idx="1976">
                  <c:v>1.2</c:v>
                </c:pt>
                <c:pt idx="1977">
                  <c:v>1.2</c:v>
                </c:pt>
                <c:pt idx="1978">
                  <c:v>1.2</c:v>
                </c:pt>
                <c:pt idx="1979">
                  <c:v>1.2</c:v>
                </c:pt>
                <c:pt idx="1980">
                  <c:v>1.2</c:v>
                </c:pt>
                <c:pt idx="1981">
                  <c:v>1.2</c:v>
                </c:pt>
                <c:pt idx="1982">
                  <c:v>1.2</c:v>
                </c:pt>
                <c:pt idx="1983">
                  <c:v>1.2</c:v>
                </c:pt>
                <c:pt idx="1984">
                  <c:v>1.2</c:v>
                </c:pt>
                <c:pt idx="1985">
                  <c:v>1.2</c:v>
                </c:pt>
                <c:pt idx="1986">
                  <c:v>1.2</c:v>
                </c:pt>
                <c:pt idx="1987">
                  <c:v>1.2</c:v>
                </c:pt>
                <c:pt idx="1988">
                  <c:v>1.2</c:v>
                </c:pt>
                <c:pt idx="1989">
                  <c:v>1.2</c:v>
                </c:pt>
                <c:pt idx="1990">
                  <c:v>1.2</c:v>
                </c:pt>
                <c:pt idx="1991">
                  <c:v>1.2</c:v>
                </c:pt>
                <c:pt idx="1992">
                  <c:v>1.2</c:v>
                </c:pt>
                <c:pt idx="1993">
                  <c:v>1.2</c:v>
                </c:pt>
                <c:pt idx="1994">
                  <c:v>1.2</c:v>
                </c:pt>
                <c:pt idx="1995">
                  <c:v>1.2</c:v>
                </c:pt>
                <c:pt idx="1996">
                  <c:v>1.2</c:v>
                </c:pt>
                <c:pt idx="1997">
                  <c:v>1.2</c:v>
                </c:pt>
                <c:pt idx="1998">
                  <c:v>1.2</c:v>
                </c:pt>
                <c:pt idx="1999">
                  <c:v>1.2</c:v>
                </c:pt>
                <c:pt idx="2000">
                  <c:v>1.2</c:v>
                </c:pt>
                <c:pt idx="2001">
                  <c:v>1.2</c:v>
                </c:pt>
                <c:pt idx="2002">
                  <c:v>1.5</c:v>
                </c:pt>
                <c:pt idx="2003">
                  <c:v>1.5</c:v>
                </c:pt>
                <c:pt idx="2004">
                  <c:v>1.5</c:v>
                </c:pt>
                <c:pt idx="2005">
                  <c:v>1.5</c:v>
                </c:pt>
                <c:pt idx="2006">
                  <c:v>1.5</c:v>
                </c:pt>
                <c:pt idx="2007">
                  <c:v>1.5</c:v>
                </c:pt>
                <c:pt idx="2008">
                  <c:v>1.5</c:v>
                </c:pt>
                <c:pt idx="2009">
                  <c:v>1.5</c:v>
                </c:pt>
                <c:pt idx="2010">
                  <c:v>1.5</c:v>
                </c:pt>
                <c:pt idx="2011">
                  <c:v>1.5</c:v>
                </c:pt>
                <c:pt idx="2012">
                  <c:v>1.5</c:v>
                </c:pt>
                <c:pt idx="2013">
                  <c:v>1.5</c:v>
                </c:pt>
                <c:pt idx="2014">
                  <c:v>1.5</c:v>
                </c:pt>
                <c:pt idx="2015">
                  <c:v>1.5</c:v>
                </c:pt>
                <c:pt idx="2016">
                  <c:v>1.5</c:v>
                </c:pt>
                <c:pt idx="2017">
                  <c:v>1.5</c:v>
                </c:pt>
                <c:pt idx="2018">
                  <c:v>1.5</c:v>
                </c:pt>
                <c:pt idx="2019">
                  <c:v>1.5</c:v>
                </c:pt>
                <c:pt idx="2020">
                  <c:v>1.5</c:v>
                </c:pt>
                <c:pt idx="2021">
                  <c:v>1.5</c:v>
                </c:pt>
                <c:pt idx="2022">
                  <c:v>1.5</c:v>
                </c:pt>
                <c:pt idx="2023">
                  <c:v>1.5</c:v>
                </c:pt>
                <c:pt idx="2024">
                  <c:v>1.5</c:v>
                </c:pt>
                <c:pt idx="2025">
                  <c:v>1.5</c:v>
                </c:pt>
                <c:pt idx="2026">
                  <c:v>1.5</c:v>
                </c:pt>
                <c:pt idx="2027">
                  <c:v>1.5</c:v>
                </c:pt>
                <c:pt idx="2028">
                  <c:v>1.5</c:v>
                </c:pt>
                <c:pt idx="2029">
                  <c:v>1.5</c:v>
                </c:pt>
                <c:pt idx="2030">
                  <c:v>1.65</c:v>
                </c:pt>
                <c:pt idx="2031">
                  <c:v>1.65</c:v>
                </c:pt>
                <c:pt idx="2032">
                  <c:v>1.65</c:v>
                </c:pt>
                <c:pt idx="2033">
                  <c:v>1.65</c:v>
                </c:pt>
                <c:pt idx="2034">
                  <c:v>1.65</c:v>
                </c:pt>
                <c:pt idx="2035">
                  <c:v>1.65</c:v>
                </c:pt>
                <c:pt idx="2036">
                  <c:v>1.65</c:v>
                </c:pt>
                <c:pt idx="2037">
                  <c:v>1.65</c:v>
                </c:pt>
                <c:pt idx="2038">
                  <c:v>1.65</c:v>
                </c:pt>
                <c:pt idx="2039">
                  <c:v>1.65</c:v>
                </c:pt>
                <c:pt idx="2040">
                  <c:v>1.65</c:v>
                </c:pt>
                <c:pt idx="2041">
                  <c:v>1.65</c:v>
                </c:pt>
                <c:pt idx="2042">
                  <c:v>1.65</c:v>
                </c:pt>
                <c:pt idx="2043">
                  <c:v>1.65</c:v>
                </c:pt>
                <c:pt idx="2044">
                  <c:v>1.65</c:v>
                </c:pt>
                <c:pt idx="2045">
                  <c:v>1.65</c:v>
                </c:pt>
                <c:pt idx="2046">
                  <c:v>1.65</c:v>
                </c:pt>
                <c:pt idx="2047">
                  <c:v>1.65</c:v>
                </c:pt>
                <c:pt idx="2048">
                  <c:v>1.65</c:v>
                </c:pt>
                <c:pt idx="2049">
                  <c:v>1.65</c:v>
                </c:pt>
                <c:pt idx="2050">
                  <c:v>1.65</c:v>
                </c:pt>
                <c:pt idx="2051">
                  <c:v>1.65</c:v>
                </c:pt>
                <c:pt idx="2052">
                  <c:v>1.65</c:v>
                </c:pt>
                <c:pt idx="2053">
                  <c:v>1.65</c:v>
                </c:pt>
                <c:pt idx="2054">
                  <c:v>1.65</c:v>
                </c:pt>
                <c:pt idx="2055">
                  <c:v>1.65</c:v>
                </c:pt>
                <c:pt idx="2056">
                  <c:v>1.65</c:v>
                </c:pt>
                <c:pt idx="2057">
                  <c:v>1.65</c:v>
                </c:pt>
                <c:pt idx="2058">
                  <c:v>1.8</c:v>
                </c:pt>
                <c:pt idx="2059">
                  <c:v>1.8</c:v>
                </c:pt>
                <c:pt idx="2060">
                  <c:v>1.8</c:v>
                </c:pt>
                <c:pt idx="2061">
                  <c:v>1.8</c:v>
                </c:pt>
                <c:pt idx="2062">
                  <c:v>1.8</c:v>
                </c:pt>
                <c:pt idx="2063">
                  <c:v>1.8</c:v>
                </c:pt>
                <c:pt idx="2064">
                  <c:v>1.8</c:v>
                </c:pt>
                <c:pt idx="2065">
                  <c:v>1.8</c:v>
                </c:pt>
                <c:pt idx="2066">
                  <c:v>1.8</c:v>
                </c:pt>
                <c:pt idx="2067">
                  <c:v>1.8</c:v>
                </c:pt>
                <c:pt idx="2068">
                  <c:v>1.8</c:v>
                </c:pt>
                <c:pt idx="2069">
                  <c:v>1.8</c:v>
                </c:pt>
                <c:pt idx="2070">
                  <c:v>1.8</c:v>
                </c:pt>
                <c:pt idx="2071">
                  <c:v>1.8</c:v>
                </c:pt>
                <c:pt idx="2072">
                  <c:v>1.8</c:v>
                </c:pt>
                <c:pt idx="2073">
                  <c:v>1.8</c:v>
                </c:pt>
                <c:pt idx="2074">
                  <c:v>1.8</c:v>
                </c:pt>
                <c:pt idx="2075">
                  <c:v>1.8</c:v>
                </c:pt>
                <c:pt idx="2076">
                  <c:v>1.8</c:v>
                </c:pt>
                <c:pt idx="2077">
                  <c:v>1.8</c:v>
                </c:pt>
                <c:pt idx="2078">
                  <c:v>1.8</c:v>
                </c:pt>
                <c:pt idx="2079">
                  <c:v>1.8</c:v>
                </c:pt>
                <c:pt idx="2080">
                  <c:v>1.8</c:v>
                </c:pt>
                <c:pt idx="2081">
                  <c:v>1.8</c:v>
                </c:pt>
                <c:pt idx="2082">
                  <c:v>1.8</c:v>
                </c:pt>
                <c:pt idx="2083">
                  <c:v>1.8</c:v>
                </c:pt>
                <c:pt idx="2084">
                  <c:v>1.8</c:v>
                </c:pt>
                <c:pt idx="2085">
                  <c:v>1.8</c:v>
                </c:pt>
                <c:pt idx="2086">
                  <c:v>2.1</c:v>
                </c:pt>
                <c:pt idx="2087">
                  <c:v>2.1</c:v>
                </c:pt>
                <c:pt idx="2088">
                  <c:v>2.1</c:v>
                </c:pt>
                <c:pt idx="2089">
                  <c:v>2.1</c:v>
                </c:pt>
                <c:pt idx="2090">
                  <c:v>2.1</c:v>
                </c:pt>
                <c:pt idx="2091">
                  <c:v>2.1</c:v>
                </c:pt>
                <c:pt idx="2092">
                  <c:v>2.1</c:v>
                </c:pt>
                <c:pt idx="2093">
                  <c:v>2.1</c:v>
                </c:pt>
                <c:pt idx="2094">
                  <c:v>2.1</c:v>
                </c:pt>
                <c:pt idx="2095">
                  <c:v>2.1</c:v>
                </c:pt>
                <c:pt idx="2096">
                  <c:v>2.1</c:v>
                </c:pt>
                <c:pt idx="2097">
                  <c:v>2.1</c:v>
                </c:pt>
                <c:pt idx="2098">
                  <c:v>2.1</c:v>
                </c:pt>
                <c:pt idx="2099">
                  <c:v>2.1</c:v>
                </c:pt>
                <c:pt idx="2100">
                  <c:v>2.1</c:v>
                </c:pt>
                <c:pt idx="2101">
                  <c:v>2.1</c:v>
                </c:pt>
                <c:pt idx="2102">
                  <c:v>2.1</c:v>
                </c:pt>
                <c:pt idx="2103">
                  <c:v>2.1</c:v>
                </c:pt>
                <c:pt idx="2104">
                  <c:v>2.1</c:v>
                </c:pt>
                <c:pt idx="2105">
                  <c:v>2.1</c:v>
                </c:pt>
                <c:pt idx="2106">
                  <c:v>2.1</c:v>
                </c:pt>
                <c:pt idx="2107">
                  <c:v>2.1</c:v>
                </c:pt>
                <c:pt idx="2108">
                  <c:v>2.1</c:v>
                </c:pt>
                <c:pt idx="2109">
                  <c:v>2.1</c:v>
                </c:pt>
                <c:pt idx="2110">
                  <c:v>2.1</c:v>
                </c:pt>
                <c:pt idx="2111">
                  <c:v>2.1</c:v>
                </c:pt>
                <c:pt idx="2112">
                  <c:v>2.1</c:v>
                </c:pt>
                <c:pt idx="2113">
                  <c:v>2.1</c:v>
                </c:pt>
                <c:pt idx="2114">
                  <c:v>2.4</c:v>
                </c:pt>
                <c:pt idx="2115">
                  <c:v>2.4</c:v>
                </c:pt>
                <c:pt idx="2116">
                  <c:v>2.4</c:v>
                </c:pt>
                <c:pt idx="2117">
                  <c:v>2.4</c:v>
                </c:pt>
                <c:pt idx="2118">
                  <c:v>2.4</c:v>
                </c:pt>
                <c:pt idx="2119">
                  <c:v>2.4</c:v>
                </c:pt>
                <c:pt idx="2120">
                  <c:v>2.4</c:v>
                </c:pt>
                <c:pt idx="2121">
                  <c:v>2.4</c:v>
                </c:pt>
                <c:pt idx="2122">
                  <c:v>2.4</c:v>
                </c:pt>
                <c:pt idx="2123">
                  <c:v>2.4</c:v>
                </c:pt>
                <c:pt idx="2124">
                  <c:v>2.4</c:v>
                </c:pt>
                <c:pt idx="2125">
                  <c:v>2.4</c:v>
                </c:pt>
                <c:pt idx="2126">
                  <c:v>2.4</c:v>
                </c:pt>
                <c:pt idx="2127">
                  <c:v>2.4</c:v>
                </c:pt>
                <c:pt idx="2128">
                  <c:v>2.4</c:v>
                </c:pt>
                <c:pt idx="2129">
                  <c:v>2.4</c:v>
                </c:pt>
                <c:pt idx="2130">
                  <c:v>2.4</c:v>
                </c:pt>
                <c:pt idx="2131">
                  <c:v>2.4</c:v>
                </c:pt>
                <c:pt idx="2132">
                  <c:v>2.4</c:v>
                </c:pt>
                <c:pt idx="2133">
                  <c:v>2.4</c:v>
                </c:pt>
                <c:pt idx="2134">
                  <c:v>2.4</c:v>
                </c:pt>
                <c:pt idx="2135">
                  <c:v>2.4</c:v>
                </c:pt>
                <c:pt idx="2136">
                  <c:v>2.4</c:v>
                </c:pt>
                <c:pt idx="2137">
                  <c:v>2.4</c:v>
                </c:pt>
                <c:pt idx="2138">
                  <c:v>2.4</c:v>
                </c:pt>
                <c:pt idx="2139">
                  <c:v>2.4</c:v>
                </c:pt>
                <c:pt idx="2140">
                  <c:v>2.4</c:v>
                </c:pt>
                <c:pt idx="2141">
                  <c:v>2.4</c:v>
                </c:pt>
                <c:pt idx="2142">
                  <c:v>2.4</c:v>
                </c:pt>
                <c:pt idx="2143">
                  <c:v>2.4</c:v>
                </c:pt>
                <c:pt idx="2144">
                  <c:v>2.4</c:v>
                </c:pt>
                <c:pt idx="2145">
                  <c:v>2.4</c:v>
                </c:pt>
                <c:pt idx="2146">
                  <c:v>2.4</c:v>
                </c:pt>
                <c:pt idx="2147">
                  <c:v>2.4</c:v>
                </c:pt>
                <c:pt idx="2148">
                  <c:v>2.4</c:v>
                </c:pt>
                <c:pt idx="2149">
                  <c:v>2.4</c:v>
                </c:pt>
                <c:pt idx="2150">
                  <c:v>2.4</c:v>
                </c:pt>
                <c:pt idx="2151">
                  <c:v>2.4</c:v>
                </c:pt>
                <c:pt idx="2152">
                  <c:v>2.4</c:v>
                </c:pt>
                <c:pt idx="2153">
                  <c:v>2.4</c:v>
                </c:pt>
                <c:pt idx="2154">
                  <c:v>2.4</c:v>
                </c:pt>
                <c:pt idx="2155">
                  <c:v>2.4</c:v>
                </c:pt>
              </c:numCache>
            </c:numRef>
          </c:val>
          <c:smooth val="0"/>
          <c:extLst>
            <c:ext xmlns:c16="http://schemas.microsoft.com/office/drawing/2014/chart" uri="{C3380CC4-5D6E-409C-BE32-E72D297353CC}">
              <c16:uniqueId val="{00000000-1F34-4772-B35F-AA8181655FDE}"/>
            </c:ext>
          </c:extLst>
        </c:ser>
        <c:ser>
          <c:idx val="0"/>
          <c:order val="1"/>
          <c:tx>
            <c:strRef>
              <c:f>Baserate_FRA!$D$2</c:f>
              <c:strCache>
                <c:ptCount val="1"/>
                <c:pt idx="0">
                  <c:v>Határidős kamat FRA 3hó</c:v>
                </c:pt>
              </c:strCache>
            </c:strRef>
          </c:tx>
          <c:spPr>
            <a:ln>
              <a:noFill/>
            </a:ln>
          </c:spPr>
          <c:marker>
            <c:symbol val="diamond"/>
            <c:size val="6"/>
            <c:spPr>
              <a:solidFill>
                <a:srgbClr val="00B0F0"/>
              </a:solidFill>
            </c:spPr>
          </c:marker>
          <c:cat>
            <c:numRef>
              <c:f>Baserate_FRA!$B$3:$B$2880</c:f>
              <c:numCache>
                <c:formatCode>m/d/yyyy</c:formatCode>
                <c:ptCount val="2878"/>
                <c:pt idx="0">
                  <c:v>42248</c:v>
                </c:pt>
                <c:pt idx="1">
                  <c:v>42249</c:v>
                </c:pt>
                <c:pt idx="2">
                  <c:v>42250</c:v>
                </c:pt>
                <c:pt idx="3">
                  <c:v>42251</c:v>
                </c:pt>
                <c:pt idx="4">
                  <c:v>42254</c:v>
                </c:pt>
                <c:pt idx="5">
                  <c:v>42255</c:v>
                </c:pt>
                <c:pt idx="6">
                  <c:v>42256</c:v>
                </c:pt>
                <c:pt idx="7">
                  <c:v>42257</c:v>
                </c:pt>
                <c:pt idx="8">
                  <c:v>42258</c:v>
                </c:pt>
                <c:pt idx="9">
                  <c:v>42261</c:v>
                </c:pt>
                <c:pt idx="10">
                  <c:v>42262</c:v>
                </c:pt>
                <c:pt idx="11">
                  <c:v>42263</c:v>
                </c:pt>
                <c:pt idx="12">
                  <c:v>42264</c:v>
                </c:pt>
                <c:pt idx="13">
                  <c:v>42265</c:v>
                </c:pt>
                <c:pt idx="14">
                  <c:v>42268</c:v>
                </c:pt>
                <c:pt idx="15">
                  <c:v>42269</c:v>
                </c:pt>
                <c:pt idx="16">
                  <c:v>42270</c:v>
                </c:pt>
                <c:pt idx="17">
                  <c:v>42271</c:v>
                </c:pt>
                <c:pt idx="18">
                  <c:v>42272</c:v>
                </c:pt>
                <c:pt idx="19">
                  <c:v>42275</c:v>
                </c:pt>
                <c:pt idx="20">
                  <c:v>42276</c:v>
                </c:pt>
                <c:pt idx="21">
                  <c:v>42277</c:v>
                </c:pt>
                <c:pt idx="22">
                  <c:v>42278</c:v>
                </c:pt>
                <c:pt idx="23">
                  <c:v>42279</c:v>
                </c:pt>
                <c:pt idx="24">
                  <c:v>42282</c:v>
                </c:pt>
                <c:pt idx="25">
                  <c:v>42283</c:v>
                </c:pt>
                <c:pt idx="26">
                  <c:v>42284</c:v>
                </c:pt>
                <c:pt idx="27">
                  <c:v>42285</c:v>
                </c:pt>
                <c:pt idx="28">
                  <c:v>42286</c:v>
                </c:pt>
                <c:pt idx="29">
                  <c:v>42289</c:v>
                </c:pt>
                <c:pt idx="30">
                  <c:v>42290</c:v>
                </c:pt>
                <c:pt idx="31">
                  <c:v>42291</c:v>
                </c:pt>
                <c:pt idx="32">
                  <c:v>42292</c:v>
                </c:pt>
                <c:pt idx="33">
                  <c:v>42293</c:v>
                </c:pt>
                <c:pt idx="34">
                  <c:v>42296</c:v>
                </c:pt>
                <c:pt idx="35">
                  <c:v>42297</c:v>
                </c:pt>
                <c:pt idx="36">
                  <c:v>42298</c:v>
                </c:pt>
                <c:pt idx="37">
                  <c:v>42299</c:v>
                </c:pt>
                <c:pt idx="38">
                  <c:v>42303</c:v>
                </c:pt>
                <c:pt idx="39">
                  <c:v>42304</c:v>
                </c:pt>
                <c:pt idx="40">
                  <c:v>42305</c:v>
                </c:pt>
                <c:pt idx="41">
                  <c:v>42306</c:v>
                </c:pt>
                <c:pt idx="42">
                  <c:v>42307</c:v>
                </c:pt>
                <c:pt idx="43">
                  <c:v>42310</c:v>
                </c:pt>
                <c:pt idx="44">
                  <c:v>42311</c:v>
                </c:pt>
                <c:pt idx="45">
                  <c:v>42312</c:v>
                </c:pt>
                <c:pt idx="46">
                  <c:v>42313</c:v>
                </c:pt>
                <c:pt idx="47">
                  <c:v>42314</c:v>
                </c:pt>
                <c:pt idx="48">
                  <c:v>42317</c:v>
                </c:pt>
                <c:pt idx="49">
                  <c:v>42318</c:v>
                </c:pt>
                <c:pt idx="50">
                  <c:v>42319</c:v>
                </c:pt>
                <c:pt idx="51">
                  <c:v>42320</c:v>
                </c:pt>
                <c:pt idx="52">
                  <c:v>42321</c:v>
                </c:pt>
                <c:pt idx="53">
                  <c:v>42324</c:v>
                </c:pt>
                <c:pt idx="54">
                  <c:v>42325</c:v>
                </c:pt>
                <c:pt idx="55">
                  <c:v>42326</c:v>
                </c:pt>
                <c:pt idx="56">
                  <c:v>42327</c:v>
                </c:pt>
                <c:pt idx="57">
                  <c:v>42328</c:v>
                </c:pt>
                <c:pt idx="58">
                  <c:v>42331</c:v>
                </c:pt>
                <c:pt idx="59">
                  <c:v>42332</c:v>
                </c:pt>
                <c:pt idx="60">
                  <c:v>42333</c:v>
                </c:pt>
                <c:pt idx="61">
                  <c:v>42334</c:v>
                </c:pt>
                <c:pt idx="62">
                  <c:v>42335</c:v>
                </c:pt>
                <c:pt idx="63">
                  <c:v>42338</c:v>
                </c:pt>
                <c:pt idx="64">
                  <c:v>42339</c:v>
                </c:pt>
                <c:pt idx="65">
                  <c:v>42340</c:v>
                </c:pt>
                <c:pt idx="66">
                  <c:v>42341</c:v>
                </c:pt>
                <c:pt idx="67">
                  <c:v>42342</c:v>
                </c:pt>
                <c:pt idx="68">
                  <c:v>42345</c:v>
                </c:pt>
                <c:pt idx="69">
                  <c:v>42346</c:v>
                </c:pt>
                <c:pt idx="70">
                  <c:v>42347</c:v>
                </c:pt>
                <c:pt idx="71">
                  <c:v>42348</c:v>
                </c:pt>
                <c:pt idx="72">
                  <c:v>42349</c:v>
                </c:pt>
                <c:pt idx="73">
                  <c:v>42350</c:v>
                </c:pt>
                <c:pt idx="74">
                  <c:v>42352</c:v>
                </c:pt>
                <c:pt idx="75">
                  <c:v>42353</c:v>
                </c:pt>
                <c:pt idx="76">
                  <c:v>42354</c:v>
                </c:pt>
                <c:pt idx="77">
                  <c:v>42355</c:v>
                </c:pt>
                <c:pt idx="78">
                  <c:v>42356</c:v>
                </c:pt>
                <c:pt idx="79">
                  <c:v>42359</c:v>
                </c:pt>
                <c:pt idx="80">
                  <c:v>42360</c:v>
                </c:pt>
                <c:pt idx="81">
                  <c:v>42361</c:v>
                </c:pt>
                <c:pt idx="82">
                  <c:v>42366</c:v>
                </c:pt>
                <c:pt idx="83">
                  <c:v>42367</c:v>
                </c:pt>
                <c:pt idx="84">
                  <c:v>42368</c:v>
                </c:pt>
                <c:pt idx="85">
                  <c:v>42369</c:v>
                </c:pt>
                <c:pt idx="86">
                  <c:v>42373</c:v>
                </c:pt>
                <c:pt idx="87">
                  <c:v>42374</c:v>
                </c:pt>
                <c:pt idx="88">
                  <c:v>42375</c:v>
                </c:pt>
                <c:pt idx="89">
                  <c:v>42376</c:v>
                </c:pt>
                <c:pt idx="90">
                  <c:v>42377</c:v>
                </c:pt>
                <c:pt idx="91">
                  <c:v>42380</c:v>
                </c:pt>
                <c:pt idx="92">
                  <c:v>42381</c:v>
                </c:pt>
                <c:pt idx="93">
                  <c:v>42382</c:v>
                </c:pt>
                <c:pt idx="94">
                  <c:v>42383</c:v>
                </c:pt>
                <c:pt idx="95">
                  <c:v>42384</c:v>
                </c:pt>
                <c:pt idx="96">
                  <c:v>42387</c:v>
                </c:pt>
                <c:pt idx="97">
                  <c:v>42388</c:v>
                </c:pt>
                <c:pt idx="98">
                  <c:v>42389</c:v>
                </c:pt>
                <c:pt idx="99">
                  <c:v>42390</c:v>
                </c:pt>
                <c:pt idx="100">
                  <c:v>42391</c:v>
                </c:pt>
                <c:pt idx="101">
                  <c:v>42394</c:v>
                </c:pt>
                <c:pt idx="102">
                  <c:v>42395</c:v>
                </c:pt>
                <c:pt idx="103">
                  <c:v>42396</c:v>
                </c:pt>
                <c:pt idx="104">
                  <c:v>42397</c:v>
                </c:pt>
                <c:pt idx="105">
                  <c:v>42398</c:v>
                </c:pt>
                <c:pt idx="106">
                  <c:v>42401</c:v>
                </c:pt>
                <c:pt idx="107">
                  <c:v>42402</c:v>
                </c:pt>
                <c:pt idx="108">
                  <c:v>42403</c:v>
                </c:pt>
                <c:pt idx="109">
                  <c:v>42404</c:v>
                </c:pt>
                <c:pt idx="110">
                  <c:v>42405</c:v>
                </c:pt>
                <c:pt idx="111">
                  <c:v>42408</c:v>
                </c:pt>
                <c:pt idx="112">
                  <c:v>42409</c:v>
                </c:pt>
                <c:pt idx="113">
                  <c:v>42410</c:v>
                </c:pt>
                <c:pt idx="114">
                  <c:v>42411</c:v>
                </c:pt>
                <c:pt idx="115">
                  <c:v>42412</c:v>
                </c:pt>
                <c:pt idx="116">
                  <c:v>42415</c:v>
                </c:pt>
                <c:pt idx="117">
                  <c:v>42416</c:v>
                </c:pt>
                <c:pt idx="118">
                  <c:v>42417</c:v>
                </c:pt>
                <c:pt idx="119">
                  <c:v>42418</c:v>
                </c:pt>
                <c:pt idx="120">
                  <c:v>42419</c:v>
                </c:pt>
                <c:pt idx="121">
                  <c:v>42422</c:v>
                </c:pt>
                <c:pt idx="122">
                  <c:v>42423</c:v>
                </c:pt>
                <c:pt idx="123">
                  <c:v>42424</c:v>
                </c:pt>
                <c:pt idx="124">
                  <c:v>42425</c:v>
                </c:pt>
                <c:pt idx="125">
                  <c:v>42426</c:v>
                </c:pt>
                <c:pt idx="126">
                  <c:v>42429</c:v>
                </c:pt>
                <c:pt idx="127">
                  <c:v>42430</c:v>
                </c:pt>
                <c:pt idx="128">
                  <c:v>42431</c:v>
                </c:pt>
                <c:pt idx="129">
                  <c:v>42432</c:v>
                </c:pt>
                <c:pt idx="130">
                  <c:v>42433</c:v>
                </c:pt>
                <c:pt idx="131">
                  <c:v>42434</c:v>
                </c:pt>
                <c:pt idx="132">
                  <c:v>42436</c:v>
                </c:pt>
                <c:pt idx="133">
                  <c:v>42437</c:v>
                </c:pt>
                <c:pt idx="134">
                  <c:v>42438</c:v>
                </c:pt>
                <c:pt idx="135">
                  <c:v>42439</c:v>
                </c:pt>
                <c:pt idx="136">
                  <c:v>42440</c:v>
                </c:pt>
                <c:pt idx="137">
                  <c:v>42445</c:v>
                </c:pt>
                <c:pt idx="138">
                  <c:v>42446</c:v>
                </c:pt>
                <c:pt idx="139">
                  <c:v>42447</c:v>
                </c:pt>
                <c:pt idx="140">
                  <c:v>42450</c:v>
                </c:pt>
                <c:pt idx="141">
                  <c:v>42451</c:v>
                </c:pt>
                <c:pt idx="142">
                  <c:v>42452</c:v>
                </c:pt>
                <c:pt idx="143">
                  <c:v>42453</c:v>
                </c:pt>
                <c:pt idx="144">
                  <c:v>42454</c:v>
                </c:pt>
                <c:pt idx="145">
                  <c:v>42458</c:v>
                </c:pt>
                <c:pt idx="146">
                  <c:v>42459</c:v>
                </c:pt>
                <c:pt idx="147">
                  <c:v>42460</c:v>
                </c:pt>
                <c:pt idx="148">
                  <c:v>42461</c:v>
                </c:pt>
                <c:pt idx="149">
                  <c:v>42464</c:v>
                </c:pt>
                <c:pt idx="150">
                  <c:v>42465</c:v>
                </c:pt>
                <c:pt idx="151">
                  <c:v>42466</c:v>
                </c:pt>
                <c:pt idx="152">
                  <c:v>42467</c:v>
                </c:pt>
                <c:pt idx="153">
                  <c:v>42468</c:v>
                </c:pt>
                <c:pt idx="154">
                  <c:v>42471</c:v>
                </c:pt>
                <c:pt idx="155">
                  <c:v>42472</c:v>
                </c:pt>
                <c:pt idx="156">
                  <c:v>42473</c:v>
                </c:pt>
                <c:pt idx="157">
                  <c:v>42474</c:v>
                </c:pt>
                <c:pt idx="158">
                  <c:v>42475</c:v>
                </c:pt>
                <c:pt idx="159">
                  <c:v>42478</c:v>
                </c:pt>
                <c:pt idx="160">
                  <c:v>42479</c:v>
                </c:pt>
                <c:pt idx="161">
                  <c:v>42480</c:v>
                </c:pt>
                <c:pt idx="162">
                  <c:v>42481</c:v>
                </c:pt>
                <c:pt idx="163">
                  <c:v>42482</c:v>
                </c:pt>
                <c:pt idx="164">
                  <c:v>42485</c:v>
                </c:pt>
                <c:pt idx="165">
                  <c:v>42486</c:v>
                </c:pt>
                <c:pt idx="166">
                  <c:v>42487</c:v>
                </c:pt>
                <c:pt idx="167">
                  <c:v>42488</c:v>
                </c:pt>
                <c:pt idx="168">
                  <c:v>42489</c:v>
                </c:pt>
                <c:pt idx="169">
                  <c:v>42492</c:v>
                </c:pt>
                <c:pt idx="170">
                  <c:v>42493</c:v>
                </c:pt>
                <c:pt idx="171">
                  <c:v>42494</c:v>
                </c:pt>
                <c:pt idx="172">
                  <c:v>42495</c:v>
                </c:pt>
                <c:pt idx="173">
                  <c:v>42496</c:v>
                </c:pt>
                <c:pt idx="174">
                  <c:v>42499</c:v>
                </c:pt>
                <c:pt idx="175">
                  <c:v>42500</c:v>
                </c:pt>
                <c:pt idx="176">
                  <c:v>42501</c:v>
                </c:pt>
                <c:pt idx="177">
                  <c:v>42502</c:v>
                </c:pt>
                <c:pt idx="178">
                  <c:v>42503</c:v>
                </c:pt>
                <c:pt idx="179">
                  <c:v>42507</c:v>
                </c:pt>
                <c:pt idx="180">
                  <c:v>42508</c:v>
                </c:pt>
                <c:pt idx="181">
                  <c:v>42509</c:v>
                </c:pt>
                <c:pt idx="182">
                  <c:v>42510</c:v>
                </c:pt>
                <c:pt idx="183">
                  <c:v>42513</c:v>
                </c:pt>
                <c:pt idx="184">
                  <c:v>42514</c:v>
                </c:pt>
                <c:pt idx="185">
                  <c:v>42515</c:v>
                </c:pt>
                <c:pt idx="186">
                  <c:v>42516</c:v>
                </c:pt>
                <c:pt idx="187">
                  <c:v>42517</c:v>
                </c:pt>
                <c:pt idx="188">
                  <c:v>42520</c:v>
                </c:pt>
                <c:pt idx="189">
                  <c:v>42521</c:v>
                </c:pt>
                <c:pt idx="190">
                  <c:v>42522</c:v>
                </c:pt>
                <c:pt idx="191">
                  <c:v>42523</c:v>
                </c:pt>
                <c:pt idx="192">
                  <c:v>42524</c:v>
                </c:pt>
                <c:pt idx="193">
                  <c:v>42527</c:v>
                </c:pt>
                <c:pt idx="194">
                  <c:v>42528</c:v>
                </c:pt>
                <c:pt idx="195">
                  <c:v>42529</c:v>
                </c:pt>
                <c:pt idx="196">
                  <c:v>42530</c:v>
                </c:pt>
                <c:pt idx="197">
                  <c:v>42531</c:v>
                </c:pt>
                <c:pt idx="198">
                  <c:v>42534</c:v>
                </c:pt>
                <c:pt idx="199">
                  <c:v>42535</c:v>
                </c:pt>
                <c:pt idx="200">
                  <c:v>42536</c:v>
                </c:pt>
                <c:pt idx="201">
                  <c:v>42537</c:v>
                </c:pt>
                <c:pt idx="202">
                  <c:v>42538</c:v>
                </c:pt>
                <c:pt idx="203">
                  <c:v>42541</c:v>
                </c:pt>
                <c:pt idx="204">
                  <c:v>42542</c:v>
                </c:pt>
                <c:pt idx="205">
                  <c:v>42543</c:v>
                </c:pt>
                <c:pt idx="206">
                  <c:v>42544</c:v>
                </c:pt>
                <c:pt idx="207">
                  <c:v>42545</c:v>
                </c:pt>
                <c:pt idx="208">
                  <c:v>42548</c:v>
                </c:pt>
                <c:pt idx="209">
                  <c:v>42549</c:v>
                </c:pt>
                <c:pt idx="210">
                  <c:v>42550</c:v>
                </c:pt>
                <c:pt idx="211">
                  <c:v>42551</c:v>
                </c:pt>
                <c:pt idx="212">
                  <c:v>42552</c:v>
                </c:pt>
                <c:pt idx="213">
                  <c:v>42555</c:v>
                </c:pt>
                <c:pt idx="214">
                  <c:v>42556</c:v>
                </c:pt>
                <c:pt idx="215">
                  <c:v>42557</c:v>
                </c:pt>
                <c:pt idx="216">
                  <c:v>42558</c:v>
                </c:pt>
                <c:pt idx="217">
                  <c:v>42559</c:v>
                </c:pt>
                <c:pt idx="218">
                  <c:v>42562</c:v>
                </c:pt>
                <c:pt idx="219">
                  <c:v>42563</c:v>
                </c:pt>
                <c:pt idx="220">
                  <c:v>42564</c:v>
                </c:pt>
                <c:pt idx="221">
                  <c:v>42565</c:v>
                </c:pt>
                <c:pt idx="222">
                  <c:v>42566</c:v>
                </c:pt>
                <c:pt idx="223">
                  <c:v>42569</c:v>
                </c:pt>
                <c:pt idx="224">
                  <c:v>42570</c:v>
                </c:pt>
                <c:pt idx="225">
                  <c:v>42571</c:v>
                </c:pt>
                <c:pt idx="226">
                  <c:v>42572</c:v>
                </c:pt>
                <c:pt idx="227">
                  <c:v>42573</c:v>
                </c:pt>
                <c:pt idx="228">
                  <c:v>42576</c:v>
                </c:pt>
                <c:pt idx="229">
                  <c:v>42577</c:v>
                </c:pt>
                <c:pt idx="230">
                  <c:v>42578</c:v>
                </c:pt>
                <c:pt idx="231">
                  <c:v>42579</c:v>
                </c:pt>
                <c:pt idx="232">
                  <c:v>42580</c:v>
                </c:pt>
                <c:pt idx="233">
                  <c:v>42583</c:v>
                </c:pt>
                <c:pt idx="234">
                  <c:v>42584</c:v>
                </c:pt>
                <c:pt idx="235">
                  <c:v>42585</c:v>
                </c:pt>
                <c:pt idx="236">
                  <c:v>42586</c:v>
                </c:pt>
                <c:pt idx="237">
                  <c:v>42587</c:v>
                </c:pt>
                <c:pt idx="238">
                  <c:v>42590</c:v>
                </c:pt>
                <c:pt idx="239">
                  <c:v>42591</c:v>
                </c:pt>
                <c:pt idx="240">
                  <c:v>42592</c:v>
                </c:pt>
                <c:pt idx="241">
                  <c:v>42593</c:v>
                </c:pt>
                <c:pt idx="242">
                  <c:v>42594</c:v>
                </c:pt>
                <c:pt idx="243">
                  <c:v>42597</c:v>
                </c:pt>
                <c:pt idx="244">
                  <c:v>42598</c:v>
                </c:pt>
                <c:pt idx="245">
                  <c:v>42599</c:v>
                </c:pt>
                <c:pt idx="246">
                  <c:v>42600</c:v>
                </c:pt>
                <c:pt idx="247">
                  <c:v>42601</c:v>
                </c:pt>
                <c:pt idx="248">
                  <c:v>42604</c:v>
                </c:pt>
                <c:pt idx="249">
                  <c:v>42605</c:v>
                </c:pt>
                <c:pt idx="250">
                  <c:v>42606</c:v>
                </c:pt>
                <c:pt idx="251">
                  <c:v>42607</c:v>
                </c:pt>
                <c:pt idx="252">
                  <c:v>42608</c:v>
                </c:pt>
                <c:pt idx="253">
                  <c:v>42611</c:v>
                </c:pt>
                <c:pt idx="254">
                  <c:v>42612</c:v>
                </c:pt>
                <c:pt idx="255">
                  <c:v>42613</c:v>
                </c:pt>
                <c:pt idx="256">
                  <c:v>42614</c:v>
                </c:pt>
                <c:pt idx="257">
                  <c:v>42615</c:v>
                </c:pt>
                <c:pt idx="258">
                  <c:v>42618</c:v>
                </c:pt>
                <c:pt idx="259">
                  <c:v>42619</c:v>
                </c:pt>
                <c:pt idx="260">
                  <c:v>42620</c:v>
                </c:pt>
                <c:pt idx="261">
                  <c:v>42621</c:v>
                </c:pt>
                <c:pt idx="262">
                  <c:v>42622</c:v>
                </c:pt>
                <c:pt idx="263">
                  <c:v>42625</c:v>
                </c:pt>
                <c:pt idx="264">
                  <c:v>42626</c:v>
                </c:pt>
                <c:pt idx="265">
                  <c:v>42627</c:v>
                </c:pt>
                <c:pt idx="266">
                  <c:v>42628</c:v>
                </c:pt>
                <c:pt idx="267">
                  <c:v>42629</c:v>
                </c:pt>
                <c:pt idx="268">
                  <c:v>42632</c:v>
                </c:pt>
                <c:pt idx="269">
                  <c:v>42633</c:v>
                </c:pt>
                <c:pt idx="270">
                  <c:v>42634</c:v>
                </c:pt>
                <c:pt idx="271">
                  <c:v>42635</c:v>
                </c:pt>
                <c:pt idx="272">
                  <c:v>42636</c:v>
                </c:pt>
                <c:pt idx="273">
                  <c:v>42639</c:v>
                </c:pt>
                <c:pt idx="274">
                  <c:v>42640</c:v>
                </c:pt>
                <c:pt idx="275">
                  <c:v>42641</c:v>
                </c:pt>
                <c:pt idx="276">
                  <c:v>42642</c:v>
                </c:pt>
                <c:pt idx="277">
                  <c:v>42643</c:v>
                </c:pt>
                <c:pt idx="278">
                  <c:v>42646</c:v>
                </c:pt>
                <c:pt idx="279">
                  <c:v>42647</c:v>
                </c:pt>
                <c:pt idx="280">
                  <c:v>42648</c:v>
                </c:pt>
                <c:pt idx="281">
                  <c:v>42649</c:v>
                </c:pt>
                <c:pt idx="282">
                  <c:v>42650</c:v>
                </c:pt>
                <c:pt idx="283">
                  <c:v>42653</c:v>
                </c:pt>
                <c:pt idx="284">
                  <c:v>42654</c:v>
                </c:pt>
                <c:pt idx="285">
                  <c:v>42655</c:v>
                </c:pt>
                <c:pt idx="286">
                  <c:v>42656</c:v>
                </c:pt>
                <c:pt idx="287">
                  <c:v>42657</c:v>
                </c:pt>
                <c:pt idx="288">
                  <c:v>42658</c:v>
                </c:pt>
                <c:pt idx="289">
                  <c:v>42660</c:v>
                </c:pt>
                <c:pt idx="290">
                  <c:v>42661</c:v>
                </c:pt>
                <c:pt idx="291">
                  <c:v>42662</c:v>
                </c:pt>
                <c:pt idx="292">
                  <c:v>42663</c:v>
                </c:pt>
                <c:pt idx="293">
                  <c:v>42664</c:v>
                </c:pt>
                <c:pt idx="294">
                  <c:v>42667</c:v>
                </c:pt>
                <c:pt idx="295">
                  <c:v>42668</c:v>
                </c:pt>
                <c:pt idx="296">
                  <c:v>42669</c:v>
                </c:pt>
                <c:pt idx="297">
                  <c:v>42670</c:v>
                </c:pt>
                <c:pt idx="298">
                  <c:v>42671</c:v>
                </c:pt>
                <c:pt idx="299">
                  <c:v>42676</c:v>
                </c:pt>
                <c:pt idx="300">
                  <c:v>42677</c:v>
                </c:pt>
                <c:pt idx="301">
                  <c:v>42678</c:v>
                </c:pt>
                <c:pt idx="302">
                  <c:v>42681</c:v>
                </c:pt>
                <c:pt idx="303">
                  <c:v>42682</c:v>
                </c:pt>
                <c:pt idx="304">
                  <c:v>42683</c:v>
                </c:pt>
                <c:pt idx="305">
                  <c:v>42684</c:v>
                </c:pt>
                <c:pt idx="306">
                  <c:v>42685</c:v>
                </c:pt>
                <c:pt idx="307">
                  <c:v>42688</c:v>
                </c:pt>
                <c:pt idx="308">
                  <c:v>42689</c:v>
                </c:pt>
                <c:pt idx="309">
                  <c:v>42690</c:v>
                </c:pt>
                <c:pt idx="310">
                  <c:v>42691</c:v>
                </c:pt>
                <c:pt idx="311">
                  <c:v>42692</c:v>
                </c:pt>
                <c:pt idx="312">
                  <c:v>42695</c:v>
                </c:pt>
                <c:pt idx="313">
                  <c:v>42696</c:v>
                </c:pt>
                <c:pt idx="314">
                  <c:v>42697</c:v>
                </c:pt>
                <c:pt idx="315">
                  <c:v>42698</c:v>
                </c:pt>
                <c:pt idx="316">
                  <c:v>42699</c:v>
                </c:pt>
                <c:pt idx="317">
                  <c:v>42702</c:v>
                </c:pt>
                <c:pt idx="318">
                  <c:v>42703</c:v>
                </c:pt>
                <c:pt idx="319">
                  <c:v>42704</c:v>
                </c:pt>
                <c:pt idx="320">
                  <c:v>42705</c:v>
                </c:pt>
                <c:pt idx="321">
                  <c:v>42706</c:v>
                </c:pt>
                <c:pt idx="322">
                  <c:v>42709</c:v>
                </c:pt>
                <c:pt idx="323">
                  <c:v>42710</c:v>
                </c:pt>
                <c:pt idx="324">
                  <c:v>42711</c:v>
                </c:pt>
                <c:pt idx="325">
                  <c:v>42712</c:v>
                </c:pt>
                <c:pt idx="326">
                  <c:v>42713</c:v>
                </c:pt>
                <c:pt idx="327">
                  <c:v>42716</c:v>
                </c:pt>
                <c:pt idx="328">
                  <c:v>42717</c:v>
                </c:pt>
                <c:pt idx="329">
                  <c:v>42718</c:v>
                </c:pt>
                <c:pt idx="330">
                  <c:v>42719</c:v>
                </c:pt>
                <c:pt idx="331">
                  <c:v>42720</c:v>
                </c:pt>
                <c:pt idx="332">
                  <c:v>42723</c:v>
                </c:pt>
                <c:pt idx="333">
                  <c:v>42724</c:v>
                </c:pt>
                <c:pt idx="334">
                  <c:v>42725</c:v>
                </c:pt>
                <c:pt idx="335">
                  <c:v>42726</c:v>
                </c:pt>
                <c:pt idx="336">
                  <c:v>42727</c:v>
                </c:pt>
                <c:pt idx="337">
                  <c:v>42731</c:v>
                </c:pt>
                <c:pt idx="338">
                  <c:v>42732</c:v>
                </c:pt>
                <c:pt idx="339">
                  <c:v>42733</c:v>
                </c:pt>
                <c:pt idx="340">
                  <c:v>42734</c:v>
                </c:pt>
                <c:pt idx="341">
                  <c:v>42737</c:v>
                </c:pt>
                <c:pt idx="342">
                  <c:v>42738</c:v>
                </c:pt>
                <c:pt idx="343">
                  <c:v>42739</c:v>
                </c:pt>
                <c:pt idx="344">
                  <c:v>42740</c:v>
                </c:pt>
                <c:pt idx="345">
                  <c:v>42741</c:v>
                </c:pt>
                <c:pt idx="346">
                  <c:v>42744</c:v>
                </c:pt>
                <c:pt idx="347">
                  <c:v>42745</c:v>
                </c:pt>
                <c:pt idx="348">
                  <c:v>42746</c:v>
                </c:pt>
                <c:pt idx="349">
                  <c:v>42747</c:v>
                </c:pt>
                <c:pt idx="350">
                  <c:v>42748</c:v>
                </c:pt>
                <c:pt idx="351">
                  <c:v>42751</c:v>
                </c:pt>
                <c:pt idx="352">
                  <c:v>42752</c:v>
                </c:pt>
                <c:pt idx="353">
                  <c:v>42753</c:v>
                </c:pt>
                <c:pt idx="354">
                  <c:v>42754</c:v>
                </c:pt>
                <c:pt idx="355">
                  <c:v>42755</c:v>
                </c:pt>
                <c:pt idx="356">
                  <c:v>42758</c:v>
                </c:pt>
                <c:pt idx="357">
                  <c:v>42759</c:v>
                </c:pt>
                <c:pt idx="358">
                  <c:v>42760</c:v>
                </c:pt>
                <c:pt idx="359">
                  <c:v>42761</c:v>
                </c:pt>
                <c:pt idx="360">
                  <c:v>42762</c:v>
                </c:pt>
                <c:pt idx="361">
                  <c:v>42765</c:v>
                </c:pt>
                <c:pt idx="362">
                  <c:v>42766</c:v>
                </c:pt>
                <c:pt idx="363">
                  <c:v>42767</c:v>
                </c:pt>
                <c:pt idx="364">
                  <c:v>42768</c:v>
                </c:pt>
                <c:pt idx="365">
                  <c:v>42769</c:v>
                </c:pt>
                <c:pt idx="366">
                  <c:v>42772</c:v>
                </c:pt>
                <c:pt idx="367">
                  <c:v>42773</c:v>
                </c:pt>
                <c:pt idx="368">
                  <c:v>42774</c:v>
                </c:pt>
                <c:pt idx="369">
                  <c:v>42775</c:v>
                </c:pt>
                <c:pt idx="370">
                  <c:v>42776</c:v>
                </c:pt>
                <c:pt idx="371">
                  <c:v>42779</c:v>
                </c:pt>
                <c:pt idx="372">
                  <c:v>42780</c:v>
                </c:pt>
                <c:pt idx="373">
                  <c:v>42781</c:v>
                </c:pt>
                <c:pt idx="374">
                  <c:v>42782</c:v>
                </c:pt>
                <c:pt idx="375">
                  <c:v>42783</c:v>
                </c:pt>
                <c:pt idx="376">
                  <c:v>42786</c:v>
                </c:pt>
                <c:pt idx="377">
                  <c:v>42787</c:v>
                </c:pt>
                <c:pt idx="378">
                  <c:v>42788</c:v>
                </c:pt>
                <c:pt idx="379">
                  <c:v>42789</c:v>
                </c:pt>
                <c:pt idx="380">
                  <c:v>42790</c:v>
                </c:pt>
                <c:pt idx="381">
                  <c:v>42793</c:v>
                </c:pt>
                <c:pt idx="382">
                  <c:v>42794</c:v>
                </c:pt>
                <c:pt idx="383">
                  <c:v>42795</c:v>
                </c:pt>
                <c:pt idx="384">
                  <c:v>42796</c:v>
                </c:pt>
                <c:pt idx="385">
                  <c:v>42797</c:v>
                </c:pt>
                <c:pt idx="386">
                  <c:v>42800</c:v>
                </c:pt>
                <c:pt idx="387">
                  <c:v>42801</c:v>
                </c:pt>
                <c:pt idx="388">
                  <c:v>42802</c:v>
                </c:pt>
                <c:pt idx="389">
                  <c:v>42803</c:v>
                </c:pt>
                <c:pt idx="390">
                  <c:v>42804</c:v>
                </c:pt>
                <c:pt idx="391">
                  <c:v>42807</c:v>
                </c:pt>
                <c:pt idx="392">
                  <c:v>42808</c:v>
                </c:pt>
                <c:pt idx="393">
                  <c:v>42810</c:v>
                </c:pt>
                <c:pt idx="394">
                  <c:v>42811</c:v>
                </c:pt>
                <c:pt idx="395">
                  <c:v>42814</c:v>
                </c:pt>
                <c:pt idx="396">
                  <c:v>42815</c:v>
                </c:pt>
                <c:pt idx="397">
                  <c:v>42816</c:v>
                </c:pt>
                <c:pt idx="398">
                  <c:v>42817</c:v>
                </c:pt>
                <c:pt idx="399">
                  <c:v>42818</c:v>
                </c:pt>
                <c:pt idx="400">
                  <c:v>42821</c:v>
                </c:pt>
                <c:pt idx="401">
                  <c:v>42822</c:v>
                </c:pt>
                <c:pt idx="402">
                  <c:v>42823</c:v>
                </c:pt>
                <c:pt idx="403">
                  <c:v>42824</c:v>
                </c:pt>
                <c:pt idx="404">
                  <c:v>42825</c:v>
                </c:pt>
                <c:pt idx="405">
                  <c:v>42828</c:v>
                </c:pt>
                <c:pt idx="406">
                  <c:v>42829</c:v>
                </c:pt>
                <c:pt idx="407">
                  <c:v>42830</c:v>
                </c:pt>
                <c:pt idx="408">
                  <c:v>42831</c:v>
                </c:pt>
                <c:pt idx="409">
                  <c:v>42832</c:v>
                </c:pt>
                <c:pt idx="410">
                  <c:v>42835</c:v>
                </c:pt>
                <c:pt idx="411">
                  <c:v>42836</c:v>
                </c:pt>
                <c:pt idx="412">
                  <c:v>42837</c:v>
                </c:pt>
                <c:pt idx="413">
                  <c:v>42838</c:v>
                </c:pt>
                <c:pt idx="414">
                  <c:v>42843</c:v>
                </c:pt>
                <c:pt idx="415">
                  <c:v>42844</c:v>
                </c:pt>
                <c:pt idx="416">
                  <c:v>42845</c:v>
                </c:pt>
                <c:pt idx="417">
                  <c:v>42846</c:v>
                </c:pt>
                <c:pt idx="418">
                  <c:v>42849</c:v>
                </c:pt>
                <c:pt idx="419">
                  <c:v>42850</c:v>
                </c:pt>
                <c:pt idx="420">
                  <c:v>42851</c:v>
                </c:pt>
                <c:pt idx="421">
                  <c:v>42852</c:v>
                </c:pt>
                <c:pt idx="422">
                  <c:v>42853</c:v>
                </c:pt>
                <c:pt idx="423">
                  <c:v>42854</c:v>
                </c:pt>
                <c:pt idx="424">
                  <c:v>42855</c:v>
                </c:pt>
                <c:pt idx="425">
                  <c:v>42856</c:v>
                </c:pt>
                <c:pt idx="426">
                  <c:v>42857</c:v>
                </c:pt>
                <c:pt idx="427">
                  <c:v>42858</c:v>
                </c:pt>
                <c:pt idx="428">
                  <c:v>42859</c:v>
                </c:pt>
                <c:pt idx="429">
                  <c:v>42860</c:v>
                </c:pt>
                <c:pt idx="430">
                  <c:v>42861</c:v>
                </c:pt>
                <c:pt idx="431">
                  <c:v>42862</c:v>
                </c:pt>
                <c:pt idx="432">
                  <c:v>42863</c:v>
                </c:pt>
                <c:pt idx="433">
                  <c:v>42864</c:v>
                </c:pt>
                <c:pt idx="434">
                  <c:v>42865</c:v>
                </c:pt>
                <c:pt idx="435">
                  <c:v>42866</c:v>
                </c:pt>
                <c:pt idx="436">
                  <c:v>42867</c:v>
                </c:pt>
                <c:pt idx="437">
                  <c:v>42868</c:v>
                </c:pt>
                <c:pt idx="438">
                  <c:v>42869</c:v>
                </c:pt>
                <c:pt idx="439">
                  <c:v>42870</c:v>
                </c:pt>
                <c:pt idx="440">
                  <c:v>42871</c:v>
                </c:pt>
                <c:pt idx="441">
                  <c:v>42872</c:v>
                </c:pt>
                <c:pt idx="442">
                  <c:v>42873</c:v>
                </c:pt>
                <c:pt idx="443">
                  <c:v>42874</c:v>
                </c:pt>
                <c:pt idx="444">
                  <c:v>42875</c:v>
                </c:pt>
                <c:pt idx="445">
                  <c:v>42876</c:v>
                </c:pt>
                <c:pt idx="446">
                  <c:v>42877</c:v>
                </c:pt>
                <c:pt idx="447">
                  <c:v>42878</c:v>
                </c:pt>
                <c:pt idx="448">
                  <c:v>42879</c:v>
                </c:pt>
                <c:pt idx="449">
                  <c:v>42880</c:v>
                </c:pt>
                <c:pt idx="450">
                  <c:v>42881</c:v>
                </c:pt>
                <c:pt idx="451">
                  <c:v>42882</c:v>
                </c:pt>
                <c:pt idx="452">
                  <c:v>42883</c:v>
                </c:pt>
                <c:pt idx="453">
                  <c:v>42884</c:v>
                </c:pt>
                <c:pt idx="454">
                  <c:v>42885</c:v>
                </c:pt>
                <c:pt idx="455">
                  <c:v>42886</c:v>
                </c:pt>
                <c:pt idx="456">
                  <c:v>42887</c:v>
                </c:pt>
                <c:pt idx="457">
                  <c:v>42888</c:v>
                </c:pt>
                <c:pt idx="458">
                  <c:v>42889</c:v>
                </c:pt>
                <c:pt idx="459">
                  <c:v>42890</c:v>
                </c:pt>
                <c:pt idx="460">
                  <c:v>42891</c:v>
                </c:pt>
                <c:pt idx="461">
                  <c:v>42892</c:v>
                </c:pt>
                <c:pt idx="462">
                  <c:v>42893</c:v>
                </c:pt>
                <c:pt idx="463">
                  <c:v>42894</c:v>
                </c:pt>
                <c:pt idx="464">
                  <c:v>42895</c:v>
                </c:pt>
                <c:pt idx="465">
                  <c:v>42896</c:v>
                </c:pt>
                <c:pt idx="466">
                  <c:v>42897</c:v>
                </c:pt>
                <c:pt idx="467">
                  <c:v>42898</c:v>
                </c:pt>
                <c:pt idx="468">
                  <c:v>42899</c:v>
                </c:pt>
                <c:pt idx="469">
                  <c:v>42900</c:v>
                </c:pt>
                <c:pt idx="470">
                  <c:v>42901</c:v>
                </c:pt>
                <c:pt idx="471">
                  <c:v>42902</c:v>
                </c:pt>
                <c:pt idx="472">
                  <c:v>42903</c:v>
                </c:pt>
                <c:pt idx="473">
                  <c:v>42904</c:v>
                </c:pt>
                <c:pt idx="474">
                  <c:v>42905</c:v>
                </c:pt>
                <c:pt idx="475">
                  <c:v>42906</c:v>
                </c:pt>
                <c:pt idx="476">
                  <c:v>42907</c:v>
                </c:pt>
                <c:pt idx="477">
                  <c:v>42908</c:v>
                </c:pt>
                <c:pt idx="478">
                  <c:v>42909</c:v>
                </c:pt>
                <c:pt idx="479">
                  <c:v>42910</c:v>
                </c:pt>
                <c:pt idx="480">
                  <c:v>42911</c:v>
                </c:pt>
                <c:pt idx="481">
                  <c:v>42912</c:v>
                </c:pt>
                <c:pt idx="482">
                  <c:v>42913</c:v>
                </c:pt>
                <c:pt idx="483">
                  <c:v>42914</c:v>
                </c:pt>
                <c:pt idx="484">
                  <c:v>42915</c:v>
                </c:pt>
                <c:pt idx="485">
                  <c:v>42916</c:v>
                </c:pt>
                <c:pt idx="486">
                  <c:v>42917</c:v>
                </c:pt>
                <c:pt idx="487">
                  <c:v>42918</c:v>
                </c:pt>
                <c:pt idx="488">
                  <c:v>42919</c:v>
                </c:pt>
                <c:pt idx="489">
                  <c:v>42920</c:v>
                </c:pt>
                <c:pt idx="490">
                  <c:v>42921</c:v>
                </c:pt>
                <c:pt idx="491">
                  <c:v>42922</c:v>
                </c:pt>
                <c:pt idx="492">
                  <c:v>42923</c:v>
                </c:pt>
                <c:pt idx="493">
                  <c:v>42924</c:v>
                </c:pt>
                <c:pt idx="494">
                  <c:v>42925</c:v>
                </c:pt>
                <c:pt idx="495">
                  <c:v>42926</c:v>
                </c:pt>
                <c:pt idx="496">
                  <c:v>42927</c:v>
                </c:pt>
                <c:pt idx="497">
                  <c:v>42928</c:v>
                </c:pt>
                <c:pt idx="498">
                  <c:v>42929</c:v>
                </c:pt>
                <c:pt idx="499">
                  <c:v>42930</c:v>
                </c:pt>
                <c:pt idx="500">
                  <c:v>42931</c:v>
                </c:pt>
                <c:pt idx="501">
                  <c:v>42932</c:v>
                </c:pt>
                <c:pt idx="502">
                  <c:v>42933</c:v>
                </c:pt>
                <c:pt idx="503">
                  <c:v>42934</c:v>
                </c:pt>
                <c:pt idx="504">
                  <c:v>42935</c:v>
                </c:pt>
                <c:pt idx="505">
                  <c:v>42936</c:v>
                </c:pt>
                <c:pt idx="506">
                  <c:v>42937</c:v>
                </c:pt>
                <c:pt idx="507">
                  <c:v>42938</c:v>
                </c:pt>
                <c:pt idx="508">
                  <c:v>42939</c:v>
                </c:pt>
                <c:pt idx="509">
                  <c:v>42940</c:v>
                </c:pt>
                <c:pt idx="510">
                  <c:v>42941</c:v>
                </c:pt>
                <c:pt idx="511">
                  <c:v>42942</c:v>
                </c:pt>
                <c:pt idx="512">
                  <c:v>42943</c:v>
                </c:pt>
                <c:pt idx="513">
                  <c:v>42944</c:v>
                </c:pt>
                <c:pt idx="514">
                  <c:v>42945</c:v>
                </c:pt>
                <c:pt idx="515">
                  <c:v>42946</c:v>
                </c:pt>
                <c:pt idx="516">
                  <c:v>42947</c:v>
                </c:pt>
                <c:pt idx="517">
                  <c:v>42948</c:v>
                </c:pt>
                <c:pt idx="518">
                  <c:v>42949</c:v>
                </c:pt>
                <c:pt idx="519">
                  <c:v>42950</c:v>
                </c:pt>
                <c:pt idx="520">
                  <c:v>42951</c:v>
                </c:pt>
                <c:pt idx="521">
                  <c:v>42952</c:v>
                </c:pt>
                <c:pt idx="522">
                  <c:v>42953</c:v>
                </c:pt>
                <c:pt idx="523">
                  <c:v>42954</c:v>
                </c:pt>
                <c:pt idx="524">
                  <c:v>42955</c:v>
                </c:pt>
                <c:pt idx="525">
                  <c:v>42956</c:v>
                </c:pt>
                <c:pt idx="526">
                  <c:v>42957</c:v>
                </c:pt>
                <c:pt idx="527">
                  <c:v>42958</c:v>
                </c:pt>
                <c:pt idx="528">
                  <c:v>42959</c:v>
                </c:pt>
                <c:pt idx="529">
                  <c:v>42960</c:v>
                </c:pt>
                <c:pt idx="530">
                  <c:v>42961</c:v>
                </c:pt>
                <c:pt idx="531">
                  <c:v>42962</c:v>
                </c:pt>
                <c:pt idx="532">
                  <c:v>42963</c:v>
                </c:pt>
                <c:pt idx="533">
                  <c:v>42964</c:v>
                </c:pt>
                <c:pt idx="534">
                  <c:v>42965</c:v>
                </c:pt>
                <c:pt idx="535">
                  <c:v>42966</c:v>
                </c:pt>
                <c:pt idx="536">
                  <c:v>42967</c:v>
                </c:pt>
                <c:pt idx="537">
                  <c:v>42968</c:v>
                </c:pt>
                <c:pt idx="538">
                  <c:v>42969</c:v>
                </c:pt>
                <c:pt idx="539">
                  <c:v>42970</c:v>
                </c:pt>
                <c:pt idx="540">
                  <c:v>42971</c:v>
                </c:pt>
                <c:pt idx="541">
                  <c:v>42972</c:v>
                </c:pt>
                <c:pt idx="542">
                  <c:v>42973</c:v>
                </c:pt>
                <c:pt idx="543">
                  <c:v>42974</c:v>
                </c:pt>
                <c:pt idx="544">
                  <c:v>42975</c:v>
                </c:pt>
                <c:pt idx="545">
                  <c:v>42976</c:v>
                </c:pt>
                <c:pt idx="546">
                  <c:v>42977</c:v>
                </c:pt>
                <c:pt idx="547">
                  <c:v>42978</c:v>
                </c:pt>
                <c:pt idx="548">
                  <c:v>42979</c:v>
                </c:pt>
                <c:pt idx="549">
                  <c:v>42980</c:v>
                </c:pt>
                <c:pt idx="550">
                  <c:v>42981</c:v>
                </c:pt>
                <c:pt idx="551">
                  <c:v>42982</c:v>
                </c:pt>
                <c:pt idx="552">
                  <c:v>42983</c:v>
                </c:pt>
                <c:pt idx="553">
                  <c:v>42984</c:v>
                </c:pt>
                <c:pt idx="554">
                  <c:v>42985</c:v>
                </c:pt>
                <c:pt idx="555">
                  <c:v>42986</c:v>
                </c:pt>
                <c:pt idx="556">
                  <c:v>42987</c:v>
                </c:pt>
                <c:pt idx="557">
                  <c:v>42988</c:v>
                </c:pt>
                <c:pt idx="558">
                  <c:v>42989</c:v>
                </c:pt>
                <c:pt idx="559">
                  <c:v>42990</c:v>
                </c:pt>
                <c:pt idx="560">
                  <c:v>42991</c:v>
                </c:pt>
                <c:pt idx="561">
                  <c:v>42992</c:v>
                </c:pt>
                <c:pt idx="562">
                  <c:v>42993</c:v>
                </c:pt>
                <c:pt idx="563">
                  <c:v>42994</c:v>
                </c:pt>
                <c:pt idx="564">
                  <c:v>42995</c:v>
                </c:pt>
                <c:pt idx="565">
                  <c:v>42996</c:v>
                </c:pt>
                <c:pt idx="566">
                  <c:v>42997</c:v>
                </c:pt>
                <c:pt idx="567">
                  <c:v>42998</c:v>
                </c:pt>
                <c:pt idx="568">
                  <c:v>42999</c:v>
                </c:pt>
                <c:pt idx="569">
                  <c:v>43000</c:v>
                </c:pt>
                <c:pt idx="570">
                  <c:v>43001</c:v>
                </c:pt>
                <c:pt idx="571">
                  <c:v>43002</c:v>
                </c:pt>
                <c:pt idx="572">
                  <c:v>43003</c:v>
                </c:pt>
                <c:pt idx="573">
                  <c:v>43004</c:v>
                </c:pt>
                <c:pt idx="574">
                  <c:v>43005</c:v>
                </c:pt>
                <c:pt idx="575">
                  <c:v>43006</c:v>
                </c:pt>
                <c:pt idx="576">
                  <c:v>43007</c:v>
                </c:pt>
                <c:pt idx="577">
                  <c:v>43008</c:v>
                </c:pt>
                <c:pt idx="578">
                  <c:v>43009</c:v>
                </c:pt>
                <c:pt idx="579">
                  <c:v>43010</c:v>
                </c:pt>
                <c:pt idx="580">
                  <c:v>43011</c:v>
                </c:pt>
                <c:pt idx="581">
                  <c:v>43012</c:v>
                </c:pt>
                <c:pt idx="582">
                  <c:v>43013</c:v>
                </c:pt>
                <c:pt idx="583">
                  <c:v>43014</c:v>
                </c:pt>
                <c:pt idx="584">
                  <c:v>43015</c:v>
                </c:pt>
                <c:pt idx="585">
                  <c:v>43016</c:v>
                </c:pt>
                <c:pt idx="586">
                  <c:v>43017</c:v>
                </c:pt>
                <c:pt idx="587">
                  <c:v>43018</c:v>
                </c:pt>
                <c:pt idx="588">
                  <c:v>43019</c:v>
                </c:pt>
                <c:pt idx="589">
                  <c:v>43020</c:v>
                </c:pt>
                <c:pt idx="590">
                  <c:v>43021</c:v>
                </c:pt>
                <c:pt idx="591">
                  <c:v>43022</c:v>
                </c:pt>
                <c:pt idx="592">
                  <c:v>43023</c:v>
                </c:pt>
                <c:pt idx="593">
                  <c:v>43024</c:v>
                </c:pt>
                <c:pt idx="594">
                  <c:v>43025</c:v>
                </c:pt>
                <c:pt idx="595">
                  <c:v>43026</c:v>
                </c:pt>
                <c:pt idx="596">
                  <c:v>43027</c:v>
                </c:pt>
                <c:pt idx="597">
                  <c:v>43028</c:v>
                </c:pt>
                <c:pt idx="598">
                  <c:v>43029</c:v>
                </c:pt>
                <c:pt idx="599">
                  <c:v>43030</c:v>
                </c:pt>
                <c:pt idx="600">
                  <c:v>43031</c:v>
                </c:pt>
                <c:pt idx="601">
                  <c:v>43032</c:v>
                </c:pt>
                <c:pt idx="602">
                  <c:v>43033</c:v>
                </c:pt>
                <c:pt idx="603">
                  <c:v>43034</c:v>
                </c:pt>
                <c:pt idx="604">
                  <c:v>43035</c:v>
                </c:pt>
                <c:pt idx="605">
                  <c:v>43036</c:v>
                </c:pt>
                <c:pt idx="606">
                  <c:v>43037</c:v>
                </c:pt>
                <c:pt idx="607">
                  <c:v>43038</c:v>
                </c:pt>
                <c:pt idx="608">
                  <c:v>43039</c:v>
                </c:pt>
                <c:pt idx="609">
                  <c:v>43040</c:v>
                </c:pt>
                <c:pt idx="610">
                  <c:v>43041</c:v>
                </c:pt>
                <c:pt idx="611">
                  <c:v>43042</c:v>
                </c:pt>
                <c:pt idx="612">
                  <c:v>43043</c:v>
                </c:pt>
                <c:pt idx="613">
                  <c:v>43044</c:v>
                </c:pt>
                <c:pt idx="614">
                  <c:v>43045</c:v>
                </c:pt>
                <c:pt idx="615">
                  <c:v>43046</c:v>
                </c:pt>
                <c:pt idx="616">
                  <c:v>43047</c:v>
                </c:pt>
                <c:pt idx="617">
                  <c:v>43048</c:v>
                </c:pt>
                <c:pt idx="618">
                  <c:v>43049</c:v>
                </c:pt>
                <c:pt idx="619">
                  <c:v>43050</c:v>
                </c:pt>
                <c:pt idx="620">
                  <c:v>43051</c:v>
                </c:pt>
                <c:pt idx="621">
                  <c:v>43052</c:v>
                </c:pt>
                <c:pt idx="622">
                  <c:v>43053</c:v>
                </c:pt>
                <c:pt idx="623">
                  <c:v>43054</c:v>
                </c:pt>
                <c:pt idx="624">
                  <c:v>43055</c:v>
                </c:pt>
                <c:pt idx="625">
                  <c:v>43056</c:v>
                </c:pt>
                <c:pt idx="626">
                  <c:v>43057</c:v>
                </c:pt>
                <c:pt idx="627">
                  <c:v>43058</c:v>
                </c:pt>
                <c:pt idx="628">
                  <c:v>43059</c:v>
                </c:pt>
                <c:pt idx="629">
                  <c:v>43060</c:v>
                </c:pt>
                <c:pt idx="630">
                  <c:v>43061</c:v>
                </c:pt>
                <c:pt idx="631">
                  <c:v>43062</c:v>
                </c:pt>
                <c:pt idx="632">
                  <c:v>43063</c:v>
                </c:pt>
                <c:pt idx="633">
                  <c:v>43064</c:v>
                </c:pt>
                <c:pt idx="634">
                  <c:v>43065</c:v>
                </c:pt>
                <c:pt idx="635">
                  <c:v>43066</c:v>
                </c:pt>
                <c:pt idx="636">
                  <c:v>43067</c:v>
                </c:pt>
                <c:pt idx="637">
                  <c:v>43068</c:v>
                </c:pt>
                <c:pt idx="638">
                  <c:v>43069</c:v>
                </c:pt>
                <c:pt idx="639">
                  <c:v>43070</c:v>
                </c:pt>
                <c:pt idx="640">
                  <c:v>43071</c:v>
                </c:pt>
                <c:pt idx="641">
                  <c:v>43072</c:v>
                </c:pt>
                <c:pt idx="642">
                  <c:v>43073</c:v>
                </c:pt>
                <c:pt idx="643">
                  <c:v>43074</c:v>
                </c:pt>
                <c:pt idx="644">
                  <c:v>43075</c:v>
                </c:pt>
                <c:pt idx="645">
                  <c:v>43076</c:v>
                </c:pt>
                <c:pt idx="646">
                  <c:v>43077</c:v>
                </c:pt>
                <c:pt idx="647">
                  <c:v>43078</c:v>
                </c:pt>
                <c:pt idx="648">
                  <c:v>43079</c:v>
                </c:pt>
                <c:pt idx="649">
                  <c:v>43080</c:v>
                </c:pt>
                <c:pt idx="650">
                  <c:v>43081</c:v>
                </c:pt>
                <c:pt idx="651">
                  <c:v>43082</c:v>
                </c:pt>
                <c:pt idx="652">
                  <c:v>43083</c:v>
                </c:pt>
                <c:pt idx="653">
                  <c:v>43084</c:v>
                </c:pt>
                <c:pt idx="654">
                  <c:v>43085</c:v>
                </c:pt>
                <c:pt idx="655">
                  <c:v>43086</c:v>
                </c:pt>
                <c:pt idx="656">
                  <c:v>43087</c:v>
                </c:pt>
                <c:pt idx="657">
                  <c:v>43088</c:v>
                </c:pt>
                <c:pt idx="658">
                  <c:v>43089</c:v>
                </c:pt>
                <c:pt idx="659">
                  <c:v>43090</c:v>
                </c:pt>
                <c:pt idx="660">
                  <c:v>43091</c:v>
                </c:pt>
                <c:pt idx="661">
                  <c:v>43092</c:v>
                </c:pt>
                <c:pt idx="662">
                  <c:v>43093</c:v>
                </c:pt>
                <c:pt idx="663">
                  <c:v>43094</c:v>
                </c:pt>
                <c:pt idx="664">
                  <c:v>43095</c:v>
                </c:pt>
                <c:pt idx="665">
                  <c:v>43096</c:v>
                </c:pt>
                <c:pt idx="666">
                  <c:v>43097</c:v>
                </c:pt>
                <c:pt idx="667">
                  <c:v>43098</c:v>
                </c:pt>
                <c:pt idx="668">
                  <c:v>43099</c:v>
                </c:pt>
                <c:pt idx="669">
                  <c:v>43100</c:v>
                </c:pt>
                <c:pt idx="670">
                  <c:v>43101</c:v>
                </c:pt>
                <c:pt idx="671">
                  <c:v>43102</c:v>
                </c:pt>
                <c:pt idx="672">
                  <c:v>43103</c:v>
                </c:pt>
                <c:pt idx="673">
                  <c:v>43104</c:v>
                </c:pt>
                <c:pt idx="674">
                  <c:v>43105</c:v>
                </c:pt>
                <c:pt idx="675">
                  <c:v>43106</c:v>
                </c:pt>
                <c:pt idx="676">
                  <c:v>43107</c:v>
                </c:pt>
                <c:pt idx="677">
                  <c:v>43108</c:v>
                </c:pt>
                <c:pt idx="678">
                  <c:v>43109</c:v>
                </c:pt>
                <c:pt idx="679">
                  <c:v>43110</c:v>
                </c:pt>
                <c:pt idx="680">
                  <c:v>43111</c:v>
                </c:pt>
                <c:pt idx="681">
                  <c:v>43112</c:v>
                </c:pt>
                <c:pt idx="682">
                  <c:v>43113</c:v>
                </c:pt>
                <c:pt idx="683">
                  <c:v>43114</c:v>
                </c:pt>
                <c:pt idx="684">
                  <c:v>43115</c:v>
                </c:pt>
                <c:pt idx="685">
                  <c:v>43116</c:v>
                </c:pt>
                <c:pt idx="686">
                  <c:v>43117</c:v>
                </c:pt>
                <c:pt idx="687">
                  <c:v>43118</c:v>
                </c:pt>
                <c:pt idx="688">
                  <c:v>43119</c:v>
                </c:pt>
                <c:pt idx="689">
                  <c:v>43120</c:v>
                </c:pt>
                <c:pt idx="690">
                  <c:v>43121</c:v>
                </c:pt>
                <c:pt idx="691">
                  <c:v>43122</c:v>
                </c:pt>
                <c:pt idx="692">
                  <c:v>43123</c:v>
                </c:pt>
                <c:pt idx="693">
                  <c:v>43124</c:v>
                </c:pt>
                <c:pt idx="694">
                  <c:v>43125</c:v>
                </c:pt>
                <c:pt idx="695">
                  <c:v>43126</c:v>
                </c:pt>
                <c:pt idx="696">
                  <c:v>43127</c:v>
                </c:pt>
                <c:pt idx="697">
                  <c:v>43128</c:v>
                </c:pt>
                <c:pt idx="698">
                  <c:v>43129</c:v>
                </c:pt>
                <c:pt idx="699">
                  <c:v>43130</c:v>
                </c:pt>
                <c:pt idx="700">
                  <c:v>43131</c:v>
                </c:pt>
                <c:pt idx="701">
                  <c:v>43132</c:v>
                </c:pt>
                <c:pt idx="702">
                  <c:v>43133</c:v>
                </c:pt>
                <c:pt idx="703">
                  <c:v>43134</c:v>
                </c:pt>
                <c:pt idx="704">
                  <c:v>43135</c:v>
                </c:pt>
                <c:pt idx="705">
                  <c:v>43136</c:v>
                </c:pt>
                <c:pt idx="706">
                  <c:v>43137</c:v>
                </c:pt>
                <c:pt idx="707">
                  <c:v>43138</c:v>
                </c:pt>
                <c:pt idx="708">
                  <c:v>43139</c:v>
                </c:pt>
                <c:pt idx="709">
                  <c:v>43140</c:v>
                </c:pt>
                <c:pt idx="710">
                  <c:v>43141</c:v>
                </c:pt>
                <c:pt idx="711">
                  <c:v>43142</c:v>
                </c:pt>
                <c:pt idx="712">
                  <c:v>43143</c:v>
                </c:pt>
                <c:pt idx="713">
                  <c:v>43144</c:v>
                </c:pt>
                <c:pt idx="714">
                  <c:v>43145</c:v>
                </c:pt>
                <c:pt idx="715">
                  <c:v>43146</c:v>
                </c:pt>
                <c:pt idx="716">
                  <c:v>43147</c:v>
                </c:pt>
                <c:pt idx="717">
                  <c:v>43148</c:v>
                </c:pt>
                <c:pt idx="718">
                  <c:v>43149</c:v>
                </c:pt>
                <c:pt idx="719">
                  <c:v>43150</c:v>
                </c:pt>
                <c:pt idx="720">
                  <c:v>43151</c:v>
                </c:pt>
                <c:pt idx="721">
                  <c:v>43152</c:v>
                </c:pt>
                <c:pt idx="722">
                  <c:v>43153</c:v>
                </c:pt>
                <c:pt idx="723">
                  <c:v>43154</c:v>
                </c:pt>
                <c:pt idx="724">
                  <c:v>43155</c:v>
                </c:pt>
                <c:pt idx="725">
                  <c:v>43156</c:v>
                </c:pt>
                <c:pt idx="726">
                  <c:v>43157</c:v>
                </c:pt>
                <c:pt idx="727">
                  <c:v>43158</c:v>
                </c:pt>
                <c:pt idx="728">
                  <c:v>43159</c:v>
                </c:pt>
                <c:pt idx="729">
                  <c:v>43160</c:v>
                </c:pt>
                <c:pt idx="730">
                  <c:v>43161</c:v>
                </c:pt>
                <c:pt idx="731">
                  <c:v>43162</c:v>
                </c:pt>
                <c:pt idx="732">
                  <c:v>43163</c:v>
                </c:pt>
                <c:pt idx="733">
                  <c:v>43164</c:v>
                </c:pt>
                <c:pt idx="734">
                  <c:v>43165</c:v>
                </c:pt>
                <c:pt idx="735">
                  <c:v>43166</c:v>
                </c:pt>
                <c:pt idx="736">
                  <c:v>43167</c:v>
                </c:pt>
                <c:pt idx="737">
                  <c:v>43168</c:v>
                </c:pt>
                <c:pt idx="738">
                  <c:v>43169</c:v>
                </c:pt>
                <c:pt idx="739">
                  <c:v>43170</c:v>
                </c:pt>
                <c:pt idx="740">
                  <c:v>43171</c:v>
                </c:pt>
                <c:pt idx="741">
                  <c:v>43172</c:v>
                </c:pt>
                <c:pt idx="742">
                  <c:v>43173</c:v>
                </c:pt>
                <c:pt idx="743">
                  <c:v>43174</c:v>
                </c:pt>
                <c:pt idx="744">
                  <c:v>43175</c:v>
                </c:pt>
                <c:pt idx="745">
                  <c:v>43176</c:v>
                </c:pt>
                <c:pt idx="746">
                  <c:v>43177</c:v>
                </c:pt>
                <c:pt idx="747">
                  <c:v>43178</c:v>
                </c:pt>
                <c:pt idx="748">
                  <c:v>43179</c:v>
                </c:pt>
                <c:pt idx="749">
                  <c:v>43180</c:v>
                </c:pt>
                <c:pt idx="750">
                  <c:v>43181</c:v>
                </c:pt>
                <c:pt idx="751">
                  <c:v>43182</c:v>
                </c:pt>
                <c:pt idx="752">
                  <c:v>43183</c:v>
                </c:pt>
                <c:pt idx="753">
                  <c:v>43184</c:v>
                </c:pt>
                <c:pt idx="754">
                  <c:v>43185</c:v>
                </c:pt>
                <c:pt idx="755">
                  <c:v>43186</c:v>
                </c:pt>
                <c:pt idx="756">
                  <c:v>43187</c:v>
                </c:pt>
                <c:pt idx="757">
                  <c:v>43188</c:v>
                </c:pt>
                <c:pt idx="758">
                  <c:v>43189</c:v>
                </c:pt>
                <c:pt idx="759">
                  <c:v>43190</c:v>
                </c:pt>
                <c:pt idx="760">
                  <c:v>43191</c:v>
                </c:pt>
                <c:pt idx="761">
                  <c:v>43192</c:v>
                </c:pt>
                <c:pt idx="762">
                  <c:v>43193</c:v>
                </c:pt>
                <c:pt idx="763">
                  <c:v>43194</c:v>
                </c:pt>
                <c:pt idx="764">
                  <c:v>43195</c:v>
                </c:pt>
                <c:pt idx="765">
                  <c:v>43196</c:v>
                </c:pt>
                <c:pt idx="766">
                  <c:v>43197</c:v>
                </c:pt>
                <c:pt idx="767">
                  <c:v>43198</c:v>
                </c:pt>
                <c:pt idx="768">
                  <c:v>43199</c:v>
                </c:pt>
                <c:pt idx="769">
                  <c:v>43200</c:v>
                </c:pt>
                <c:pt idx="770">
                  <c:v>43201</c:v>
                </c:pt>
                <c:pt idx="771">
                  <c:v>43202</c:v>
                </c:pt>
                <c:pt idx="772">
                  <c:v>43203</c:v>
                </c:pt>
                <c:pt idx="773">
                  <c:v>43204</c:v>
                </c:pt>
                <c:pt idx="774">
                  <c:v>43205</c:v>
                </c:pt>
                <c:pt idx="775">
                  <c:v>43206</c:v>
                </c:pt>
                <c:pt idx="776">
                  <c:v>43207</c:v>
                </c:pt>
                <c:pt idx="777">
                  <c:v>43208</c:v>
                </c:pt>
                <c:pt idx="778">
                  <c:v>43209</c:v>
                </c:pt>
                <c:pt idx="779">
                  <c:v>43210</c:v>
                </c:pt>
                <c:pt idx="780">
                  <c:v>43211</c:v>
                </c:pt>
                <c:pt idx="781">
                  <c:v>43212</c:v>
                </c:pt>
                <c:pt idx="782">
                  <c:v>43213</c:v>
                </c:pt>
                <c:pt idx="783">
                  <c:v>43214</c:v>
                </c:pt>
                <c:pt idx="784">
                  <c:v>43215</c:v>
                </c:pt>
                <c:pt idx="785">
                  <c:v>43216</c:v>
                </c:pt>
                <c:pt idx="786">
                  <c:v>43217</c:v>
                </c:pt>
                <c:pt idx="787">
                  <c:v>43218</c:v>
                </c:pt>
                <c:pt idx="788">
                  <c:v>43219</c:v>
                </c:pt>
                <c:pt idx="789">
                  <c:v>43220</c:v>
                </c:pt>
                <c:pt idx="790">
                  <c:v>43221</c:v>
                </c:pt>
                <c:pt idx="791">
                  <c:v>43222</c:v>
                </c:pt>
                <c:pt idx="792">
                  <c:v>43223</c:v>
                </c:pt>
                <c:pt idx="793">
                  <c:v>43224</c:v>
                </c:pt>
                <c:pt idx="794">
                  <c:v>43225</c:v>
                </c:pt>
                <c:pt idx="795">
                  <c:v>43226</c:v>
                </c:pt>
                <c:pt idx="796">
                  <c:v>43227</c:v>
                </c:pt>
                <c:pt idx="797">
                  <c:v>43228</c:v>
                </c:pt>
                <c:pt idx="798">
                  <c:v>43229</c:v>
                </c:pt>
                <c:pt idx="799">
                  <c:v>43230</c:v>
                </c:pt>
                <c:pt idx="800">
                  <c:v>43231</c:v>
                </c:pt>
                <c:pt idx="801">
                  <c:v>43232</c:v>
                </c:pt>
                <c:pt idx="802">
                  <c:v>43233</c:v>
                </c:pt>
                <c:pt idx="803">
                  <c:v>43234</c:v>
                </c:pt>
                <c:pt idx="804">
                  <c:v>43235</c:v>
                </c:pt>
                <c:pt idx="805">
                  <c:v>43236</c:v>
                </c:pt>
                <c:pt idx="806">
                  <c:v>43237</c:v>
                </c:pt>
                <c:pt idx="807">
                  <c:v>43238</c:v>
                </c:pt>
                <c:pt idx="808">
                  <c:v>43239</c:v>
                </c:pt>
                <c:pt idx="809">
                  <c:v>43240</c:v>
                </c:pt>
                <c:pt idx="810">
                  <c:v>43241</c:v>
                </c:pt>
                <c:pt idx="811">
                  <c:v>43242</c:v>
                </c:pt>
                <c:pt idx="812">
                  <c:v>43243</c:v>
                </c:pt>
                <c:pt idx="813">
                  <c:v>43244</c:v>
                </c:pt>
                <c:pt idx="814">
                  <c:v>43245</c:v>
                </c:pt>
                <c:pt idx="815">
                  <c:v>43246</c:v>
                </c:pt>
                <c:pt idx="816">
                  <c:v>43247</c:v>
                </c:pt>
                <c:pt idx="817">
                  <c:v>43248</c:v>
                </c:pt>
                <c:pt idx="818">
                  <c:v>43249</c:v>
                </c:pt>
                <c:pt idx="819">
                  <c:v>43250</c:v>
                </c:pt>
                <c:pt idx="820">
                  <c:v>43251</c:v>
                </c:pt>
                <c:pt idx="821">
                  <c:v>43252</c:v>
                </c:pt>
                <c:pt idx="822">
                  <c:v>43253</c:v>
                </c:pt>
                <c:pt idx="823">
                  <c:v>43254</c:v>
                </c:pt>
                <c:pt idx="824">
                  <c:v>43255</c:v>
                </c:pt>
                <c:pt idx="825">
                  <c:v>43256</c:v>
                </c:pt>
                <c:pt idx="826">
                  <c:v>43257</c:v>
                </c:pt>
                <c:pt idx="827">
                  <c:v>43258</c:v>
                </c:pt>
                <c:pt idx="828">
                  <c:v>43259</c:v>
                </c:pt>
                <c:pt idx="829">
                  <c:v>43260</c:v>
                </c:pt>
                <c:pt idx="830">
                  <c:v>43261</c:v>
                </c:pt>
                <c:pt idx="831">
                  <c:v>43262</c:v>
                </c:pt>
                <c:pt idx="832">
                  <c:v>43263</c:v>
                </c:pt>
                <c:pt idx="833">
                  <c:v>43264</c:v>
                </c:pt>
                <c:pt idx="834">
                  <c:v>43265</c:v>
                </c:pt>
                <c:pt idx="835">
                  <c:v>43266</c:v>
                </c:pt>
                <c:pt idx="836">
                  <c:v>43267</c:v>
                </c:pt>
                <c:pt idx="837">
                  <c:v>43268</c:v>
                </c:pt>
                <c:pt idx="838">
                  <c:v>43269</c:v>
                </c:pt>
                <c:pt idx="839">
                  <c:v>43270</c:v>
                </c:pt>
                <c:pt idx="840">
                  <c:v>43271</c:v>
                </c:pt>
                <c:pt idx="841">
                  <c:v>43272</c:v>
                </c:pt>
                <c:pt idx="842">
                  <c:v>43273</c:v>
                </c:pt>
                <c:pt idx="843">
                  <c:v>43274</c:v>
                </c:pt>
                <c:pt idx="844">
                  <c:v>43275</c:v>
                </c:pt>
                <c:pt idx="845">
                  <c:v>43276</c:v>
                </c:pt>
                <c:pt idx="846">
                  <c:v>43277</c:v>
                </c:pt>
                <c:pt idx="847">
                  <c:v>43278</c:v>
                </c:pt>
                <c:pt idx="848">
                  <c:v>43279</c:v>
                </c:pt>
                <c:pt idx="849">
                  <c:v>43280</c:v>
                </c:pt>
                <c:pt idx="850">
                  <c:v>43281</c:v>
                </c:pt>
                <c:pt idx="851">
                  <c:v>43282</c:v>
                </c:pt>
                <c:pt idx="852">
                  <c:v>43283</c:v>
                </c:pt>
                <c:pt idx="853">
                  <c:v>43284</c:v>
                </c:pt>
                <c:pt idx="854">
                  <c:v>43285</c:v>
                </c:pt>
                <c:pt idx="855">
                  <c:v>43286</c:v>
                </c:pt>
                <c:pt idx="856">
                  <c:v>43287</c:v>
                </c:pt>
                <c:pt idx="857">
                  <c:v>43288</c:v>
                </c:pt>
                <c:pt idx="858">
                  <c:v>43289</c:v>
                </c:pt>
                <c:pt idx="859">
                  <c:v>43290</c:v>
                </c:pt>
                <c:pt idx="860">
                  <c:v>43291</c:v>
                </c:pt>
                <c:pt idx="861">
                  <c:v>43292</c:v>
                </c:pt>
                <c:pt idx="862">
                  <c:v>43293</c:v>
                </c:pt>
                <c:pt idx="863">
                  <c:v>43294</c:v>
                </c:pt>
                <c:pt idx="864">
                  <c:v>43295</c:v>
                </c:pt>
                <c:pt idx="865">
                  <c:v>43296</c:v>
                </c:pt>
                <c:pt idx="866">
                  <c:v>43297</c:v>
                </c:pt>
                <c:pt idx="867">
                  <c:v>43298</c:v>
                </c:pt>
                <c:pt idx="868">
                  <c:v>43299</c:v>
                </c:pt>
                <c:pt idx="869">
                  <c:v>43300</c:v>
                </c:pt>
                <c:pt idx="870">
                  <c:v>43301</c:v>
                </c:pt>
                <c:pt idx="871">
                  <c:v>43302</c:v>
                </c:pt>
                <c:pt idx="872">
                  <c:v>43303</c:v>
                </c:pt>
                <c:pt idx="873">
                  <c:v>43304</c:v>
                </c:pt>
                <c:pt idx="874">
                  <c:v>43305</c:v>
                </c:pt>
                <c:pt idx="875">
                  <c:v>43306</c:v>
                </c:pt>
                <c:pt idx="876">
                  <c:v>43307</c:v>
                </c:pt>
                <c:pt idx="877">
                  <c:v>43308</c:v>
                </c:pt>
                <c:pt idx="878">
                  <c:v>43309</c:v>
                </c:pt>
                <c:pt idx="879">
                  <c:v>43310</c:v>
                </c:pt>
                <c:pt idx="880">
                  <c:v>43311</c:v>
                </c:pt>
                <c:pt idx="881">
                  <c:v>43312</c:v>
                </c:pt>
                <c:pt idx="882">
                  <c:v>43313</c:v>
                </c:pt>
                <c:pt idx="883">
                  <c:v>43314</c:v>
                </c:pt>
                <c:pt idx="884">
                  <c:v>43315</c:v>
                </c:pt>
                <c:pt idx="885">
                  <c:v>43316</c:v>
                </c:pt>
                <c:pt idx="886">
                  <c:v>43317</c:v>
                </c:pt>
                <c:pt idx="887">
                  <c:v>43318</c:v>
                </c:pt>
                <c:pt idx="888">
                  <c:v>43319</c:v>
                </c:pt>
                <c:pt idx="889">
                  <c:v>43320</c:v>
                </c:pt>
                <c:pt idx="890">
                  <c:v>43321</c:v>
                </c:pt>
                <c:pt idx="891">
                  <c:v>43322</c:v>
                </c:pt>
                <c:pt idx="892">
                  <c:v>43323</c:v>
                </c:pt>
                <c:pt idx="893">
                  <c:v>43324</c:v>
                </c:pt>
                <c:pt idx="894">
                  <c:v>43325</c:v>
                </c:pt>
                <c:pt idx="895">
                  <c:v>43326</c:v>
                </c:pt>
                <c:pt idx="896">
                  <c:v>43327</c:v>
                </c:pt>
                <c:pt idx="897">
                  <c:v>43328</c:v>
                </c:pt>
                <c:pt idx="898">
                  <c:v>43329</c:v>
                </c:pt>
                <c:pt idx="899">
                  <c:v>43330</c:v>
                </c:pt>
                <c:pt idx="900">
                  <c:v>43331</c:v>
                </c:pt>
                <c:pt idx="901">
                  <c:v>43332</c:v>
                </c:pt>
                <c:pt idx="902">
                  <c:v>43333</c:v>
                </c:pt>
                <c:pt idx="903">
                  <c:v>43334</c:v>
                </c:pt>
                <c:pt idx="904">
                  <c:v>43335</c:v>
                </c:pt>
                <c:pt idx="905">
                  <c:v>43336</c:v>
                </c:pt>
                <c:pt idx="906">
                  <c:v>43337</c:v>
                </c:pt>
                <c:pt idx="907">
                  <c:v>43338</c:v>
                </c:pt>
                <c:pt idx="908">
                  <c:v>43339</c:v>
                </c:pt>
                <c:pt idx="909">
                  <c:v>43340</c:v>
                </c:pt>
                <c:pt idx="910">
                  <c:v>43341</c:v>
                </c:pt>
                <c:pt idx="911">
                  <c:v>43342</c:v>
                </c:pt>
                <c:pt idx="912">
                  <c:v>43343</c:v>
                </c:pt>
                <c:pt idx="913">
                  <c:v>43344</c:v>
                </c:pt>
                <c:pt idx="914">
                  <c:v>43345</c:v>
                </c:pt>
                <c:pt idx="915">
                  <c:v>43346</c:v>
                </c:pt>
                <c:pt idx="916">
                  <c:v>43347</c:v>
                </c:pt>
                <c:pt idx="917">
                  <c:v>43348</c:v>
                </c:pt>
                <c:pt idx="918">
                  <c:v>43349</c:v>
                </c:pt>
                <c:pt idx="919">
                  <c:v>43350</c:v>
                </c:pt>
                <c:pt idx="920">
                  <c:v>43351</c:v>
                </c:pt>
                <c:pt idx="921">
                  <c:v>43352</c:v>
                </c:pt>
                <c:pt idx="922">
                  <c:v>43353</c:v>
                </c:pt>
                <c:pt idx="923">
                  <c:v>43354</c:v>
                </c:pt>
                <c:pt idx="924">
                  <c:v>43355</c:v>
                </c:pt>
                <c:pt idx="925">
                  <c:v>43356</c:v>
                </c:pt>
                <c:pt idx="926">
                  <c:v>43357</c:v>
                </c:pt>
                <c:pt idx="927">
                  <c:v>43358</c:v>
                </c:pt>
                <c:pt idx="928">
                  <c:v>43359</c:v>
                </c:pt>
                <c:pt idx="929">
                  <c:v>43360</c:v>
                </c:pt>
                <c:pt idx="930">
                  <c:v>43361</c:v>
                </c:pt>
                <c:pt idx="931">
                  <c:v>43362</c:v>
                </c:pt>
                <c:pt idx="932">
                  <c:v>43363</c:v>
                </c:pt>
                <c:pt idx="933">
                  <c:v>43364</c:v>
                </c:pt>
                <c:pt idx="934">
                  <c:v>43365</c:v>
                </c:pt>
                <c:pt idx="935">
                  <c:v>43366</c:v>
                </c:pt>
                <c:pt idx="936">
                  <c:v>43367</c:v>
                </c:pt>
                <c:pt idx="937">
                  <c:v>43368</c:v>
                </c:pt>
                <c:pt idx="938">
                  <c:v>43369</c:v>
                </c:pt>
                <c:pt idx="939">
                  <c:v>43370</c:v>
                </c:pt>
                <c:pt idx="940">
                  <c:v>43371</c:v>
                </c:pt>
                <c:pt idx="941">
                  <c:v>43372</c:v>
                </c:pt>
                <c:pt idx="942">
                  <c:v>43373</c:v>
                </c:pt>
                <c:pt idx="943">
                  <c:v>43374</c:v>
                </c:pt>
                <c:pt idx="944">
                  <c:v>43375</c:v>
                </c:pt>
                <c:pt idx="945">
                  <c:v>43376</c:v>
                </c:pt>
                <c:pt idx="946">
                  <c:v>43377</c:v>
                </c:pt>
                <c:pt idx="947">
                  <c:v>43378</c:v>
                </c:pt>
                <c:pt idx="948">
                  <c:v>43379</c:v>
                </c:pt>
                <c:pt idx="949">
                  <c:v>43380</c:v>
                </c:pt>
                <c:pt idx="950">
                  <c:v>43381</c:v>
                </c:pt>
                <c:pt idx="951">
                  <c:v>43382</c:v>
                </c:pt>
                <c:pt idx="952">
                  <c:v>43383</c:v>
                </c:pt>
                <c:pt idx="953">
                  <c:v>43384</c:v>
                </c:pt>
                <c:pt idx="954">
                  <c:v>43385</c:v>
                </c:pt>
                <c:pt idx="955">
                  <c:v>43386</c:v>
                </c:pt>
                <c:pt idx="956">
                  <c:v>43387</c:v>
                </c:pt>
                <c:pt idx="957">
                  <c:v>43388</c:v>
                </c:pt>
                <c:pt idx="958">
                  <c:v>43389</c:v>
                </c:pt>
                <c:pt idx="959">
                  <c:v>43390</c:v>
                </c:pt>
                <c:pt idx="960">
                  <c:v>43391</c:v>
                </c:pt>
                <c:pt idx="961">
                  <c:v>43392</c:v>
                </c:pt>
                <c:pt idx="962">
                  <c:v>43393</c:v>
                </c:pt>
                <c:pt idx="963">
                  <c:v>43394</c:v>
                </c:pt>
                <c:pt idx="964">
                  <c:v>43395</c:v>
                </c:pt>
                <c:pt idx="965">
                  <c:v>43396</c:v>
                </c:pt>
                <c:pt idx="966">
                  <c:v>43397</c:v>
                </c:pt>
                <c:pt idx="967">
                  <c:v>43398</c:v>
                </c:pt>
                <c:pt idx="968">
                  <c:v>43399</c:v>
                </c:pt>
                <c:pt idx="969">
                  <c:v>43400</c:v>
                </c:pt>
                <c:pt idx="970">
                  <c:v>43401</c:v>
                </c:pt>
                <c:pt idx="971">
                  <c:v>43402</c:v>
                </c:pt>
                <c:pt idx="972">
                  <c:v>43403</c:v>
                </c:pt>
                <c:pt idx="973">
                  <c:v>43404</c:v>
                </c:pt>
                <c:pt idx="974">
                  <c:v>43405</c:v>
                </c:pt>
                <c:pt idx="975">
                  <c:v>43406</c:v>
                </c:pt>
                <c:pt idx="976">
                  <c:v>43407</c:v>
                </c:pt>
                <c:pt idx="977">
                  <c:v>43408</c:v>
                </c:pt>
                <c:pt idx="978">
                  <c:v>43409</c:v>
                </c:pt>
                <c:pt idx="979">
                  <c:v>43410</c:v>
                </c:pt>
                <c:pt idx="980">
                  <c:v>43411</c:v>
                </c:pt>
                <c:pt idx="981">
                  <c:v>43412</c:v>
                </c:pt>
                <c:pt idx="982">
                  <c:v>43413</c:v>
                </c:pt>
                <c:pt idx="983">
                  <c:v>43414</c:v>
                </c:pt>
                <c:pt idx="984">
                  <c:v>43415</c:v>
                </c:pt>
                <c:pt idx="985">
                  <c:v>43416</c:v>
                </c:pt>
                <c:pt idx="986">
                  <c:v>43417</c:v>
                </c:pt>
                <c:pt idx="987">
                  <c:v>43418</c:v>
                </c:pt>
                <c:pt idx="988">
                  <c:v>43419</c:v>
                </c:pt>
                <c:pt idx="989">
                  <c:v>43420</c:v>
                </c:pt>
                <c:pt idx="990">
                  <c:v>43421</c:v>
                </c:pt>
                <c:pt idx="991">
                  <c:v>43422</c:v>
                </c:pt>
                <c:pt idx="992">
                  <c:v>43423</c:v>
                </c:pt>
                <c:pt idx="993">
                  <c:v>43424</c:v>
                </c:pt>
                <c:pt idx="994">
                  <c:v>43425</c:v>
                </c:pt>
                <c:pt idx="995">
                  <c:v>43426</c:v>
                </c:pt>
                <c:pt idx="996">
                  <c:v>43427</c:v>
                </c:pt>
                <c:pt idx="997">
                  <c:v>43428</c:v>
                </c:pt>
                <c:pt idx="998">
                  <c:v>43429</c:v>
                </c:pt>
                <c:pt idx="999">
                  <c:v>43430</c:v>
                </c:pt>
                <c:pt idx="1000">
                  <c:v>43431</c:v>
                </c:pt>
                <c:pt idx="1001">
                  <c:v>43432</c:v>
                </c:pt>
                <c:pt idx="1002">
                  <c:v>43433</c:v>
                </c:pt>
                <c:pt idx="1003">
                  <c:v>43434</c:v>
                </c:pt>
                <c:pt idx="1004">
                  <c:v>43435</c:v>
                </c:pt>
                <c:pt idx="1005">
                  <c:v>43436</c:v>
                </c:pt>
                <c:pt idx="1006">
                  <c:v>43437</c:v>
                </c:pt>
                <c:pt idx="1007">
                  <c:v>43438</c:v>
                </c:pt>
                <c:pt idx="1008">
                  <c:v>43439</c:v>
                </c:pt>
                <c:pt idx="1009">
                  <c:v>43440</c:v>
                </c:pt>
                <c:pt idx="1010">
                  <c:v>43441</c:v>
                </c:pt>
                <c:pt idx="1011">
                  <c:v>43442</c:v>
                </c:pt>
                <c:pt idx="1012">
                  <c:v>43443</c:v>
                </c:pt>
                <c:pt idx="1013">
                  <c:v>43444</c:v>
                </c:pt>
                <c:pt idx="1014">
                  <c:v>43445</c:v>
                </c:pt>
                <c:pt idx="1015">
                  <c:v>43446</c:v>
                </c:pt>
                <c:pt idx="1016">
                  <c:v>43447</c:v>
                </c:pt>
                <c:pt idx="1017">
                  <c:v>43448</c:v>
                </c:pt>
                <c:pt idx="1018">
                  <c:v>43449</c:v>
                </c:pt>
                <c:pt idx="1019">
                  <c:v>43450</c:v>
                </c:pt>
                <c:pt idx="1020">
                  <c:v>43451</c:v>
                </c:pt>
                <c:pt idx="1021">
                  <c:v>43452</c:v>
                </c:pt>
                <c:pt idx="1022">
                  <c:v>43453</c:v>
                </c:pt>
                <c:pt idx="1023">
                  <c:v>43454</c:v>
                </c:pt>
                <c:pt idx="1024">
                  <c:v>43455</c:v>
                </c:pt>
                <c:pt idx="1025">
                  <c:v>43456</c:v>
                </c:pt>
                <c:pt idx="1026">
                  <c:v>43457</c:v>
                </c:pt>
                <c:pt idx="1027">
                  <c:v>43458</c:v>
                </c:pt>
                <c:pt idx="1028">
                  <c:v>43459</c:v>
                </c:pt>
                <c:pt idx="1029">
                  <c:v>43460</c:v>
                </c:pt>
                <c:pt idx="1030">
                  <c:v>43461</c:v>
                </c:pt>
                <c:pt idx="1031">
                  <c:v>43462</c:v>
                </c:pt>
                <c:pt idx="1032">
                  <c:v>43463</c:v>
                </c:pt>
                <c:pt idx="1033">
                  <c:v>43464</c:v>
                </c:pt>
                <c:pt idx="1034">
                  <c:v>43465</c:v>
                </c:pt>
                <c:pt idx="1035">
                  <c:v>43466</c:v>
                </c:pt>
                <c:pt idx="1036">
                  <c:v>43467</c:v>
                </c:pt>
                <c:pt idx="1037">
                  <c:v>43468</c:v>
                </c:pt>
                <c:pt idx="1038">
                  <c:v>43469</c:v>
                </c:pt>
                <c:pt idx="1039">
                  <c:v>43470</c:v>
                </c:pt>
                <c:pt idx="1040">
                  <c:v>43471</c:v>
                </c:pt>
                <c:pt idx="1041">
                  <c:v>43472</c:v>
                </c:pt>
                <c:pt idx="1042">
                  <c:v>43473</c:v>
                </c:pt>
                <c:pt idx="1043">
                  <c:v>43474</c:v>
                </c:pt>
                <c:pt idx="1044">
                  <c:v>43475</c:v>
                </c:pt>
                <c:pt idx="1045">
                  <c:v>43476</c:v>
                </c:pt>
                <c:pt idx="1046">
                  <c:v>43477</c:v>
                </c:pt>
                <c:pt idx="1047">
                  <c:v>43478</c:v>
                </c:pt>
                <c:pt idx="1048">
                  <c:v>43479</c:v>
                </c:pt>
                <c:pt idx="1049">
                  <c:v>43480</c:v>
                </c:pt>
                <c:pt idx="1050">
                  <c:v>43481</c:v>
                </c:pt>
                <c:pt idx="1051">
                  <c:v>43482</c:v>
                </c:pt>
                <c:pt idx="1052">
                  <c:v>43483</c:v>
                </c:pt>
                <c:pt idx="1053">
                  <c:v>43484</c:v>
                </c:pt>
                <c:pt idx="1054">
                  <c:v>43485</c:v>
                </c:pt>
                <c:pt idx="1055">
                  <c:v>43486</c:v>
                </c:pt>
                <c:pt idx="1056">
                  <c:v>43487</c:v>
                </c:pt>
                <c:pt idx="1057">
                  <c:v>43488</c:v>
                </c:pt>
                <c:pt idx="1058">
                  <c:v>43489</c:v>
                </c:pt>
                <c:pt idx="1059">
                  <c:v>43490</c:v>
                </c:pt>
                <c:pt idx="1060">
                  <c:v>43491</c:v>
                </c:pt>
                <c:pt idx="1061">
                  <c:v>43492</c:v>
                </c:pt>
                <c:pt idx="1062">
                  <c:v>43493</c:v>
                </c:pt>
                <c:pt idx="1063">
                  <c:v>43494</c:v>
                </c:pt>
                <c:pt idx="1064">
                  <c:v>43495</c:v>
                </c:pt>
                <c:pt idx="1065">
                  <c:v>43496</c:v>
                </c:pt>
                <c:pt idx="1066">
                  <c:v>43497</c:v>
                </c:pt>
                <c:pt idx="1067">
                  <c:v>43498</c:v>
                </c:pt>
                <c:pt idx="1068">
                  <c:v>43499</c:v>
                </c:pt>
                <c:pt idx="1069">
                  <c:v>43500</c:v>
                </c:pt>
                <c:pt idx="1070">
                  <c:v>43501</c:v>
                </c:pt>
                <c:pt idx="1071">
                  <c:v>43502</c:v>
                </c:pt>
                <c:pt idx="1072">
                  <c:v>43503</c:v>
                </c:pt>
                <c:pt idx="1073">
                  <c:v>43504</c:v>
                </c:pt>
                <c:pt idx="1074">
                  <c:v>43505</c:v>
                </c:pt>
                <c:pt idx="1075">
                  <c:v>43506</c:v>
                </c:pt>
                <c:pt idx="1076">
                  <c:v>43507</c:v>
                </c:pt>
                <c:pt idx="1077">
                  <c:v>43508</c:v>
                </c:pt>
                <c:pt idx="1078">
                  <c:v>43509</c:v>
                </c:pt>
                <c:pt idx="1079">
                  <c:v>43510</c:v>
                </c:pt>
                <c:pt idx="1080">
                  <c:v>43511</c:v>
                </c:pt>
                <c:pt idx="1081">
                  <c:v>43512</c:v>
                </c:pt>
                <c:pt idx="1082">
                  <c:v>43513</c:v>
                </c:pt>
                <c:pt idx="1083">
                  <c:v>43514</c:v>
                </c:pt>
                <c:pt idx="1084">
                  <c:v>43515</c:v>
                </c:pt>
                <c:pt idx="1085">
                  <c:v>43516</c:v>
                </c:pt>
                <c:pt idx="1086">
                  <c:v>43517</c:v>
                </c:pt>
                <c:pt idx="1087">
                  <c:v>43518</c:v>
                </c:pt>
                <c:pt idx="1088">
                  <c:v>43519</c:v>
                </c:pt>
                <c:pt idx="1089">
                  <c:v>43520</c:v>
                </c:pt>
                <c:pt idx="1090">
                  <c:v>43521</c:v>
                </c:pt>
                <c:pt idx="1091">
                  <c:v>43522</c:v>
                </c:pt>
                <c:pt idx="1092">
                  <c:v>43523</c:v>
                </c:pt>
                <c:pt idx="1093">
                  <c:v>43524</c:v>
                </c:pt>
                <c:pt idx="1094">
                  <c:v>43525</c:v>
                </c:pt>
                <c:pt idx="1095">
                  <c:v>43526</c:v>
                </c:pt>
                <c:pt idx="1096">
                  <c:v>43527</c:v>
                </c:pt>
                <c:pt idx="1097">
                  <c:v>43528</c:v>
                </c:pt>
                <c:pt idx="1098">
                  <c:v>43529</c:v>
                </c:pt>
                <c:pt idx="1099">
                  <c:v>43530</c:v>
                </c:pt>
                <c:pt idx="1100">
                  <c:v>43531</c:v>
                </c:pt>
                <c:pt idx="1101">
                  <c:v>43532</c:v>
                </c:pt>
                <c:pt idx="1102">
                  <c:v>43533</c:v>
                </c:pt>
                <c:pt idx="1103">
                  <c:v>43534</c:v>
                </c:pt>
                <c:pt idx="1104">
                  <c:v>43535</c:v>
                </c:pt>
                <c:pt idx="1105">
                  <c:v>43536</c:v>
                </c:pt>
                <c:pt idx="1106">
                  <c:v>43537</c:v>
                </c:pt>
                <c:pt idx="1107">
                  <c:v>43538</c:v>
                </c:pt>
                <c:pt idx="1108">
                  <c:v>43539</c:v>
                </c:pt>
                <c:pt idx="1109">
                  <c:v>43540</c:v>
                </c:pt>
                <c:pt idx="1110">
                  <c:v>43541</c:v>
                </c:pt>
                <c:pt idx="1111">
                  <c:v>43542</c:v>
                </c:pt>
                <c:pt idx="1112">
                  <c:v>43543</c:v>
                </c:pt>
                <c:pt idx="1113">
                  <c:v>43544</c:v>
                </c:pt>
                <c:pt idx="1114">
                  <c:v>43545</c:v>
                </c:pt>
                <c:pt idx="1115">
                  <c:v>43546</c:v>
                </c:pt>
                <c:pt idx="1116">
                  <c:v>43547</c:v>
                </c:pt>
                <c:pt idx="1117">
                  <c:v>43548</c:v>
                </c:pt>
                <c:pt idx="1118">
                  <c:v>43549</c:v>
                </c:pt>
                <c:pt idx="1119">
                  <c:v>43550</c:v>
                </c:pt>
                <c:pt idx="1120">
                  <c:v>43551</c:v>
                </c:pt>
                <c:pt idx="1121">
                  <c:v>43552</c:v>
                </c:pt>
                <c:pt idx="1122">
                  <c:v>43553</c:v>
                </c:pt>
                <c:pt idx="1123">
                  <c:v>43554</c:v>
                </c:pt>
                <c:pt idx="1124">
                  <c:v>43555</c:v>
                </c:pt>
                <c:pt idx="1125">
                  <c:v>43556</c:v>
                </c:pt>
                <c:pt idx="1126">
                  <c:v>43557</c:v>
                </c:pt>
                <c:pt idx="1127">
                  <c:v>43558</c:v>
                </c:pt>
                <c:pt idx="1128">
                  <c:v>43559</c:v>
                </c:pt>
                <c:pt idx="1129">
                  <c:v>43560</c:v>
                </c:pt>
                <c:pt idx="1130">
                  <c:v>43561</c:v>
                </c:pt>
                <c:pt idx="1131">
                  <c:v>43562</c:v>
                </c:pt>
                <c:pt idx="1132">
                  <c:v>43563</c:v>
                </c:pt>
                <c:pt idx="1133">
                  <c:v>43564</c:v>
                </c:pt>
                <c:pt idx="1134">
                  <c:v>43565</c:v>
                </c:pt>
                <c:pt idx="1135">
                  <c:v>43566</c:v>
                </c:pt>
                <c:pt idx="1136">
                  <c:v>43567</c:v>
                </c:pt>
                <c:pt idx="1137">
                  <c:v>43568</c:v>
                </c:pt>
                <c:pt idx="1138">
                  <c:v>43569</c:v>
                </c:pt>
                <c:pt idx="1139">
                  <c:v>43570</c:v>
                </c:pt>
                <c:pt idx="1140">
                  <c:v>43571</c:v>
                </c:pt>
                <c:pt idx="1141">
                  <c:v>43572</c:v>
                </c:pt>
                <c:pt idx="1142">
                  <c:v>43573</c:v>
                </c:pt>
                <c:pt idx="1143">
                  <c:v>43574</c:v>
                </c:pt>
                <c:pt idx="1144">
                  <c:v>43575</c:v>
                </c:pt>
                <c:pt idx="1145">
                  <c:v>43576</c:v>
                </c:pt>
                <c:pt idx="1146">
                  <c:v>43577</c:v>
                </c:pt>
                <c:pt idx="1147">
                  <c:v>43578</c:v>
                </c:pt>
                <c:pt idx="1148">
                  <c:v>43579</c:v>
                </c:pt>
                <c:pt idx="1149">
                  <c:v>43580</c:v>
                </c:pt>
                <c:pt idx="1150">
                  <c:v>43581</c:v>
                </c:pt>
                <c:pt idx="1151">
                  <c:v>43582</c:v>
                </c:pt>
                <c:pt idx="1152">
                  <c:v>43583</c:v>
                </c:pt>
                <c:pt idx="1153">
                  <c:v>43584</c:v>
                </c:pt>
                <c:pt idx="1154">
                  <c:v>43585</c:v>
                </c:pt>
                <c:pt idx="1155">
                  <c:v>43586</c:v>
                </c:pt>
                <c:pt idx="1156">
                  <c:v>43587</c:v>
                </c:pt>
                <c:pt idx="1157">
                  <c:v>43588</c:v>
                </c:pt>
                <c:pt idx="1158">
                  <c:v>43589</c:v>
                </c:pt>
                <c:pt idx="1159">
                  <c:v>43590</c:v>
                </c:pt>
                <c:pt idx="1160">
                  <c:v>43591</c:v>
                </c:pt>
                <c:pt idx="1161">
                  <c:v>43592</c:v>
                </c:pt>
                <c:pt idx="1162">
                  <c:v>43593</c:v>
                </c:pt>
                <c:pt idx="1163">
                  <c:v>43594</c:v>
                </c:pt>
                <c:pt idx="1164">
                  <c:v>43595</c:v>
                </c:pt>
                <c:pt idx="1165">
                  <c:v>43596</c:v>
                </c:pt>
                <c:pt idx="1166">
                  <c:v>43597</c:v>
                </c:pt>
                <c:pt idx="1167">
                  <c:v>43598</c:v>
                </c:pt>
                <c:pt idx="1168">
                  <c:v>43599</c:v>
                </c:pt>
                <c:pt idx="1169">
                  <c:v>43600</c:v>
                </c:pt>
                <c:pt idx="1170">
                  <c:v>43601</c:v>
                </c:pt>
                <c:pt idx="1171">
                  <c:v>43602</c:v>
                </c:pt>
                <c:pt idx="1172">
                  <c:v>43603</c:v>
                </c:pt>
                <c:pt idx="1173">
                  <c:v>43604</c:v>
                </c:pt>
                <c:pt idx="1174">
                  <c:v>43605</c:v>
                </c:pt>
                <c:pt idx="1175">
                  <c:v>43606</c:v>
                </c:pt>
                <c:pt idx="1176">
                  <c:v>43607</c:v>
                </c:pt>
                <c:pt idx="1177">
                  <c:v>43608</c:v>
                </c:pt>
                <c:pt idx="1178">
                  <c:v>43609</c:v>
                </c:pt>
                <c:pt idx="1179">
                  <c:v>43610</c:v>
                </c:pt>
                <c:pt idx="1180">
                  <c:v>43611</c:v>
                </c:pt>
                <c:pt idx="1181">
                  <c:v>43612</c:v>
                </c:pt>
                <c:pt idx="1182">
                  <c:v>43613</c:v>
                </c:pt>
                <c:pt idx="1183">
                  <c:v>43614</c:v>
                </c:pt>
                <c:pt idx="1184">
                  <c:v>43615</c:v>
                </c:pt>
                <c:pt idx="1185">
                  <c:v>43616</c:v>
                </c:pt>
                <c:pt idx="1186">
                  <c:v>43617</c:v>
                </c:pt>
                <c:pt idx="1187">
                  <c:v>43618</c:v>
                </c:pt>
                <c:pt idx="1188">
                  <c:v>43619</c:v>
                </c:pt>
                <c:pt idx="1189">
                  <c:v>43620</c:v>
                </c:pt>
                <c:pt idx="1190">
                  <c:v>43621</c:v>
                </c:pt>
                <c:pt idx="1191">
                  <c:v>43622</c:v>
                </c:pt>
                <c:pt idx="1192">
                  <c:v>43623</c:v>
                </c:pt>
                <c:pt idx="1193">
                  <c:v>43624</c:v>
                </c:pt>
                <c:pt idx="1194">
                  <c:v>43625</c:v>
                </c:pt>
                <c:pt idx="1195">
                  <c:v>43626</c:v>
                </c:pt>
                <c:pt idx="1196">
                  <c:v>43627</c:v>
                </c:pt>
                <c:pt idx="1197">
                  <c:v>43628</c:v>
                </c:pt>
                <c:pt idx="1198">
                  <c:v>43629</c:v>
                </c:pt>
                <c:pt idx="1199">
                  <c:v>43630</c:v>
                </c:pt>
                <c:pt idx="1200">
                  <c:v>43631</c:v>
                </c:pt>
                <c:pt idx="1201">
                  <c:v>43632</c:v>
                </c:pt>
                <c:pt idx="1202">
                  <c:v>43633</c:v>
                </c:pt>
                <c:pt idx="1203">
                  <c:v>43634</c:v>
                </c:pt>
                <c:pt idx="1204">
                  <c:v>43635</c:v>
                </c:pt>
                <c:pt idx="1205">
                  <c:v>43636</c:v>
                </c:pt>
                <c:pt idx="1206">
                  <c:v>43637</c:v>
                </c:pt>
                <c:pt idx="1207">
                  <c:v>43638</c:v>
                </c:pt>
                <c:pt idx="1208">
                  <c:v>43639</c:v>
                </c:pt>
                <c:pt idx="1209">
                  <c:v>43640</c:v>
                </c:pt>
                <c:pt idx="1210">
                  <c:v>43641</c:v>
                </c:pt>
                <c:pt idx="1211">
                  <c:v>43642</c:v>
                </c:pt>
                <c:pt idx="1212">
                  <c:v>43643</c:v>
                </c:pt>
                <c:pt idx="1213">
                  <c:v>43644</c:v>
                </c:pt>
                <c:pt idx="1214">
                  <c:v>43645</c:v>
                </c:pt>
                <c:pt idx="1215">
                  <c:v>43646</c:v>
                </c:pt>
                <c:pt idx="1216">
                  <c:v>43647</c:v>
                </c:pt>
                <c:pt idx="1217">
                  <c:v>43648</c:v>
                </c:pt>
                <c:pt idx="1218">
                  <c:v>43649</c:v>
                </c:pt>
                <c:pt idx="1219">
                  <c:v>43650</c:v>
                </c:pt>
                <c:pt idx="1220">
                  <c:v>43651</c:v>
                </c:pt>
                <c:pt idx="1221">
                  <c:v>43652</c:v>
                </c:pt>
                <c:pt idx="1222">
                  <c:v>43653</c:v>
                </c:pt>
                <c:pt idx="1223">
                  <c:v>43654</c:v>
                </c:pt>
                <c:pt idx="1224">
                  <c:v>43655</c:v>
                </c:pt>
                <c:pt idx="1225">
                  <c:v>43656</c:v>
                </c:pt>
                <c:pt idx="1226">
                  <c:v>43657</c:v>
                </c:pt>
                <c:pt idx="1227">
                  <c:v>43658</c:v>
                </c:pt>
                <c:pt idx="1228">
                  <c:v>43659</c:v>
                </c:pt>
                <c:pt idx="1229">
                  <c:v>43660</c:v>
                </c:pt>
                <c:pt idx="1230">
                  <c:v>43661</c:v>
                </c:pt>
                <c:pt idx="1231">
                  <c:v>43662</c:v>
                </c:pt>
                <c:pt idx="1232">
                  <c:v>43663</c:v>
                </c:pt>
                <c:pt idx="1233">
                  <c:v>43664</c:v>
                </c:pt>
                <c:pt idx="1234">
                  <c:v>43665</c:v>
                </c:pt>
                <c:pt idx="1235">
                  <c:v>43666</c:v>
                </c:pt>
                <c:pt idx="1236">
                  <c:v>43667</c:v>
                </c:pt>
                <c:pt idx="1237">
                  <c:v>43668</c:v>
                </c:pt>
                <c:pt idx="1238">
                  <c:v>43669</c:v>
                </c:pt>
                <c:pt idx="1239">
                  <c:v>43670</c:v>
                </c:pt>
                <c:pt idx="1240">
                  <c:v>43671</c:v>
                </c:pt>
                <c:pt idx="1241">
                  <c:v>43672</c:v>
                </c:pt>
                <c:pt idx="1242">
                  <c:v>43673</c:v>
                </c:pt>
                <c:pt idx="1243">
                  <c:v>43674</c:v>
                </c:pt>
                <c:pt idx="1244">
                  <c:v>43675</c:v>
                </c:pt>
                <c:pt idx="1245">
                  <c:v>43676</c:v>
                </c:pt>
                <c:pt idx="1246">
                  <c:v>43677</c:v>
                </c:pt>
                <c:pt idx="1247">
                  <c:v>43678</c:v>
                </c:pt>
                <c:pt idx="1248">
                  <c:v>43679</c:v>
                </c:pt>
                <c:pt idx="1249">
                  <c:v>43680</c:v>
                </c:pt>
                <c:pt idx="1250">
                  <c:v>43681</c:v>
                </c:pt>
                <c:pt idx="1251">
                  <c:v>43682</c:v>
                </c:pt>
                <c:pt idx="1252">
                  <c:v>43683</c:v>
                </c:pt>
                <c:pt idx="1253">
                  <c:v>43684</c:v>
                </c:pt>
                <c:pt idx="1254">
                  <c:v>43685</c:v>
                </c:pt>
                <c:pt idx="1255">
                  <c:v>43686</c:v>
                </c:pt>
                <c:pt idx="1256">
                  <c:v>43687</c:v>
                </c:pt>
                <c:pt idx="1257">
                  <c:v>43688</c:v>
                </c:pt>
                <c:pt idx="1258">
                  <c:v>43689</c:v>
                </c:pt>
                <c:pt idx="1259">
                  <c:v>43690</c:v>
                </c:pt>
                <c:pt idx="1260">
                  <c:v>43691</c:v>
                </c:pt>
                <c:pt idx="1261">
                  <c:v>43692</c:v>
                </c:pt>
                <c:pt idx="1262">
                  <c:v>43693</c:v>
                </c:pt>
                <c:pt idx="1263">
                  <c:v>43694</c:v>
                </c:pt>
                <c:pt idx="1264">
                  <c:v>43695</c:v>
                </c:pt>
                <c:pt idx="1265">
                  <c:v>43696</c:v>
                </c:pt>
                <c:pt idx="1266">
                  <c:v>43697</c:v>
                </c:pt>
                <c:pt idx="1267">
                  <c:v>43698</c:v>
                </c:pt>
                <c:pt idx="1268">
                  <c:v>43699</c:v>
                </c:pt>
                <c:pt idx="1269">
                  <c:v>43700</c:v>
                </c:pt>
                <c:pt idx="1270">
                  <c:v>43701</c:v>
                </c:pt>
                <c:pt idx="1271">
                  <c:v>43702</c:v>
                </c:pt>
                <c:pt idx="1272">
                  <c:v>43703</c:v>
                </c:pt>
                <c:pt idx="1273">
                  <c:v>43704</c:v>
                </c:pt>
                <c:pt idx="1274">
                  <c:v>43705</c:v>
                </c:pt>
                <c:pt idx="1275">
                  <c:v>43706</c:v>
                </c:pt>
                <c:pt idx="1276">
                  <c:v>43707</c:v>
                </c:pt>
                <c:pt idx="1277">
                  <c:v>43708</c:v>
                </c:pt>
                <c:pt idx="1278">
                  <c:v>43709</c:v>
                </c:pt>
                <c:pt idx="1279">
                  <c:v>43710</c:v>
                </c:pt>
                <c:pt idx="1280">
                  <c:v>43711</c:v>
                </c:pt>
                <c:pt idx="1281">
                  <c:v>43712</c:v>
                </c:pt>
                <c:pt idx="1282">
                  <c:v>43713</c:v>
                </c:pt>
                <c:pt idx="1283">
                  <c:v>43714</c:v>
                </c:pt>
                <c:pt idx="1284">
                  <c:v>43715</c:v>
                </c:pt>
                <c:pt idx="1285">
                  <c:v>43716</c:v>
                </c:pt>
                <c:pt idx="1286">
                  <c:v>43717</c:v>
                </c:pt>
                <c:pt idx="1287">
                  <c:v>43718</c:v>
                </c:pt>
                <c:pt idx="1288">
                  <c:v>43719</c:v>
                </c:pt>
                <c:pt idx="1289">
                  <c:v>43720</c:v>
                </c:pt>
                <c:pt idx="1290">
                  <c:v>43721</c:v>
                </c:pt>
                <c:pt idx="1291">
                  <c:v>43722</c:v>
                </c:pt>
                <c:pt idx="1292">
                  <c:v>43723</c:v>
                </c:pt>
                <c:pt idx="1293">
                  <c:v>43724</c:v>
                </c:pt>
                <c:pt idx="1294">
                  <c:v>43725</c:v>
                </c:pt>
                <c:pt idx="1295">
                  <c:v>43726</c:v>
                </c:pt>
                <c:pt idx="1296">
                  <c:v>43727</c:v>
                </c:pt>
                <c:pt idx="1297">
                  <c:v>43728</c:v>
                </c:pt>
                <c:pt idx="1298">
                  <c:v>43729</c:v>
                </c:pt>
                <c:pt idx="1299">
                  <c:v>43730</c:v>
                </c:pt>
                <c:pt idx="1300">
                  <c:v>43731</c:v>
                </c:pt>
                <c:pt idx="1301">
                  <c:v>43732</c:v>
                </c:pt>
                <c:pt idx="1302">
                  <c:v>43733</c:v>
                </c:pt>
                <c:pt idx="1303">
                  <c:v>43734</c:v>
                </c:pt>
                <c:pt idx="1304">
                  <c:v>43735</c:v>
                </c:pt>
                <c:pt idx="1305">
                  <c:v>43736</c:v>
                </c:pt>
                <c:pt idx="1306">
                  <c:v>43737</c:v>
                </c:pt>
                <c:pt idx="1307">
                  <c:v>43738</c:v>
                </c:pt>
                <c:pt idx="1308">
                  <c:v>43739</c:v>
                </c:pt>
                <c:pt idx="1309">
                  <c:v>43740</c:v>
                </c:pt>
                <c:pt idx="1310">
                  <c:v>43741</c:v>
                </c:pt>
                <c:pt idx="1311">
                  <c:v>43742</c:v>
                </c:pt>
                <c:pt idx="1312">
                  <c:v>43743</c:v>
                </c:pt>
                <c:pt idx="1313">
                  <c:v>43744</c:v>
                </c:pt>
                <c:pt idx="1314">
                  <c:v>43745</c:v>
                </c:pt>
                <c:pt idx="1315">
                  <c:v>43746</c:v>
                </c:pt>
                <c:pt idx="1316">
                  <c:v>43747</c:v>
                </c:pt>
                <c:pt idx="1317">
                  <c:v>43748</c:v>
                </c:pt>
                <c:pt idx="1318">
                  <c:v>43749</c:v>
                </c:pt>
                <c:pt idx="1319">
                  <c:v>43750</c:v>
                </c:pt>
                <c:pt idx="1320">
                  <c:v>43751</c:v>
                </c:pt>
                <c:pt idx="1321">
                  <c:v>43752</c:v>
                </c:pt>
                <c:pt idx="1322">
                  <c:v>43753</c:v>
                </c:pt>
                <c:pt idx="1323">
                  <c:v>43754</c:v>
                </c:pt>
                <c:pt idx="1324">
                  <c:v>43755</c:v>
                </c:pt>
                <c:pt idx="1325">
                  <c:v>43756</c:v>
                </c:pt>
                <c:pt idx="1326">
                  <c:v>43757</c:v>
                </c:pt>
                <c:pt idx="1327">
                  <c:v>43758</c:v>
                </c:pt>
                <c:pt idx="1328">
                  <c:v>43759</c:v>
                </c:pt>
                <c:pt idx="1329">
                  <c:v>43760</c:v>
                </c:pt>
                <c:pt idx="1330">
                  <c:v>43761</c:v>
                </c:pt>
                <c:pt idx="1331">
                  <c:v>43762</c:v>
                </c:pt>
                <c:pt idx="1332">
                  <c:v>43763</c:v>
                </c:pt>
                <c:pt idx="1333">
                  <c:v>43764</c:v>
                </c:pt>
                <c:pt idx="1334">
                  <c:v>43765</c:v>
                </c:pt>
                <c:pt idx="1335">
                  <c:v>43766</c:v>
                </c:pt>
                <c:pt idx="1336">
                  <c:v>43767</c:v>
                </c:pt>
                <c:pt idx="1337">
                  <c:v>43768</c:v>
                </c:pt>
                <c:pt idx="1338">
                  <c:v>43769</c:v>
                </c:pt>
                <c:pt idx="1339">
                  <c:v>43770</c:v>
                </c:pt>
                <c:pt idx="1340">
                  <c:v>43771</c:v>
                </c:pt>
                <c:pt idx="1341">
                  <c:v>43772</c:v>
                </c:pt>
                <c:pt idx="1342">
                  <c:v>43773</c:v>
                </c:pt>
                <c:pt idx="1343">
                  <c:v>43774</c:v>
                </c:pt>
                <c:pt idx="1344">
                  <c:v>43775</c:v>
                </c:pt>
                <c:pt idx="1345">
                  <c:v>43776</c:v>
                </c:pt>
                <c:pt idx="1346">
                  <c:v>43777</c:v>
                </c:pt>
                <c:pt idx="1347">
                  <c:v>43778</c:v>
                </c:pt>
                <c:pt idx="1348">
                  <c:v>43779</c:v>
                </c:pt>
                <c:pt idx="1349">
                  <c:v>43780</c:v>
                </c:pt>
                <c:pt idx="1350">
                  <c:v>43781</c:v>
                </c:pt>
                <c:pt idx="1351">
                  <c:v>43782</c:v>
                </c:pt>
                <c:pt idx="1352">
                  <c:v>43783</c:v>
                </c:pt>
                <c:pt idx="1353">
                  <c:v>43784</c:v>
                </c:pt>
                <c:pt idx="1354">
                  <c:v>43785</c:v>
                </c:pt>
                <c:pt idx="1355">
                  <c:v>43786</c:v>
                </c:pt>
                <c:pt idx="1356">
                  <c:v>43787</c:v>
                </c:pt>
                <c:pt idx="1357">
                  <c:v>43788</c:v>
                </c:pt>
                <c:pt idx="1358">
                  <c:v>43789</c:v>
                </c:pt>
                <c:pt idx="1359">
                  <c:v>43790</c:v>
                </c:pt>
                <c:pt idx="1360">
                  <c:v>43791</c:v>
                </c:pt>
                <c:pt idx="1361">
                  <c:v>43792</c:v>
                </c:pt>
                <c:pt idx="1362">
                  <c:v>43793</c:v>
                </c:pt>
                <c:pt idx="1363">
                  <c:v>43794</c:v>
                </c:pt>
                <c:pt idx="1364">
                  <c:v>43795</c:v>
                </c:pt>
                <c:pt idx="1365">
                  <c:v>43796</c:v>
                </c:pt>
                <c:pt idx="1366">
                  <c:v>43797</c:v>
                </c:pt>
                <c:pt idx="1367">
                  <c:v>43798</c:v>
                </c:pt>
                <c:pt idx="1368">
                  <c:v>43799</c:v>
                </c:pt>
                <c:pt idx="1369">
                  <c:v>43800</c:v>
                </c:pt>
                <c:pt idx="1370">
                  <c:v>43801</c:v>
                </c:pt>
                <c:pt idx="1371">
                  <c:v>43802</c:v>
                </c:pt>
                <c:pt idx="1372">
                  <c:v>43803</c:v>
                </c:pt>
                <c:pt idx="1373">
                  <c:v>43804</c:v>
                </c:pt>
                <c:pt idx="1374">
                  <c:v>43805</c:v>
                </c:pt>
                <c:pt idx="1375">
                  <c:v>43806</c:v>
                </c:pt>
                <c:pt idx="1376">
                  <c:v>43807</c:v>
                </c:pt>
                <c:pt idx="1377">
                  <c:v>43808</c:v>
                </c:pt>
                <c:pt idx="1378">
                  <c:v>43809</c:v>
                </c:pt>
                <c:pt idx="1379">
                  <c:v>43810</c:v>
                </c:pt>
                <c:pt idx="1380">
                  <c:v>43811</c:v>
                </c:pt>
                <c:pt idx="1381">
                  <c:v>43812</c:v>
                </c:pt>
                <c:pt idx="1382">
                  <c:v>43813</c:v>
                </c:pt>
                <c:pt idx="1383">
                  <c:v>43814</c:v>
                </c:pt>
                <c:pt idx="1384">
                  <c:v>43815</c:v>
                </c:pt>
                <c:pt idx="1385">
                  <c:v>43816</c:v>
                </c:pt>
                <c:pt idx="1386">
                  <c:v>43817</c:v>
                </c:pt>
                <c:pt idx="1387">
                  <c:v>43818</c:v>
                </c:pt>
                <c:pt idx="1388">
                  <c:v>43819</c:v>
                </c:pt>
                <c:pt idx="1389">
                  <c:v>43820</c:v>
                </c:pt>
                <c:pt idx="1390">
                  <c:v>43821</c:v>
                </c:pt>
                <c:pt idx="1391">
                  <c:v>43822</c:v>
                </c:pt>
                <c:pt idx="1392">
                  <c:v>43823</c:v>
                </c:pt>
                <c:pt idx="1393">
                  <c:v>43824</c:v>
                </c:pt>
                <c:pt idx="1394">
                  <c:v>43825</c:v>
                </c:pt>
                <c:pt idx="1395">
                  <c:v>43826</c:v>
                </c:pt>
                <c:pt idx="1396">
                  <c:v>43827</c:v>
                </c:pt>
                <c:pt idx="1397">
                  <c:v>43828</c:v>
                </c:pt>
                <c:pt idx="1398">
                  <c:v>43829</c:v>
                </c:pt>
                <c:pt idx="1399">
                  <c:v>43830</c:v>
                </c:pt>
                <c:pt idx="1400">
                  <c:v>43831</c:v>
                </c:pt>
                <c:pt idx="1401">
                  <c:v>43832</c:v>
                </c:pt>
                <c:pt idx="1402">
                  <c:v>43833</c:v>
                </c:pt>
                <c:pt idx="1403">
                  <c:v>43834</c:v>
                </c:pt>
                <c:pt idx="1404">
                  <c:v>43835</c:v>
                </c:pt>
                <c:pt idx="1405">
                  <c:v>43836</c:v>
                </c:pt>
                <c:pt idx="1406">
                  <c:v>43837</c:v>
                </c:pt>
                <c:pt idx="1407">
                  <c:v>43838</c:v>
                </c:pt>
                <c:pt idx="1408">
                  <c:v>43839</c:v>
                </c:pt>
                <c:pt idx="1409">
                  <c:v>43840</c:v>
                </c:pt>
                <c:pt idx="1410">
                  <c:v>43841</c:v>
                </c:pt>
                <c:pt idx="1411">
                  <c:v>43842</c:v>
                </c:pt>
                <c:pt idx="1412">
                  <c:v>43843</c:v>
                </c:pt>
                <c:pt idx="1413">
                  <c:v>43844</c:v>
                </c:pt>
                <c:pt idx="1414">
                  <c:v>43845</c:v>
                </c:pt>
                <c:pt idx="1415">
                  <c:v>43846</c:v>
                </c:pt>
                <c:pt idx="1416">
                  <c:v>43847</c:v>
                </c:pt>
                <c:pt idx="1417">
                  <c:v>43848</c:v>
                </c:pt>
                <c:pt idx="1418">
                  <c:v>43849</c:v>
                </c:pt>
                <c:pt idx="1419">
                  <c:v>43850</c:v>
                </c:pt>
                <c:pt idx="1420">
                  <c:v>43851</c:v>
                </c:pt>
                <c:pt idx="1421">
                  <c:v>43852</c:v>
                </c:pt>
                <c:pt idx="1422">
                  <c:v>43853</c:v>
                </c:pt>
                <c:pt idx="1423">
                  <c:v>43854</c:v>
                </c:pt>
                <c:pt idx="1424">
                  <c:v>43855</c:v>
                </c:pt>
                <c:pt idx="1425">
                  <c:v>43856</c:v>
                </c:pt>
                <c:pt idx="1426">
                  <c:v>43857</c:v>
                </c:pt>
                <c:pt idx="1427">
                  <c:v>43858</c:v>
                </c:pt>
                <c:pt idx="1428">
                  <c:v>43859</c:v>
                </c:pt>
                <c:pt idx="1429">
                  <c:v>43860</c:v>
                </c:pt>
                <c:pt idx="1430">
                  <c:v>43861</c:v>
                </c:pt>
                <c:pt idx="1431">
                  <c:v>43862</c:v>
                </c:pt>
                <c:pt idx="1432">
                  <c:v>43863</c:v>
                </c:pt>
                <c:pt idx="1433">
                  <c:v>43864</c:v>
                </c:pt>
                <c:pt idx="1434">
                  <c:v>43865</c:v>
                </c:pt>
                <c:pt idx="1435">
                  <c:v>43866</c:v>
                </c:pt>
                <c:pt idx="1436">
                  <c:v>43867</c:v>
                </c:pt>
                <c:pt idx="1437">
                  <c:v>43868</c:v>
                </c:pt>
                <c:pt idx="1438">
                  <c:v>43869</c:v>
                </c:pt>
                <c:pt idx="1439">
                  <c:v>43870</c:v>
                </c:pt>
                <c:pt idx="1440">
                  <c:v>43871</c:v>
                </c:pt>
                <c:pt idx="1441">
                  <c:v>43872</c:v>
                </c:pt>
                <c:pt idx="1442">
                  <c:v>43873</c:v>
                </c:pt>
                <c:pt idx="1443">
                  <c:v>43874</c:v>
                </c:pt>
                <c:pt idx="1444">
                  <c:v>43875</c:v>
                </c:pt>
                <c:pt idx="1445">
                  <c:v>43876</c:v>
                </c:pt>
                <c:pt idx="1446">
                  <c:v>43877</c:v>
                </c:pt>
                <c:pt idx="1447">
                  <c:v>43878</c:v>
                </c:pt>
                <c:pt idx="1448">
                  <c:v>43879</c:v>
                </c:pt>
                <c:pt idx="1449">
                  <c:v>43880</c:v>
                </c:pt>
                <c:pt idx="1450">
                  <c:v>43881</c:v>
                </c:pt>
                <c:pt idx="1451">
                  <c:v>43882</c:v>
                </c:pt>
                <c:pt idx="1452">
                  <c:v>43883</c:v>
                </c:pt>
                <c:pt idx="1453">
                  <c:v>43884</c:v>
                </c:pt>
                <c:pt idx="1454">
                  <c:v>43885</c:v>
                </c:pt>
                <c:pt idx="1455">
                  <c:v>43886</c:v>
                </c:pt>
                <c:pt idx="1456">
                  <c:v>43887</c:v>
                </c:pt>
                <c:pt idx="1457">
                  <c:v>43888</c:v>
                </c:pt>
                <c:pt idx="1458">
                  <c:v>43889</c:v>
                </c:pt>
                <c:pt idx="1459">
                  <c:v>43890</c:v>
                </c:pt>
                <c:pt idx="1460">
                  <c:v>43891</c:v>
                </c:pt>
                <c:pt idx="1461">
                  <c:v>43892</c:v>
                </c:pt>
                <c:pt idx="1462">
                  <c:v>43893</c:v>
                </c:pt>
                <c:pt idx="1463">
                  <c:v>43894</c:v>
                </c:pt>
                <c:pt idx="1464">
                  <c:v>43895</c:v>
                </c:pt>
                <c:pt idx="1465">
                  <c:v>43896</c:v>
                </c:pt>
                <c:pt idx="1466">
                  <c:v>43897</c:v>
                </c:pt>
                <c:pt idx="1467">
                  <c:v>43898</c:v>
                </c:pt>
                <c:pt idx="1468">
                  <c:v>43899</c:v>
                </c:pt>
                <c:pt idx="1469">
                  <c:v>43900</c:v>
                </c:pt>
                <c:pt idx="1470">
                  <c:v>43901</c:v>
                </c:pt>
                <c:pt idx="1471">
                  <c:v>43902</c:v>
                </c:pt>
                <c:pt idx="1472">
                  <c:v>43903</c:v>
                </c:pt>
                <c:pt idx="1473">
                  <c:v>43904</c:v>
                </c:pt>
                <c:pt idx="1474">
                  <c:v>43905</c:v>
                </c:pt>
                <c:pt idx="1475">
                  <c:v>43906</c:v>
                </c:pt>
                <c:pt idx="1476">
                  <c:v>43907</c:v>
                </c:pt>
                <c:pt idx="1477">
                  <c:v>43908</c:v>
                </c:pt>
                <c:pt idx="1478">
                  <c:v>43909</c:v>
                </c:pt>
                <c:pt idx="1479">
                  <c:v>43910</c:v>
                </c:pt>
                <c:pt idx="1480">
                  <c:v>43911</c:v>
                </c:pt>
                <c:pt idx="1481">
                  <c:v>43912</c:v>
                </c:pt>
                <c:pt idx="1482">
                  <c:v>43913</c:v>
                </c:pt>
                <c:pt idx="1483">
                  <c:v>43914</c:v>
                </c:pt>
                <c:pt idx="1484">
                  <c:v>43915</c:v>
                </c:pt>
                <c:pt idx="1485">
                  <c:v>43916</c:v>
                </c:pt>
                <c:pt idx="1486">
                  <c:v>43917</c:v>
                </c:pt>
                <c:pt idx="1487">
                  <c:v>43918</c:v>
                </c:pt>
                <c:pt idx="1488">
                  <c:v>43919</c:v>
                </c:pt>
                <c:pt idx="1489">
                  <c:v>43920</c:v>
                </c:pt>
                <c:pt idx="1490">
                  <c:v>43921</c:v>
                </c:pt>
                <c:pt idx="1491">
                  <c:v>43922</c:v>
                </c:pt>
                <c:pt idx="1492">
                  <c:v>43923</c:v>
                </c:pt>
                <c:pt idx="1493">
                  <c:v>43924</c:v>
                </c:pt>
                <c:pt idx="1494">
                  <c:v>43925</c:v>
                </c:pt>
                <c:pt idx="1495">
                  <c:v>43926</c:v>
                </c:pt>
                <c:pt idx="1496">
                  <c:v>43927</c:v>
                </c:pt>
                <c:pt idx="1497">
                  <c:v>43928</c:v>
                </c:pt>
                <c:pt idx="1498">
                  <c:v>43929</c:v>
                </c:pt>
                <c:pt idx="1499">
                  <c:v>43930</c:v>
                </c:pt>
                <c:pt idx="1500">
                  <c:v>43931</c:v>
                </c:pt>
                <c:pt idx="1501">
                  <c:v>43932</c:v>
                </c:pt>
                <c:pt idx="1502">
                  <c:v>43933</c:v>
                </c:pt>
                <c:pt idx="1503">
                  <c:v>43934</c:v>
                </c:pt>
                <c:pt idx="1504">
                  <c:v>43935</c:v>
                </c:pt>
                <c:pt idx="1505">
                  <c:v>43936</c:v>
                </c:pt>
                <c:pt idx="1506">
                  <c:v>43937</c:v>
                </c:pt>
                <c:pt idx="1507">
                  <c:v>43938</c:v>
                </c:pt>
                <c:pt idx="1508">
                  <c:v>43939</c:v>
                </c:pt>
                <c:pt idx="1509">
                  <c:v>43940</c:v>
                </c:pt>
                <c:pt idx="1510">
                  <c:v>43941</c:v>
                </c:pt>
                <c:pt idx="1511">
                  <c:v>43942</c:v>
                </c:pt>
                <c:pt idx="1512">
                  <c:v>43943</c:v>
                </c:pt>
                <c:pt idx="1513">
                  <c:v>43944</c:v>
                </c:pt>
                <c:pt idx="1514">
                  <c:v>43945</c:v>
                </c:pt>
                <c:pt idx="1515">
                  <c:v>43946</c:v>
                </c:pt>
                <c:pt idx="1516">
                  <c:v>43947</c:v>
                </c:pt>
                <c:pt idx="1517">
                  <c:v>43948</c:v>
                </c:pt>
                <c:pt idx="1518">
                  <c:v>43949</c:v>
                </c:pt>
                <c:pt idx="1519">
                  <c:v>43950</c:v>
                </c:pt>
                <c:pt idx="1520">
                  <c:v>43951</c:v>
                </c:pt>
                <c:pt idx="1521">
                  <c:v>43952</c:v>
                </c:pt>
                <c:pt idx="1522">
                  <c:v>43953</c:v>
                </c:pt>
                <c:pt idx="1523">
                  <c:v>43954</c:v>
                </c:pt>
                <c:pt idx="1524">
                  <c:v>43955</c:v>
                </c:pt>
                <c:pt idx="1525">
                  <c:v>43956</c:v>
                </c:pt>
                <c:pt idx="1526">
                  <c:v>43957</c:v>
                </c:pt>
                <c:pt idx="1527">
                  <c:v>43958</c:v>
                </c:pt>
                <c:pt idx="1528">
                  <c:v>43959</c:v>
                </c:pt>
                <c:pt idx="1529">
                  <c:v>43960</c:v>
                </c:pt>
                <c:pt idx="1530">
                  <c:v>43961</c:v>
                </c:pt>
                <c:pt idx="1531">
                  <c:v>43962</c:v>
                </c:pt>
                <c:pt idx="1532">
                  <c:v>43963</c:v>
                </c:pt>
                <c:pt idx="1533">
                  <c:v>43964</c:v>
                </c:pt>
                <c:pt idx="1534">
                  <c:v>43965</c:v>
                </c:pt>
                <c:pt idx="1535">
                  <c:v>43966</c:v>
                </c:pt>
                <c:pt idx="1536">
                  <c:v>43967</c:v>
                </c:pt>
                <c:pt idx="1537">
                  <c:v>43968</c:v>
                </c:pt>
                <c:pt idx="1538">
                  <c:v>43969</c:v>
                </c:pt>
                <c:pt idx="1539">
                  <c:v>43970</c:v>
                </c:pt>
                <c:pt idx="1540">
                  <c:v>43971</c:v>
                </c:pt>
                <c:pt idx="1541">
                  <c:v>43972</c:v>
                </c:pt>
                <c:pt idx="1542">
                  <c:v>43973</c:v>
                </c:pt>
                <c:pt idx="1543">
                  <c:v>43974</c:v>
                </c:pt>
                <c:pt idx="1544">
                  <c:v>43975</c:v>
                </c:pt>
                <c:pt idx="1545">
                  <c:v>43976</c:v>
                </c:pt>
                <c:pt idx="1546">
                  <c:v>43977</c:v>
                </c:pt>
                <c:pt idx="1547">
                  <c:v>43978</c:v>
                </c:pt>
                <c:pt idx="1548">
                  <c:v>43979</c:v>
                </c:pt>
                <c:pt idx="1549">
                  <c:v>43980</c:v>
                </c:pt>
                <c:pt idx="1550">
                  <c:v>43981</c:v>
                </c:pt>
                <c:pt idx="1551">
                  <c:v>43982</c:v>
                </c:pt>
                <c:pt idx="1552">
                  <c:v>43983</c:v>
                </c:pt>
                <c:pt idx="1553">
                  <c:v>43984</c:v>
                </c:pt>
                <c:pt idx="1554">
                  <c:v>43985</c:v>
                </c:pt>
                <c:pt idx="1555">
                  <c:v>43986</c:v>
                </c:pt>
                <c:pt idx="1556">
                  <c:v>43987</c:v>
                </c:pt>
                <c:pt idx="1557">
                  <c:v>43988</c:v>
                </c:pt>
                <c:pt idx="1558">
                  <c:v>43989</c:v>
                </c:pt>
                <c:pt idx="1559">
                  <c:v>43990</c:v>
                </c:pt>
                <c:pt idx="1560">
                  <c:v>43991</c:v>
                </c:pt>
                <c:pt idx="1561">
                  <c:v>43992</c:v>
                </c:pt>
                <c:pt idx="1562">
                  <c:v>43993</c:v>
                </c:pt>
                <c:pt idx="1563">
                  <c:v>43994</c:v>
                </c:pt>
                <c:pt idx="1564">
                  <c:v>43995</c:v>
                </c:pt>
                <c:pt idx="1565">
                  <c:v>43996</c:v>
                </c:pt>
                <c:pt idx="1566">
                  <c:v>43997</c:v>
                </c:pt>
                <c:pt idx="1567">
                  <c:v>43998</c:v>
                </c:pt>
                <c:pt idx="1568">
                  <c:v>43999</c:v>
                </c:pt>
                <c:pt idx="1569">
                  <c:v>44000</c:v>
                </c:pt>
                <c:pt idx="1570">
                  <c:v>44001</c:v>
                </c:pt>
                <c:pt idx="1571">
                  <c:v>44002</c:v>
                </c:pt>
                <c:pt idx="1572">
                  <c:v>44003</c:v>
                </c:pt>
                <c:pt idx="1573">
                  <c:v>44004</c:v>
                </c:pt>
                <c:pt idx="1574">
                  <c:v>44005</c:v>
                </c:pt>
                <c:pt idx="1575">
                  <c:v>44006</c:v>
                </c:pt>
                <c:pt idx="1576">
                  <c:v>44007</c:v>
                </c:pt>
                <c:pt idx="1577">
                  <c:v>44008</c:v>
                </c:pt>
                <c:pt idx="1578">
                  <c:v>44009</c:v>
                </c:pt>
                <c:pt idx="1579">
                  <c:v>44010</c:v>
                </c:pt>
                <c:pt idx="1580">
                  <c:v>44011</c:v>
                </c:pt>
                <c:pt idx="1581">
                  <c:v>44012</c:v>
                </c:pt>
                <c:pt idx="1582">
                  <c:v>44013</c:v>
                </c:pt>
                <c:pt idx="1583">
                  <c:v>44014</c:v>
                </c:pt>
                <c:pt idx="1584">
                  <c:v>44015</c:v>
                </c:pt>
                <c:pt idx="1585">
                  <c:v>44016</c:v>
                </c:pt>
                <c:pt idx="1586">
                  <c:v>44017</c:v>
                </c:pt>
                <c:pt idx="1587">
                  <c:v>44018</c:v>
                </c:pt>
                <c:pt idx="1588">
                  <c:v>44019</c:v>
                </c:pt>
                <c:pt idx="1589">
                  <c:v>44020</c:v>
                </c:pt>
                <c:pt idx="1590">
                  <c:v>44021</c:v>
                </c:pt>
                <c:pt idx="1591">
                  <c:v>44022</c:v>
                </c:pt>
                <c:pt idx="1592">
                  <c:v>44023</c:v>
                </c:pt>
                <c:pt idx="1593">
                  <c:v>44024</c:v>
                </c:pt>
                <c:pt idx="1594">
                  <c:v>44025</c:v>
                </c:pt>
                <c:pt idx="1595">
                  <c:v>44026</c:v>
                </c:pt>
                <c:pt idx="1596">
                  <c:v>44027</c:v>
                </c:pt>
                <c:pt idx="1597">
                  <c:v>44028</c:v>
                </c:pt>
                <c:pt idx="1598">
                  <c:v>44029</c:v>
                </c:pt>
                <c:pt idx="1599">
                  <c:v>44030</c:v>
                </c:pt>
                <c:pt idx="1600">
                  <c:v>44031</c:v>
                </c:pt>
                <c:pt idx="1601">
                  <c:v>44032</c:v>
                </c:pt>
                <c:pt idx="1602">
                  <c:v>44033</c:v>
                </c:pt>
                <c:pt idx="1603">
                  <c:v>44034</c:v>
                </c:pt>
                <c:pt idx="1604">
                  <c:v>44035</c:v>
                </c:pt>
                <c:pt idx="1605">
                  <c:v>44036</c:v>
                </c:pt>
                <c:pt idx="1606">
                  <c:v>44037</c:v>
                </c:pt>
                <c:pt idx="1607">
                  <c:v>44038</c:v>
                </c:pt>
                <c:pt idx="1608">
                  <c:v>44039</c:v>
                </c:pt>
                <c:pt idx="1609">
                  <c:v>44040</c:v>
                </c:pt>
                <c:pt idx="1610">
                  <c:v>44041</c:v>
                </c:pt>
                <c:pt idx="1611">
                  <c:v>44042</c:v>
                </c:pt>
                <c:pt idx="1612">
                  <c:v>44043</c:v>
                </c:pt>
                <c:pt idx="1613">
                  <c:v>44044</c:v>
                </c:pt>
                <c:pt idx="1614">
                  <c:v>44045</c:v>
                </c:pt>
                <c:pt idx="1615">
                  <c:v>44046</c:v>
                </c:pt>
                <c:pt idx="1616">
                  <c:v>44047</c:v>
                </c:pt>
                <c:pt idx="1617">
                  <c:v>44048</c:v>
                </c:pt>
                <c:pt idx="1618">
                  <c:v>44049</c:v>
                </c:pt>
                <c:pt idx="1619">
                  <c:v>44050</c:v>
                </c:pt>
                <c:pt idx="1620">
                  <c:v>44051</c:v>
                </c:pt>
                <c:pt idx="1621">
                  <c:v>44052</c:v>
                </c:pt>
                <c:pt idx="1622">
                  <c:v>44053</c:v>
                </c:pt>
                <c:pt idx="1623">
                  <c:v>44054</c:v>
                </c:pt>
                <c:pt idx="1624">
                  <c:v>44055</c:v>
                </c:pt>
                <c:pt idx="1625">
                  <c:v>44056</c:v>
                </c:pt>
                <c:pt idx="1626">
                  <c:v>44057</c:v>
                </c:pt>
                <c:pt idx="1627">
                  <c:v>44058</c:v>
                </c:pt>
                <c:pt idx="1628">
                  <c:v>44059</c:v>
                </c:pt>
                <c:pt idx="1629">
                  <c:v>44060</c:v>
                </c:pt>
                <c:pt idx="1630">
                  <c:v>44061</c:v>
                </c:pt>
                <c:pt idx="1631">
                  <c:v>44062</c:v>
                </c:pt>
                <c:pt idx="1632">
                  <c:v>44063</c:v>
                </c:pt>
                <c:pt idx="1633">
                  <c:v>44064</c:v>
                </c:pt>
                <c:pt idx="1634">
                  <c:v>44065</c:v>
                </c:pt>
                <c:pt idx="1635">
                  <c:v>44066</c:v>
                </c:pt>
                <c:pt idx="1636">
                  <c:v>44067</c:v>
                </c:pt>
                <c:pt idx="1637">
                  <c:v>44068</c:v>
                </c:pt>
                <c:pt idx="1638">
                  <c:v>44069</c:v>
                </c:pt>
                <c:pt idx="1639">
                  <c:v>44070</c:v>
                </c:pt>
                <c:pt idx="1640">
                  <c:v>44071</c:v>
                </c:pt>
                <c:pt idx="1641">
                  <c:v>44072</c:v>
                </c:pt>
                <c:pt idx="1642">
                  <c:v>44073</c:v>
                </c:pt>
                <c:pt idx="1643">
                  <c:v>44074</c:v>
                </c:pt>
                <c:pt idx="1644">
                  <c:v>44075</c:v>
                </c:pt>
                <c:pt idx="1645">
                  <c:v>44076</c:v>
                </c:pt>
                <c:pt idx="1646">
                  <c:v>44077</c:v>
                </c:pt>
                <c:pt idx="1647">
                  <c:v>44078</c:v>
                </c:pt>
                <c:pt idx="1648">
                  <c:v>44079</c:v>
                </c:pt>
                <c:pt idx="1649">
                  <c:v>44080</c:v>
                </c:pt>
                <c:pt idx="1650">
                  <c:v>44081</c:v>
                </c:pt>
                <c:pt idx="1651">
                  <c:v>44082</c:v>
                </c:pt>
                <c:pt idx="1652">
                  <c:v>44083</c:v>
                </c:pt>
                <c:pt idx="1653">
                  <c:v>44084</c:v>
                </c:pt>
                <c:pt idx="1654">
                  <c:v>44085</c:v>
                </c:pt>
                <c:pt idx="1655">
                  <c:v>44086</c:v>
                </c:pt>
                <c:pt idx="1656">
                  <c:v>44087</c:v>
                </c:pt>
                <c:pt idx="1657">
                  <c:v>44088</c:v>
                </c:pt>
                <c:pt idx="1658">
                  <c:v>44089</c:v>
                </c:pt>
                <c:pt idx="1659">
                  <c:v>44090</c:v>
                </c:pt>
                <c:pt idx="1660">
                  <c:v>44091</c:v>
                </c:pt>
                <c:pt idx="1661">
                  <c:v>44092</c:v>
                </c:pt>
                <c:pt idx="1662">
                  <c:v>44093</c:v>
                </c:pt>
                <c:pt idx="1663">
                  <c:v>44094</c:v>
                </c:pt>
                <c:pt idx="1664">
                  <c:v>44095</c:v>
                </c:pt>
                <c:pt idx="1665">
                  <c:v>44096</c:v>
                </c:pt>
                <c:pt idx="1666">
                  <c:v>44097</c:v>
                </c:pt>
                <c:pt idx="1667">
                  <c:v>44098</c:v>
                </c:pt>
                <c:pt idx="1668">
                  <c:v>44099</c:v>
                </c:pt>
                <c:pt idx="1669">
                  <c:v>44100</c:v>
                </c:pt>
                <c:pt idx="1670">
                  <c:v>44101</c:v>
                </c:pt>
                <c:pt idx="1671">
                  <c:v>44102</c:v>
                </c:pt>
                <c:pt idx="1672">
                  <c:v>44103</c:v>
                </c:pt>
                <c:pt idx="1673">
                  <c:v>44104</c:v>
                </c:pt>
                <c:pt idx="1674">
                  <c:v>44105</c:v>
                </c:pt>
                <c:pt idx="1675">
                  <c:v>44106</c:v>
                </c:pt>
                <c:pt idx="1676">
                  <c:v>44107</c:v>
                </c:pt>
                <c:pt idx="1677">
                  <c:v>44108</c:v>
                </c:pt>
                <c:pt idx="1678">
                  <c:v>44109</c:v>
                </c:pt>
                <c:pt idx="1679">
                  <c:v>44110</c:v>
                </c:pt>
                <c:pt idx="1680">
                  <c:v>44111</c:v>
                </c:pt>
                <c:pt idx="1681">
                  <c:v>44112</c:v>
                </c:pt>
                <c:pt idx="1682">
                  <c:v>44113</c:v>
                </c:pt>
                <c:pt idx="1683">
                  <c:v>44114</c:v>
                </c:pt>
                <c:pt idx="1684">
                  <c:v>44115</c:v>
                </c:pt>
                <c:pt idx="1685">
                  <c:v>44116</c:v>
                </c:pt>
                <c:pt idx="1686">
                  <c:v>44117</c:v>
                </c:pt>
                <c:pt idx="1687">
                  <c:v>44118</c:v>
                </c:pt>
                <c:pt idx="1688">
                  <c:v>44119</c:v>
                </c:pt>
                <c:pt idx="1689">
                  <c:v>44120</c:v>
                </c:pt>
                <c:pt idx="1690">
                  <c:v>44121</c:v>
                </c:pt>
                <c:pt idx="1691">
                  <c:v>44122</c:v>
                </c:pt>
                <c:pt idx="1692">
                  <c:v>44123</c:v>
                </c:pt>
                <c:pt idx="1693">
                  <c:v>44124</c:v>
                </c:pt>
                <c:pt idx="1694">
                  <c:v>44125</c:v>
                </c:pt>
                <c:pt idx="1695">
                  <c:v>44126</c:v>
                </c:pt>
                <c:pt idx="1696">
                  <c:v>44127</c:v>
                </c:pt>
                <c:pt idx="1697">
                  <c:v>44128</c:v>
                </c:pt>
                <c:pt idx="1698">
                  <c:v>44129</c:v>
                </c:pt>
                <c:pt idx="1699">
                  <c:v>44130</c:v>
                </c:pt>
                <c:pt idx="1700">
                  <c:v>44131</c:v>
                </c:pt>
                <c:pt idx="1701">
                  <c:v>44132</c:v>
                </c:pt>
                <c:pt idx="1702">
                  <c:v>44133</c:v>
                </c:pt>
                <c:pt idx="1703">
                  <c:v>44134</c:v>
                </c:pt>
                <c:pt idx="1704">
                  <c:v>44135</c:v>
                </c:pt>
                <c:pt idx="1705">
                  <c:v>44136</c:v>
                </c:pt>
                <c:pt idx="1706">
                  <c:v>44137</c:v>
                </c:pt>
                <c:pt idx="1707">
                  <c:v>44138</c:v>
                </c:pt>
                <c:pt idx="1708">
                  <c:v>44139</c:v>
                </c:pt>
                <c:pt idx="1709">
                  <c:v>44140</c:v>
                </c:pt>
                <c:pt idx="1710">
                  <c:v>44141</c:v>
                </c:pt>
                <c:pt idx="1711">
                  <c:v>44142</c:v>
                </c:pt>
                <c:pt idx="1712">
                  <c:v>44143</c:v>
                </c:pt>
                <c:pt idx="1713">
                  <c:v>44144</c:v>
                </c:pt>
                <c:pt idx="1714">
                  <c:v>44145</c:v>
                </c:pt>
                <c:pt idx="1715">
                  <c:v>44146</c:v>
                </c:pt>
                <c:pt idx="1716">
                  <c:v>44147</c:v>
                </c:pt>
                <c:pt idx="1717">
                  <c:v>44148</c:v>
                </c:pt>
                <c:pt idx="1718">
                  <c:v>44149</c:v>
                </c:pt>
                <c:pt idx="1719">
                  <c:v>44150</c:v>
                </c:pt>
                <c:pt idx="1720">
                  <c:v>44151</c:v>
                </c:pt>
                <c:pt idx="1721">
                  <c:v>44152</c:v>
                </c:pt>
                <c:pt idx="1722">
                  <c:v>44153</c:v>
                </c:pt>
                <c:pt idx="1723">
                  <c:v>44154</c:v>
                </c:pt>
                <c:pt idx="1724">
                  <c:v>44155</c:v>
                </c:pt>
                <c:pt idx="1725">
                  <c:v>44156</c:v>
                </c:pt>
                <c:pt idx="1726">
                  <c:v>44157</c:v>
                </c:pt>
                <c:pt idx="1727">
                  <c:v>44158</c:v>
                </c:pt>
                <c:pt idx="1728">
                  <c:v>44159</c:v>
                </c:pt>
                <c:pt idx="1729">
                  <c:v>44160</c:v>
                </c:pt>
                <c:pt idx="1730">
                  <c:v>44161</c:v>
                </c:pt>
                <c:pt idx="1731">
                  <c:v>44162</c:v>
                </c:pt>
                <c:pt idx="1732">
                  <c:v>44163</c:v>
                </c:pt>
                <c:pt idx="1733">
                  <c:v>44164</c:v>
                </c:pt>
                <c:pt idx="1734">
                  <c:v>44165</c:v>
                </c:pt>
                <c:pt idx="1735">
                  <c:v>44166</c:v>
                </c:pt>
                <c:pt idx="1736">
                  <c:v>44167</c:v>
                </c:pt>
                <c:pt idx="1737">
                  <c:v>44168</c:v>
                </c:pt>
                <c:pt idx="1738">
                  <c:v>44169</c:v>
                </c:pt>
                <c:pt idx="1739">
                  <c:v>44170</c:v>
                </c:pt>
                <c:pt idx="1740">
                  <c:v>44171</c:v>
                </c:pt>
                <c:pt idx="1741">
                  <c:v>44172</c:v>
                </c:pt>
                <c:pt idx="1742">
                  <c:v>44173</c:v>
                </c:pt>
                <c:pt idx="1743">
                  <c:v>44174</c:v>
                </c:pt>
                <c:pt idx="1744">
                  <c:v>44175</c:v>
                </c:pt>
                <c:pt idx="1745">
                  <c:v>44176</c:v>
                </c:pt>
                <c:pt idx="1746">
                  <c:v>44177</c:v>
                </c:pt>
                <c:pt idx="1747">
                  <c:v>44178</c:v>
                </c:pt>
                <c:pt idx="1748">
                  <c:v>44179</c:v>
                </c:pt>
                <c:pt idx="1749">
                  <c:v>44180</c:v>
                </c:pt>
                <c:pt idx="1750">
                  <c:v>44181</c:v>
                </c:pt>
                <c:pt idx="1751">
                  <c:v>44182</c:v>
                </c:pt>
                <c:pt idx="1752">
                  <c:v>44183</c:v>
                </c:pt>
                <c:pt idx="1753">
                  <c:v>44184</c:v>
                </c:pt>
                <c:pt idx="1754">
                  <c:v>44185</c:v>
                </c:pt>
                <c:pt idx="1755">
                  <c:v>44186</c:v>
                </c:pt>
                <c:pt idx="1756">
                  <c:v>44187</c:v>
                </c:pt>
                <c:pt idx="1757">
                  <c:v>44188</c:v>
                </c:pt>
                <c:pt idx="1758">
                  <c:v>44189</c:v>
                </c:pt>
                <c:pt idx="1759">
                  <c:v>44190</c:v>
                </c:pt>
                <c:pt idx="1760">
                  <c:v>44191</c:v>
                </c:pt>
                <c:pt idx="1761">
                  <c:v>44192</c:v>
                </c:pt>
                <c:pt idx="1762">
                  <c:v>44193</c:v>
                </c:pt>
                <c:pt idx="1763">
                  <c:v>44194</c:v>
                </c:pt>
                <c:pt idx="1764">
                  <c:v>44195</c:v>
                </c:pt>
                <c:pt idx="1765">
                  <c:v>44196</c:v>
                </c:pt>
                <c:pt idx="1766">
                  <c:v>44197</c:v>
                </c:pt>
                <c:pt idx="1767">
                  <c:v>44198</c:v>
                </c:pt>
                <c:pt idx="1768">
                  <c:v>44199</c:v>
                </c:pt>
                <c:pt idx="1769">
                  <c:v>44200</c:v>
                </c:pt>
                <c:pt idx="1770">
                  <c:v>44201</c:v>
                </c:pt>
                <c:pt idx="1771">
                  <c:v>44202</c:v>
                </c:pt>
                <c:pt idx="1772">
                  <c:v>44203</c:v>
                </c:pt>
                <c:pt idx="1773">
                  <c:v>44204</c:v>
                </c:pt>
                <c:pt idx="1774">
                  <c:v>44205</c:v>
                </c:pt>
                <c:pt idx="1775">
                  <c:v>44206</c:v>
                </c:pt>
                <c:pt idx="1776">
                  <c:v>44207</c:v>
                </c:pt>
                <c:pt idx="1777">
                  <c:v>44208</c:v>
                </c:pt>
                <c:pt idx="1778">
                  <c:v>44209</c:v>
                </c:pt>
                <c:pt idx="1779">
                  <c:v>44210</c:v>
                </c:pt>
                <c:pt idx="1780">
                  <c:v>44211</c:v>
                </c:pt>
                <c:pt idx="1781">
                  <c:v>44212</c:v>
                </c:pt>
                <c:pt idx="1782">
                  <c:v>44213</c:v>
                </c:pt>
                <c:pt idx="1783">
                  <c:v>44214</c:v>
                </c:pt>
                <c:pt idx="1784">
                  <c:v>44215</c:v>
                </c:pt>
                <c:pt idx="1785">
                  <c:v>44216</c:v>
                </c:pt>
                <c:pt idx="1786">
                  <c:v>44217</c:v>
                </c:pt>
                <c:pt idx="1787">
                  <c:v>44218</c:v>
                </c:pt>
                <c:pt idx="1788">
                  <c:v>44219</c:v>
                </c:pt>
                <c:pt idx="1789">
                  <c:v>44220</c:v>
                </c:pt>
                <c:pt idx="1790">
                  <c:v>44221</c:v>
                </c:pt>
                <c:pt idx="1791">
                  <c:v>44222</c:v>
                </c:pt>
                <c:pt idx="1792">
                  <c:v>44223</c:v>
                </c:pt>
                <c:pt idx="1793">
                  <c:v>44224</c:v>
                </c:pt>
                <c:pt idx="1794">
                  <c:v>44225</c:v>
                </c:pt>
                <c:pt idx="1795">
                  <c:v>44226</c:v>
                </c:pt>
                <c:pt idx="1796">
                  <c:v>44227</c:v>
                </c:pt>
                <c:pt idx="1797">
                  <c:v>44228</c:v>
                </c:pt>
                <c:pt idx="1798">
                  <c:v>44229</c:v>
                </c:pt>
                <c:pt idx="1799">
                  <c:v>44230</c:v>
                </c:pt>
                <c:pt idx="1800">
                  <c:v>44231</c:v>
                </c:pt>
                <c:pt idx="1801">
                  <c:v>44232</c:v>
                </c:pt>
                <c:pt idx="1802">
                  <c:v>44233</c:v>
                </c:pt>
                <c:pt idx="1803">
                  <c:v>44234</c:v>
                </c:pt>
                <c:pt idx="1804">
                  <c:v>44235</c:v>
                </c:pt>
                <c:pt idx="1805">
                  <c:v>44236</c:v>
                </c:pt>
                <c:pt idx="1806">
                  <c:v>44237</c:v>
                </c:pt>
                <c:pt idx="1807">
                  <c:v>44238</c:v>
                </c:pt>
                <c:pt idx="1808">
                  <c:v>44239</c:v>
                </c:pt>
                <c:pt idx="1809">
                  <c:v>44240</c:v>
                </c:pt>
                <c:pt idx="1810">
                  <c:v>44241</c:v>
                </c:pt>
                <c:pt idx="1811">
                  <c:v>44242</c:v>
                </c:pt>
                <c:pt idx="1812">
                  <c:v>44243</c:v>
                </c:pt>
                <c:pt idx="1813">
                  <c:v>44244</c:v>
                </c:pt>
                <c:pt idx="1814">
                  <c:v>44245</c:v>
                </c:pt>
                <c:pt idx="1815">
                  <c:v>44246</c:v>
                </c:pt>
                <c:pt idx="1816">
                  <c:v>44247</c:v>
                </c:pt>
                <c:pt idx="1817">
                  <c:v>44248</c:v>
                </c:pt>
                <c:pt idx="1818">
                  <c:v>44249</c:v>
                </c:pt>
                <c:pt idx="1819">
                  <c:v>44250</c:v>
                </c:pt>
                <c:pt idx="1820">
                  <c:v>44251</c:v>
                </c:pt>
                <c:pt idx="1821">
                  <c:v>44252</c:v>
                </c:pt>
                <c:pt idx="1822">
                  <c:v>44253</c:v>
                </c:pt>
                <c:pt idx="1823">
                  <c:v>44254</c:v>
                </c:pt>
                <c:pt idx="1824">
                  <c:v>44255</c:v>
                </c:pt>
                <c:pt idx="1825">
                  <c:v>44256</c:v>
                </c:pt>
                <c:pt idx="1826">
                  <c:v>44257</c:v>
                </c:pt>
                <c:pt idx="1827">
                  <c:v>44258</c:v>
                </c:pt>
                <c:pt idx="1828">
                  <c:v>44259</c:v>
                </c:pt>
                <c:pt idx="1829">
                  <c:v>44260</c:v>
                </c:pt>
                <c:pt idx="1830">
                  <c:v>44261</c:v>
                </c:pt>
                <c:pt idx="1831">
                  <c:v>44262</c:v>
                </c:pt>
                <c:pt idx="1832">
                  <c:v>44263</c:v>
                </c:pt>
                <c:pt idx="1833">
                  <c:v>44264</c:v>
                </c:pt>
                <c:pt idx="1834">
                  <c:v>44265</c:v>
                </c:pt>
                <c:pt idx="1835">
                  <c:v>44266</c:v>
                </c:pt>
                <c:pt idx="1836">
                  <c:v>44267</c:v>
                </c:pt>
                <c:pt idx="1837">
                  <c:v>44268</c:v>
                </c:pt>
                <c:pt idx="1838">
                  <c:v>44269</c:v>
                </c:pt>
                <c:pt idx="1839">
                  <c:v>44270</c:v>
                </c:pt>
                <c:pt idx="1840">
                  <c:v>44271</c:v>
                </c:pt>
                <c:pt idx="1841">
                  <c:v>44272</c:v>
                </c:pt>
                <c:pt idx="1842">
                  <c:v>44273</c:v>
                </c:pt>
                <c:pt idx="1843">
                  <c:v>44274</c:v>
                </c:pt>
                <c:pt idx="1844">
                  <c:v>44275</c:v>
                </c:pt>
                <c:pt idx="1845">
                  <c:v>44276</c:v>
                </c:pt>
                <c:pt idx="1846">
                  <c:v>44277</c:v>
                </c:pt>
                <c:pt idx="1847">
                  <c:v>44278</c:v>
                </c:pt>
                <c:pt idx="1848">
                  <c:v>44279</c:v>
                </c:pt>
                <c:pt idx="1849">
                  <c:v>44280</c:v>
                </c:pt>
                <c:pt idx="1850">
                  <c:v>44281</c:v>
                </c:pt>
                <c:pt idx="1851">
                  <c:v>44282</c:v>
                </c:pt>
                <c:pt idx="1852">
                  <c:v>44283</c:v>
                </c:pt>
                <c:pt idx="1853">
                  <c:v>44284</c:v>
                </c:pt>
                <c:pt idx="1854">
                  <c:v>44285</c:v>
                </c:pt>
                <c:pt idx="1855">
                  <c:v>44286</c:v>
                </c:pt>
                <c:pt idx="1856">
                  <c:v>44287</c:v>
                </c:pt>
                <c:pt idx="1857">
                  <c:v>44288</c:v>
                </c:pt>
                <c:pt idx="1858">
                  <c:v>44289</c:v>
                </c:pt>
                <c:pt idx="1859">
                  <c:v>44290</c:v>
                </c:pt>
                <c:pt idx="1860">
                  <c:v>44291</c:v>
                </c:pt>
                <c:pt idx="1861">
                  <c:v>44292</c:v>
                </c:pt>
                <c:pt idx="1862">
                  <c:v>44293</c:v>
                </c:pt>
                <c:pt idx="1863">
                  <c:v>44294</c:v>
                </c:pt>
                <c:pt idx="1864">
                  <c:v>44295</c:v>
                </c:pt>
                <c:pt idx="1865">
                  <c:v>44296</c:v>
                </c:pt>
                <c:pt idx="1866">
                  <c:v>44297</c:v>
                </c:pt>
                <c:pt idx="1867">
                  <c:v>44298</c:v>
                </c:pt>
                <c:pt idx="1868">
                  <c:v>44299</c:v>
                </c:pt>
                <c:pt idx="1869">
                  <c:v>44300</c:v>
                </c:pt>
                <c:pt idx="1870">
                  <c:v>44301</c:v>
                </c:pt>
                <c:pt idx="1871">
                  <c:v>44302</c:v>
                </c:pt>
                <c:pt idx="1872">
                  <c:v>44303</c:v>
                </c:pt>
                <c:pt idx="1873">
                  <c:v>44304</c:v>
                </c:pt>
                <c:pt idx="1874">
                  <c:v>44305</c:v>
                </c:pt>
                <c:pt idx="1875">
                  <c:v>44306</c:v>
                </c:pt>
                <c:pt idx="1876">
                  <c:v>44307</c:v>
                </c:pt>
                <c:pt idx="1877">
                  <c:v>44308</c:v>
                </c:pt>
                <c:pt idx="1878">
                  <c:v>44309</c:v>
                </c:pt>
                <c:pt idx="1879">
                  <c:v>44310</c:v>
                </c:pt>
                <c:pt idx="1880">
                  <c:v>44311</c:v>
                </c:pt>
                <c:pt idx="1881">
                  <c:v>44312</c:v>
                </c:pt>
                <c:pt idx="1882">
                  <c:v>44313</c:v>
                </c:pt>
                <c:pt idx="1883">
                  <c:v>44314</c:v>
                </c:pt>
                <c:pt idx="1884">
                  <c:v>44315</c:v>
                </c:pt>
                <c:pt idx="1885">
                  <c:v>44316</c:v>
                </c:pt>
                <c:pt idx="1886">
                  <c:v>44317</c:v>
                </c:pt>
                <c:pt idx="1887">
                  <c:v>44318</c:v>
                </c:pt>
                <c:pt idx="1888">
                  <c:v>44319</c:v>
                </c:pt>
                <c:pt idx="1889">
                  <c:v>44320</c:v>
                </c:pt>
                <c:pt idx="1890">
                  <c:v>44321</c:v>
                </c:pt>
                <c:pt idx="1891">
                  <c:v>44322</c:v>
                </c:pt>
                <c:pt idx="1892">
                  <c:v>44323</c:v>
                </c:pt>
                <c:pt idx="1893">
                  <c:v>44324</c:v>
                </c:pt>
                <c:pt idx="1894">
                  <c:v>44325</c:v>
                </c:pt>
                <c:pt idx="1895">
                  <c:v>44326</c:v>
                </c:pt>
                <c:pt idx="1896">
                  <c:v>44327</c:v>
                </c:pt>
                <c:pt idx="1897">
                  <c:v>44328</c:v>
                </c:pt>
                <c:pt idx="1898">
                  <c:v>44329</c:v>
                </c:pt>
                <c:pt idx="1899">
                  <c:v>44330</c:v>
                </c:pt>
                <c:pt idx="1900">
                  <c:v>44331</c:v>
                </c:pt>
                <c:pt idx="1901">
                  <c:v>44332</c:v>
                </c:pt>
                <c:pt idx="1902">
                  <c:v>44333</c:v>
                </c:pt>
                <c:pt idx="1903">
                  <c:v>44334</c:v>
                </c:pt>
                <c:pt idx="1904">
                  <c:v>44335</c:v>
                </c:pt>
                <c:pt idx="1905">
                  <c:v>44336</c:v>
                </c:pt>
                <c:pt idx="1906">
                  <c:v>44337</c:v>
                </c:pt>
                <c:pt idx="1907">
                  <c:v>44338</c:v>
                </c:pt>
                <c:pt idx="1908">
                  <c:v>44339</c:v>
                </c:pt>
                <c:pt idx="1909">
                  <c:v>44340</c:v>
                </c:pt>
                <c:pt idx="1910">
                  <c:v>44341</c:v>
                </c:pt>
                <c:pt idx="1911">
                  <c:v>44342</c:v>
                </c:pt>
                <c:pt idx="1912">
                  <c:v>44343</c:v>
                </c:pt>
                <c:pt idx="1913">
                  <c:v>44344</c:v>
                </c:pt>
                <c:pt idx="1914">
                  <c:v>44345</c:v>
                </c:pt>
                <c:pt idx="1915">
                  <c:v>44346</c:v>
                </c:pt>
                <c:pt idx="1916">
                  <c:v>44347</c:v>
                </c:pt>
                <c:pt idx="1917">
                  <c:v>44348</c:v>
                </c:pt>
                <c:pt idx="1918">
                  <c:v>44349</c:v>
                </c:pt>
                <c:pt idx="1919">
                  <c:v>44350</c:v>
                </c:pt>
                <c:pt idx="1920">
                  <c:v>44351</c:v>
                </c:pt>
                <c:pt idx="1921">
                  <c:v>44352</c:v>
                </c:pt>
                <c:pt idx="1922">
                  <c:v>44353</c:v>
                </c:pt>
                <c:pt idx="1923">
                  <c:v>44354</c:v>
                </c:pt>
                <c:pt idx="1924">
                  <c:v>44355</c:v>
                </c:pt>
                <c:pt idx="1925">
                  <c:v>44356</c:v>
                </c:pt>
                <c:pt idx="1926">
                  <c:v>44357</c:v>
                </c:pt>
                <c:pt idx="1927">
                  <c:v>44358</c:v>
                </c:pt>
                <c:pt idx="1928">
                  <c:v>44359</c:v>
                </c:pt>
                <c:pt idx="1929">
                  <c:v>44360</c:v>
                </c:pt>
                <c:pt idx="1930">
                  <c:v>44361</c:v>
                </c:pt>
                <c:pt idx="1931">
                  <c:v>44362</c:v>
                </c:pt>
                <c:pt idx="1932">
                  <c:v>44363</c:v>
                </c:pt>
                <c:pt idx="1933">
                  <c:v>44364</c:v>
                </c:pt>
                <c:pt idx="1934">
                  <c:v>44365</c:v>
                </c:pt>
                <c:pt idx="1935">
                  <c:v>44366</c:v>
                </c:pt>
                <c:pt idx="1936">
                  <c:v>44367</c:v>
                </c:pt>
                <c:pt idx="1937">
                  <c:v>44368</c:v>
                </c:pt>
                <c:pt idx="1938">
                  <c:v>44369</c:v>
                </c:pt>
                <c:pt idx="1939">
                  <c:v>44370</c:v>
                </c:pt>
                <c:pt idx="1940">
                  <c:v>44371</c:v>
                </c:pt>
                <c:pt idx="1941">
                  <c:v>44372</c:v>
                </c:pt>
                <c:pt idx="1942">
                  <c:v>44373</c:v>
                </c:pt>
                <c:pt idx="1943">
                  <c:v>44374</c:v>
                </c:pt>
                <c:pt idx="1944">
                  <c:v>44375</c:v>
                </c:pt>
                <c:pt idx="1945">
                  <c:v>44376</c:v>
                </c:pt>
                <c:pt idx="1946">
                  <c:v>44377</c:v>
                </c:pt>
                <c:pt idx="1947">
                  <c:v>44378</c:v>
                </c:pt>
                <c:pt idx="1948">
                  <c:v>44379</c:v>
                </c:pt>
                <c:pt idx="1949">
                  <c:v>44380</c:v>
                </c:pt>
                <c:pt idx="1950">
                  <c:v>44381</c:v>
                </c:pt>
                <c:pt idx="1951">
                  <c:v>44382</c:v>
                </c:pt>
                <c:pt idx="1952">
                  <c:v>44383</c:v>
                </c:pt>
                <c:pt idx="1953">
                  <c:v>44384</c:v>
                </c:pt>
                <c:pt idx="1954">
                  <c:v>44385</c:v>
                </c:pt>
                <c:pt idx="1955">
                  <c:v>44386</c:v>
                </c:pt>
                <c:pt idx="1956">
                  <c:v>44387</c:v>
                </c:pt>
                <c:pt idx="1957">
                  <c:v>44388</c:v>
                </c:pt>
                <c:pt idx="1958">
                  <c:v>44389</c:v>
                </c:pt>
                <c:pt idx="1959">
                  <c:v>44390</c:v>
                </c:pt>
                <c:pt idx="1960">
                  <c:v>44391</c:v>
                </c:pt>
                <c:pt idx="1961">
                  <c:v>44392</c:v>
                </c:pt>
                <c:pt idx="1962">
                  <c:v>44393</c:v>
                </c:pt>
                <c:pt idx="1963">
                  <c:v>44394</c:v>
                </c:pt>
                <c:pt idx="1964">
                  <c:v>44395</c:v>
                </c:pt>
                <c:pt idx="1965">
                  <c:v>44396</c:v>
                </c:pt>
                <c:pt idx="1966">
                  <c:v>44397</c:v>
                </c:pt>
                <c:pt idx="1967">
                  <c:v>44398</c:v>
                </c:pt>
                <c:pt idx="1968">
                  <c:v>44399</c:v>
                </c:pt>
                <c:pt idx="1969">
                  <c:v>44400</c:v>
                </c:pt>
                <c:pt idx="1970">
                  <c:v>44401</c:v>
                </c:pt>
                <c:pt idx="1971">
                  <c:v>44402</c:v>
                </c:pt>
                <c:pt idx="1972">
                  <c:v>44403</c:v>
                </c:pt>
                <c:pt idx="1973">
                  <c:v>44404</c:v>
                </c:pt>
                <c:pt idx="1974">
                  <c:v>44405</c:v>
                </c:pt>
                <c:pt idx="1975">
                  <c:v>44406</c:v>
                </c:pt>
                <c:pt idx="1976">
                  <c:v>44407</c:v>
                </c:pt>
                <c:pt idx="1977">
                  <c:v>44408</c:v>
                </c:pt>
                <c:pt idx="1978">
                  <c:v>44409</c:v>
                </c:pt>
                <c:pt idx="1979">
                  <c:v>44410</c:v>
                </c:pt>
                <c:pt idx="1980">
                  <c:v>44411</c:v>
                </c:pt>
                <c:pt idx="1981">
                  <c:v>44412</c:v>
                </c:pt>
                <c:pt idx="1982">
                  <c:v>44413</c:v>
                </c:pt>
                <c:pt idx="1983">
                  <c:v>44414</c:v>
                </c:pt>
                <c:pt idx="1984">
                  <c:v>44415</c:v>
                </c:pt>
                <c:pt idx="1985">
                  <c:v>44416</c:v>
                </c:pt>
                <c:pt idx="1986">
                  <c:v>44417</c:v>
                </c:pt>
                <c:pt idx="1987">
                  <c:v>44418</c:v>
                </c:pt>
                <c:pt idx="1988">
                  <c:v>44419</c:v>
                </c:pt>
                <c:pt idx="1989">
                  <c:v>44420</c:v>
                </c:pt>
                <c:pt idx="1990">
                  <c:v>44421</c:v>
                </c:pt>
                <c:pt idx="1991">
                  <c:v>44422</c:v>
                </c:pt>
                <c:pt idx="1992">
                  <c:v>44423</c:v>
                </c:pt>
                <c:pt idx="1993">
                  <c:v>44424</c:v>
                </c:pt>
                <c:pt idx="1994">
                  <c:v>44425</c:v>
                </c:pt>
                <c:pt idx="1995">
                  <c:v>44426</c:v>
                </c:pt>
                <c:pt idx="1996">
                  <c:v>44427</c:v>
                </c:pt>
                <c:pt idx="1997">
                  <c:v>44428</c:v>
                </c:pt>
                <c:pt idx="1998">
                  <c:v>44429</c:v>
                </c:pt>
                <c:pt idx="1999">
                  <c:v>44430</c:v>
                </c:pt>
                <c:pt idx="2000">
                  <c:v>44431</c:v>
                </c:pt>
                <c:pt idx="2001">
                  <c:v>44432</c:v>
                </c:pt>
                <c:pt idx="2002">
                  <c:v>44433</c:v>
                </c:pt>
                <c:pt idx="2003">
                  <c:v>44434</c:v>
                </c:pt>
                <c:pt idx="2004">
                  <c:v>44435</c:v>
                </c:pt>
                <c:pt idx="2005">
                  <c:v>44436</c:v>
                </c:pt>
                <c:pt idx="2006">
                  <c:v>44437</c:v>
                </c:pt>
                <c:pt idx="2007">
                  <c:v>44438</c:v>
                </c:pt>
                <c:pt idx="2008">
                  <c:v>44439</c:v>
                </c:pt>
                <c:pt idx="2009">
                  <c:v>44440</c:v>
                </c:pt>
                <c:pt idx="2010">
                  <c:v>44441</c:v>
                </c:pt>
                <c:pt idx="2011">
                  <c:v>44442</c:v>
                </c:pt>
                <c:pt idx="2012">
                  <c:v>44443</c:v>
                </c:pt>
                <c:pt idx="2013">
                  <c:v>44444</c:v>
                </c:pt>
                <c:pt idx="2014">
                  <c:v>44445</c:v>
                </c:pt>
                <c:pt idx="2015">
                  <c:v>44446</c:v>
                </c:pt>
                <c:pt idx="2016">
                  <c:v>44447</c:v>
                </c:pt>
                <c:pt idx="2017">
                  <c:v>44448</c:v>
                </c:pt>
                <c:pt idx="2018">
                  <c:v>44449</c:v>
                </c:pt>
                <c:pt idx="2019">
                  <c:v>44450</c:v>
                </c:pt>
                <c:pt idx="2020">
                  <c:v>44451</c:v>
                </c:pt>
                <c:pt idx="2021">
                  <c:v>44452</c:v>
                </c:pt>
                <c:pt idx="2022">
                  <c:v>44453</c:v>
                </c:pt>
                <c:pt idx="2023">
                  <c:v>44454</c:v>
                </c:pt>
                <c:pt idx="2024">
                  <c:v>44455</c:v>
                </c:pt>
                <c:pt idx="2025">
                  <c:v>44456</c:v>
                </c:pt>
                <c:pt idx="2026">
                  <c:v>44457</c:v>
                </c:pt>
                <c:pt idx="2027">
                  <c:v>44458</c:v>
                </c:pt>
                <c:pt idx="2028">
                  <c:v>44459</c:v>
                </c:pt>
                <c:pt idx="2029">
                  <c:v>44460</c:v>
                </c:pt>
                <c:pt idx="2030">
                  <c:v>44461</c:v>
                </c:pt>
                <c:pt idx="2031">
                  <c:v>44462</c:v>
                </c:pt>
                <c:pt idx="2032">
                  <c:v>44463</c:v>
                </c:pt>
                <c:pt idx="2033">
                  <c:v>44464</c:v>
                </c:pt>
                <c:pt idx="2034">
                  <c:v>44465</c:v>
                </c:pt>
                <c:pt idx="2035">
                  <c:v>44466</c:v>
                </c:pt>
                <c:pt idx="2036">
                  <c:v>44467</c:v>
                </c:pt>
                <c:pt idx="2037">
                  <c:v>44468</c:v>
                </c:pt>
                <c:pt idx="2038">
                  <c:v>44469</c:v>
                </c:pt>
                <c:pt idx="2039">
                  <c:v>44470</c:v>
                </c:pt>
                <c:pt idx="2040">
                  <c:v>44471</c:v>
                </c:pt>
                <c:pt idx="2041">
                  <c:v>44472</c:v>
                </c:pt>
                <c:pt idx="2042">
                  <c:v>44473</c:v>
                </c:pt>
                <c:pt idx="2043">
                  <c:v>44474</c:v>
                </c:pt>
                <c:pt idx="2044">
                  <c:v>44475</c:v>
                </c:pt>
                <c:pt idx="2045">
                  <c:v>44476</c:v>
                </c:pt>
                <c:pt idx="2046">
                  <c:v>44477</c:v>
                </c:pt>
                <c:pt idx="2047">
                  <c:v>44478</c:v>
                </c:pt>
                <c:pt idx="2048">
                  <c:v>44479</c:v>
                </c:pt>
                <c:pt idx="2049">
                  <c:v>44480</c:v>
                </c:pt>
                <c:pt idx="2050">
                  <c:v>44481</c:v>
                </c:pt>
                <c:pt idx="2051">
                  <c:v>44482</c:v>
                </c:pt>
                <c:pt idx="2052">
                  <c:v>44483</c:v>
                </c:pt>
                <c:pt idx="2053">
                  <c:v>44484</c:v>
                </c:pt>
                <c:pt idx="2054">
                  <c:v>44485</c:v>
                </c:pt>
                <c:pt idx="2055">
                  <c:v>44486</c:v>
                </c:pt>
                <c:pt idx="2056">
                  <c:v>44487</c:v>
                </c:pt>
                <c:pt idx="2057">
                  <c:v>44488</c:v>
                </c:pt>
                <c:pt idx="2058">
                  <c:v>44489</c:v>
                </c:pt>
                <c:pt idx="2059">
                  <c:v>44490</c:v>
                </c:pt>
                <c:pt idx="2060">
                  <c:v>44491</c:v>
                </c:pt>
                <c:pt idx="2061">
                  <c:v>44492</c:v>
                </c:pt>
                <c:pt idx="2062">
                  <c:v>44493</c:v>
                </c:pt>
                <c:pt idx="2063">
                  <c:v>44494</c:v>
                </c:pt>
                <c:pt idx="2064">
                  <c:v>44495</c:v>
                </c:pt>
                <c:pt idx="2065">
                  <c:v>44496</c:v>
                </c:pt>
                <c:pt idx="2066">
                  <c:v>44497</c:v>
                </c:pt>
                <c:pt idx="2067">
                  <c:v>44498</c:v>
                </c:pt>
                <c:pt idx="2068">
                  <c:v>44499</c:v>
                </c:pt>
                <c:pt idx="2069">
                  <c:v>44500</c:v>
                </c:pt>
                <c:pt idx="2070">
                  <c:v>44501</c:v>
                </c:pt>
                <c:pt idx="2071">
                  <c:v>44502</c:v>
                </c:pt>
                <c:pt idx="2072">
                  <c:v>44503</c:v>
                </c:pt>
                <c:pt idx="2073">
                  <c:v>44504</c:v>
                </c:pt>
                <c:pt idx="2074">
                  <c:v>44505</c:v>
                </c:pt>
                <c:pt idx="2075">
                  <c:v>44506</c:v>
                </c:pt>
                <c:pt idx="2076">
                  <c:v>44507</c:v>
                </c:pt>
                <c:pt idx="2077">
                  <c:v>44508</c:v>
                </c:pt>
                <c:pt idx="2078">
                  <c:v>44509</c:v>
                </c:pt>
                <c:pt idx="2079">
                  <c:v>44510</c:v>
                </c:pt>
                <c:pt idx="2080">
                  <c:v>44511</c:v>
                </c:pt>
                <c:pt idx="2081">
                  <c:v>44512</c:v>
                </c:pt>
                <c:pt idx="2082">
                  <c:v>44513</c:v>
                </c:pt>
                <c:pt idx="2083">
                  <c:v>44514</c:v>
                </c:pt>
                <c:pt idx="2084">
                  <c:v>44515</c:v>
                </c:pt>
                <c:pt idx="2085">
                  <c:v>44516</c:v>
                </c:pt>
                <c:pt idx="2086">
                  <c:v>44517</c:v>
                </c:pt>
                <c:pt idx="2087">
                  <c:v>44518</c:v>
                </c:pt>
                <c:pt idx="2088">
                  <c:v>44519</c:v>
                </c:pt>
                <c:pt idx="2089">
                  <c:v>44520</c:v>
                </c:pt>
                <c:pt idx="2090">
                  <c:v>44521</c:v>
                </c:pt>
                <c:pt idx="2091">
                  <c:v>44522</c:v>
                </c:pt>
                <c:pt idx="2092">
                  <c:v>44523</c:v>
                </c:pt>
                <c:pt idx="2093">
                  <c:v>44524</c:v>
                </c:pt>
                <c:pt idx="2094">
                  <c:v>44525</c:v>
                </c:pt>
                <c:pt idx="2095">
                  <c:v>44526</c:v>
                </c:pt>
                <c:pt idx="2096">
                  <c:v>44527</c:v>
                </c:pt>
                <c:pt idx="2097">
                  <c:v>44528</c:v>
                </c:pt>
                <c:pt idx="2098">
                  <c:v>44529</c:v>
                </c:pt>
                <c:pt idx="2099">
                  <c:v>44530</c:v>
                </c:pt>
                <c:pt idx="2100">
                  <c:v>44531</c:v>
                </c:pt>
                <c:pt idx="2101">
                  <c:v>44532</c:v>
                </c:pt>
                <c:pt idx="2102">
                  <c:v>44533</c:v>
                </c:pt>
                <c:pt idx="2103">
                  <c:v>44534</c:v>
                </c:pt>
                <c:pt idx="2104">
                  <c:v>44535</c:v>
                </c:pt>
                <c:pt idx="2105">
                  <c:v>44536</c:v>
                </c:pt>
                <c:pt idx="2106">
                  <c:v>44537</c:v>
                </c:pt>
                <c:pt idx="2107">
                  <c:v>44538</c:v>
                </c:pt>
                <c:pt idx="2108">
                  <c:v>44539</c:v>
                </c:pt>
                <c:pt idx="2109">
                  <c:v>44540</c:v>
                </c:pt>
                <c:pt idx="2110">
                  <c:v>44541</c:v>
                </c:pt>
                <c:pt idx="2111">
                  <c:v>44542</c:v>
                </c:pt>
                <c:pt idx="2112">
                  <c:v>44543</c:v>
                </c:pt>
                <c:pt idx="2113">
                  <c:v>44544</c:v>
                </c:pt>
                <c:pt idx="2114">
                  <c:v>44545</c:v>
                </c:pt>
                <c:pt idx="2115">
                  <c:v>44546</c:v>
                </c:pt>
                <c:pt idx="2116">
                  <c:v>44547</c:v>
                </c:pt>
                <c:pt idx="2117">
                  <c:v>44548</c:v>
                </c:pt>
                <c:pt idx="2118">
                  <c:v>44549</c:v>
                </c:pt>
                <c:pt idx="2119">
                  <c:v>44550</c:v>
                </c:pt>
                <c:pt idx="2120">
                  <c:v>44551</c:v>
                </c:pt>
                <c:pt idx="2121">
                  <c:v>44552</c:v>
                </c:pt>
                <c:pt idx="2122">
                  <c:v>44553</c:v>
                </c:pt>
                <c:pt idx="2123">
                  <c:v>44554</c:v>
                </c:pt>
                <c:pt idx="2124">
                  <c:v>44555</c:v>
                </c:pt>
                <c:pt idx="2125">
                  <c:v>44556</c:v>
                </c:pt>
                <c:pt idx="2126">
                  <c:v>44557</c:v>
                </c:pt>
                <c:pt idx="2127">
                  <c:v>44558</c:v>
                </c:pt>
                <c:pt idx="2128">
                  <c:v>44559</c:v>
                </c:pt>
                <c:pt idx="2129">
                  <c:v>44560</c:v>
                </c:pt>
                <c:pt idx="2130">
                  <c:v>44561</c:v>
                </c:pt>
                <c:pt idx="2131">
                  <c:v>44562</c:v>
                </c:pt>
                <c:pt idx="2132">
                  <c:v>44563</c:v>
                </c:pt>
                <c:pt idx="2133">
                  <c:v>44564</c:v>
                </c:pt>
                <c:pt idx="2134">
                  <c:v>44565</c:v>
                </c:pt>
                <c:pt idx="2135">
                  <c:v>44566</c:v>
                </c:pt>
                <c:pt idx="2136">
                  <c:v>44567</c:v>
                </c:pt>
                <c:pt idx="2137">
                  <c:v>44568</c:v>
                </c:pt>
                <c:pt idx="2138">
                  <c:v>44569</c:v>
                </c:pt>
                <c:pt idx="2139">
                  <c:v>44570</c:v>
                </c:pt>
                <c:pt idx="2140">
                  <c:v>44571</c:v>
                </c:pt>
                <c:pt idx="2141">
                  <c:v>44572</c:v>
                </c:pt>
                <c:pt idx="2142">
                  <c:v>44573</c:v>
                </c:pt>
                <c:pt idx="2143">
                  <c:v>44574</c:v>
                </c:pt>
                <c:pt idx="2144">
                  <c:v>44575</c:v>
                </c:pt>
                <c:pt idx="2145">
                  <c:v>44576</c:v>
                </c:pt>
                <c:pt idx="2146">
                  <c:v>44577</c:v>
                </c:pt>
                <c:pt idx="2147">
                  <c:v>44578</c:v>
                </c:pt>
                <c:pt idx="2148">
                  <c:v>44579</c:v>
                </c:pt>
                <c:pt idx="2149">
                  <c:v>44580</c:v>
                </c:pt>
                <c:pt idx="2150">
                  <c:v>44581</c:v>
                </c:pt>
                <c:pt idx="2151">
                  <c:v>44582</c:v>
                </c:pt>
                <c:pt idx="2152">
                  <c:v>44583</c:v>
                </c:pt>
                <c:pt idx="2153">
                  <c:v>44584</c:v>
                </c:pt>
                <c:pt idx="2154">
                  <c:v>44585</c:v>
                </c:pt>
                <c:pt idx="2155">
                  <c:v>44586</c:v>
                </c:pt>
                <c:pt idx="2156">
                  <c:v>44587</c:v>
                </c:pt>
                <c:pt idx="2157">
                  <c:v>44588</c:v>
                </c:pt>
                <c:pt idx="2158">
                  <c:v>44589</c:v>
                </c:pt>
                <c:pt idx="2159">
                  <c:v>44590</c:v>
                </c:pt>
                <c:pt idx="2160">
                  <c:v>44591</c:v>
                </c:pt>
                <c:pt idx="2161">
                  <c:v>44592</c:v>
                </c:pt>
                <c:pt idx="2162">
                  <c:v>44593</c:v>
                </c:pt>
                <c:pt idx="2163">
                  <c:v>44594</c:v>
                </c:pt>
                <c:pt idx="2164">
                  <c:v>44595</c:v>
                </c:pt>
                <c:pt idx="2165">
                  <c:v>44596</c:v>
                </c:pt>
                <c:pt idx="2166">
                  <c:v>44597</c:v>
                </c:pt>
                <c:pt idx="2167">
                  <c:v>44598</c:v>
                </c:pt>
                <c:pt idx="2168">
                  <c:v>44599</c:v>
                </c:pt>
                <c:pt idx="2169">
                  <c:v>44600</c:v>
                </c:pt>
                <c:pt idx="2170">
                  <c:v>44601</c:v>
                </c:pt>
                <c:pt idx="2171">
                  <c:v>44602</c:v>
                </c:pt>
                <c:pt idx="2172">
                  <c:v>44603</c:v>
                </c:pt>
                <c:pt idx="2173">
                  <c:v>44604</c:v>
                </c:pt>
                <c:pt idx="2174">
                  <c:v>44605</c:v>
                </c:pt>
                <c:pt idx="2175">
                  <c:v>44606</c:v>
                </c:pt>
                <c:pt idx="2176">
                  <c:v>44607</c:v>
                </c:pt>
                <c:pt idx="2177">
                  <c:v>44608</c:v>
                </c:pt>
                <c:pt idx="2178">
                  <c:v>44609</c:v>
                </c:pt>
                <c:pt idx="2179">
                  <c:v>44610</c:v>
                </c:pt>
                <c:pt idx="2180">
                  <c:v>44611</c:v>
                </c:pt>
                <c:pt idx="2181">
                  <c:v>44612</c:v>
                </c:pt>
                <c:pt idx="2182">
                  <c:v>44613</c:v>
                </c:pt>
                <c:pt idx="2183">
                  <c:v>44614</c:v>
                </c:pt>
                <c:pt idx="2184">
                  <c:v>44615</c:v>
                </c:pt>
                <c:pt idx="2185">
                  <c:v>44616</c:v>
                </c:pt>
                <c:pt idx="2186">
                  <c:v>44617</c:v>
                </c:pt>
                <c:pt idx="2187">
                  <c:v>44618</c:v>
                </c:pt>
                <c:pt idx="2188">
                  <c:v>44619</c:v>
                </c:pt>
                <c:pt idx="2189">
                  <c:v>44620</c:v>
                </c:pt>
                <c:pt idx="2190">
                  <c:v>44621</c:v>
                </c:pt>
                <c:pt idx="2191">
                  <c:v>44622</c:v>
                </c:pt>
                <c:pt idx="2192">
                  <c:v>44623</c:v>
                </c:pt>
                <c:pt idx="2193">
                  <c:v>44624</c:v>
                </c:pt>
                <c:pt idx="2194">
                  <c:v>44625</c:v>
                </c:pt>
                <c:pt idx="2195">
                  <c:v>44626</c:v>
                </c:pt>
                <c:pt idx="2196">
                  <c:v>44627</c:v>
                </c:pt>
                <c:pt idx="2197">
                  <c:v>44628</c:v>
                </c:pt>
                <c:pt idx="2198">
                  <c:v>44629</c:v>
                </c:pt>
                <c:pt idx="2199">
                  <c:v>44630</c:v>
                </c:pt>
                <c:pt idx="2200">
                  <c:v>44631</c:v>
                </c:pt>
                <c:pt idx="2201">
                  <c:v>44632</c:v>
                </c:pt>
                <c:pt idx="2202">
                  <c:v>44633</c:v>
                </c:pt>
                <c:pt idx="2203">
                  <c:v>44634</c:v>
                </c:pt>
                <c:pt idx="2204">
                  <c:v>44635</c:v>
                </c:pt>
                <c:pt idx="2205">
                  <c:v>44636</c:v>
                </c:pt>
                <c:pt idx="2206">
                  <c:v>44637</c:v>
                </c:pt>
                <c:pt idx="2207">
                  <c:v>44638</c:v>
                </c:pt>
                <c:pt idx="2208">
                  <c:v>44639</c:v>
                </c:pt>
                <c:pt idx="2209">
                  <c:v>44640</c:v>
                </c:pt>
                <c:pt idx="2210">
                  <c:v>44641</c:v>
                </c:pt>
                <c:pt idx="2211">
                  <c:v>44642</c:v>
                </c:pt>
                <c:pt idx="2212">
                  <c:v>44643</c:v>
                </c:pt>
                <c:pt idx="2213">
                  <c:v>44644</c:v>
                </c:pt>
                <c:pt idx="2214">
                  <c:v>44645</c:v>
                </c:pt>
                <c:pt idx="2215">
                  <c:v>44646</c:v>
                </c:pt>
                <c:pt idx="2216">
                  <c:v>44647</c:v>
                </c:pt>
                <c:pt idx="2217">
                  <c:v>44648</c:v>
                </c:pt>
                <c:pt idx="2218">
                  <c:v>44649</c:v>
                </c:pt>
                <c:pt idx="2219">
                  <c:v>44650</c:v>
                </c:pt>
                <c:pt idx="2220">
                  <c:v>44651</c:v>
                </c:pt>
                <c:pt idx="2221">
                  <c:v>44652</c:v>
                </c:pt>
                <c:pt idx="2222">
                  <c:v>44653</c:v>
                </c:pt>
                <c:pt idx="2223">
                  <c:v>44654</c:v>
                </c:pt>
                <c:pt idx="2224">
                  <c:v>44655</c:v>
                </c:pt>
                <c:pt idx="2225">
                  <c:v>44656</c:v>
                </c:pt>
                <c:pt idx="2226">
                  <c:v>44657</c:v>
                </c:pt>
                <c:pt idx="2227">
                  <c:v>44658</c:v>
                </c:pt>
                <c:pt idx="2228">
                  <c:v>44659</c:v>
                </c:pt>
                <c:pt idx="2229">
                  <c:v>44660</c:v>
                </c:pt>
                <c:pt idx="2230">
                  <c:v>44661</c:v>
                </c:pt>
                <c:pt idx="2231">
                  <c:v>44662</c:v>
                </c:pt>
                <c:pt idx="2232">
                  <c:v>44663</c:v>
                </c:pt>
                <c:pt idx="2233">
                  <c:v>44664</c:v>
                </c:pt>
                <c:pt idx="2234">
                  <c:v>44665</c:v>
                </c:pt>
                <c:pt idx="2235">
                  <c:v>44666</c:v>
                </c:pt>
                <c:pt idx="2236">
                  <c:v>44667</c:v>
                </c:pt>
                <c:pt idx="2237">
                  <c:v>44668</c:v>
                </c:pt>
                <c:pt idx="2238">
                  <c:v>44669</c:v>
                </c:pt>
                <c:pt idx="2239">
                  <c:v>44670</c:v>
                </c:pt>
                <c:pt idx="2240">
                  <c:v>44671</c:v>
                </c:pt>
                <c:pt idx="2241">
                  <c:v>44672</c:v>
                </c:pt>
                <c:pt idx="2242">
                  <c:v>44673</c:v>
                </c:pt>
                <c:pt idx="2243">
                  <c:v>44674</c:v>
                </c:pt>
                <c:pt idx="2244">
                  <c:v>44675</c:v>
                </c:pt>
                <c:pt idx="2245">
                  <c:v>44676</c:v>
                </c:pt>
                <c:pt idx="2246">
                  <c:v>44677</c:v>
                </c:pt>
                <c:pt idx="2247">
                  <c:v>44678</c:v>
                </c:pt>
                <c:pt idx="2248">
                  <c:v>44679</c:v>
                </c:pt>
                <c:pt idx="2249">
                  <c:v>44680</c:v>
                </c:pt>
                <c:pt idx="2250">
                  <c:v>44681</c:v>
                </c:pt>
                <c:pt idx="2251">
                  <c:v>44682</c:v>
                </c:pt>
                <c:pt idx="2252">
                  <c:v>44683</c:v>
                </c:pt>
                <c:pt idx="2253">
                  <c:v>44684</c:v>
                </c:pt>
                <c:pt idx="2254">
                  <c:v>44685</c:v>
                </c:pt>
                <c:pt idx="2255">
                  <c:v>44686</c:v>
                </c:pt>
                <c:pt idx="2256">
                  <c:v>44687</c:v>
                </c:pt>
                <c:pt idx="2257">
                  <c:v>44688</c:v>
                </c:pt>
                <c:pt idx="2258">
                  <c:v>44689</c:v>
                </c:pt>
                <c:pt idx="2259">
                  <c:v>44690</c:v>
                </c:pt>
                <c:pt idx="2260">
                  <c:v>44691</c:v>
                </c:pt>
                <c:pt idx="2261">
                  <c:v>44692</c:v>
                </c:pt>
                <c:pt idx="2262">
                  <c:v>44693</c:v>
                </c:pt>
                <c:pt idx="2263">
                  <c:v>44694</c:v>
                </c:pt>
                <c:pt idx="2264">
                  <c:v>44695</c:v>
                </c:pt>
                <c:pt idx="2265">
                  <c:v>44696</c:v>
                </c:pt>
                <c:pt idx="2266">
                  <c:v>44697</c:v>
                </c:pt>
                <c:pt idx="2267">
                  <c:v>44698</c:v>
                </c:pt>
                <c:pt idx="2268">
                  <c:v>44699</c:v>
                </c:pt>
                <c:pt idx="2269">
                  <c:v>44700</c:v>
                </c:pt>
                <c:pt idx="2270">
                  <c:v>44701</c:v>
                </c:pt>
                <c:pt idx="2271">
                  <c:v>44702</c:v>
                </c:pt>
                <c:pt idx="2272">
                  <c:v>44703</c:v>
                </c:pt>
                <c:pt idx="2273">
                  <c:v>44704</c:v>
                </c:pt>
                <c:pt idx="2274">
                  <c:v>44705</c:v>
                </c:pt>
                <c:pt idx="2275">
                  <c:v>44706</c:v>
                </c:pt>
                <c:pt idx="2276">
                  <c:v>44707</c:v>
                </c:pt>
                <c:pt idx="2277">
                  <c:v>44708</c:v>
                </c:pt>
                <c:pt idx="2278">
                  <c:v>44709</c:v>
                </c:pt>
                <c:pt idx="2279">
                  <c:v>44710</c:v>
                </c:pt>
                <c:pt idx="2280">
                  <c:v>44711</c:v>
                </c:pt>
                <c:pt idx="2281">
                  <c:v>44712</c:v>
                </c:pt>
                <c:pt idx="2282">
                  <c:v>44713</c:v>
                </c:pt>
                <c:pt idx="2283">
                  <c:v>44714</c:v>
                </c:pt>
                <c:pt idx="2284">
                  <c:v>44715</c:v>
                </c:pt>
                <c:pt idx="2285">
                  <c:v>44716</c:v>
                </c:pt>
                <c:pt idx="2286">
                  <c:v>44717</c:v>
                </c:pt>
                <c:pt idx="2287">
                  <c:v>44718</c:v>
                </c:pt>
                <c:pt idx="2288">
                  <c:v>44719</c:v>
                </c:pt>
                <c:pt idx="2289">
                  <c:v>44720</c:v>
                </c:pt>
                <c:pt idx="2290">
                  <c:v>44721</c:v>
                </c:pt>
                <c:pt idx="2291">
                  <c:v>44722</c:v>
                </c:pt>
                <c:pt idx="2292">
                  <c:v>44723</c:v>
                </c:pt>
                <c:pt idx="2293">
                  <c:v>44724</c:v>
                </c:pt>
                <c:pt idx="2294">
                  <c:v>44725</c:v>
                </c:pt>
                <c:pt idx="2295">
                  <c:v>44726</c:v>
                </c:pt>
                <c:pt idx="2296">
                  <c:v>44727</c:v>
                </c:pt>
                <c:pt idx="2297">
                  <c:v>44728</c:v>
                </c:pt>
                <c:pt idx="2298">
                  <c:v>44729</c:v>
                </c:pt>
                <c:pt idx="2299">
                  <c:v>44730</c:v>
                </c:pt>
                <c:pt idx="2300">
                  <c:v>44731</c:v>
                </c:pt>
                <c:pt idx="2301">
                  <c:v>44732</c:v>
                </c:pt>
                <c:pt idx="2302">
                  <c:v>44733</c:v>
                </c:pt>
                <c:pt idx="2303">
                  <c:v>44734</c:v>
                </c:pt>
                <c:pt idx="2304">
                  <c:v>44735</c:v>
                </c:pt>
                <c:pt idx="2305">
                  <c:v>44736</c:v>
                </c:pt>
                <c:pt idx="2306">
                  <c:v>44737</c:v>
                </c:pt>
                <c:pt idx="2307">
                  <c:v>44738</c:v>
                </c:pt>
                <c:pt idx="2308">
                  <c:v>44739</c:v>
                </c:pt>
                <c:pt idx="2309">
                  <c:v>44740</c:v>
                </c:pt>
                <c:pt idx="2310">
                  <c:v>44741</c:v>
                </c:pt>
                <c:pt idx="2311">
                  <c:v>44742</c:v>
                </c:pt>
                <c:pt idx="2312">
                  <c:v>44743</c:v>
                </c:pt>
                <c:pt idx="2313">
                  <c:v>44744</c:v>
                </c:pt>
                <c:pt idx="2314">
                  <c:v>44745</c:v>
                </c:pt>
                <c:pt idx="2315">
                  <c:v>44746</c:v>
                </c:pt>
                <c:pt idx="2316">
                  <c:v>44747</c:v>
                </c:pt>
                <c:pt idx="2317">
                  <c:v>44748</c:v>
                </c:pt>
                <c:pt idx="2318">
                  <c:v>44749</c:v>
                </c:pt>
                <c:pt idx="2319">
                  <c:v>44750</c:v>
                </c:pt>
                <c:pt idx="2320">
                  <c:v>44751</c:v>
                </c:pt>
                <c:pt idx="2321">
                  <c:v>44752</c:v>
                </c:pt>
                <c:pt idx="2322">
                  <c:v>44753</c:v>
                </c:pt>
                <c:pt idx="2323">
                  <c:v>44754</c:v>
                </c:pt>
                <c:pt idx="2324">
                  <c:v>44755</c:v>
                </c:pt>
                <c:pt idx="2325">
                  <c:v>44756</c:v>
                </c:pt>
                <c:pt idx="2326">
                  <c:v>44757</c:v>
                </c:pt>
                <c:pt idx="2327">
                  <c:v>44758</c:v>
                </c:pt>
                <c:pt idx="2328">
                  <c:v>44759</c:v>
                </c:pt>
                <c:pt idx="2329">
                  <c:v>44760</c:v>
                </c:pt>
                <c:pt idx="2330">
                  <c:v>44761</c:v>
                </c:pt>
                <c:pt idx="2331">
                  <c:v>44762</c:v>
                </c:pt>
                <c:pt idx="2332">
                  <c:v>44763</c:v>
                </c:pt>
                <c:pt idx="2333">
                  <c:v>44764</c:v>
                </c:pt>
                <c:pt idx="2334">
                  <c:v>44765</c:v>
                </c:pt>
                <c:pt idx="2335">
                  <c:v>44766</c:v>
                </c:pt>
                <c:pt idx="2336">
                  <c:v>44767</c:v>
                </c:pt>
                <c:pt idx="2337">
                  <c:v>44768</c:v>
                </c:pt>
                <c:pt idx="2338">
                  <c:v>44769</c:v>
                </c:pt>
                <c:pt idx="2339">
                  <c:v>44770</c:v>
                </c:pt>
                <c:pt idx="2340">
                  <c:v>44771</c:v>
                </c:pt>
                <c:pt idx="2341">
                  <c:v>44772</c:v>
                </c:pt>
                <c:pt idx="2342">
                  <c:v>44773</c:v>
                </c:pt>
                <c:pt idx="2343">
                  <c:v>44774</c:v>
                </c:pt>
                <c:pt idx="2344">
                  <c:v>44775</c:v>
                </c:pt>
                <c:pt idx="2345">
                  <c:v>44776</c:v>
                </c:pt>
                <c:pt idx="2346">
                  <c:v>44777</c:v>
                </c:pt>
                <c:pt idx="2347">
                  <c:v>44778</c:v>
                </c:pt>
                <c:pt idx="2348">
                  <c:v>44779</c:v>
                </c:pt>
                <c:pt idx="2349">
                  <c:v>44780</c:v>
                </c:pt>
                <c:pt idx="2350">
                  <c:v>44781</c:v>
                </c:pt>
                <c:pt idx="2351">
                  <c:v>44782</c:v>
                </c:pt>
                <c:pt idx="2352">
                  <c:v>44783</c:v>
                </c:pt>
                <c:pt idx="2353">
                  <c:v>44784</c:v>
                </c:pt>
                <c:pt idx="2354">
                  <c:v>44785</c:v>
                </c:pt>
                <c:pt idx="2355">
                  <c:v>44786</c:v>
                </c:pt>
                <c:pt idx="2356">
                  <c:v>44787</c:v>
                </c:pt>
                <c:pt idx="2357">
                  <c:v>44788</c:v>
                </c:pt>
                <c:pt idx="2358">
                  <c:v>44789</c:v>
                </c:pt>
                <c:pt idx="2359">
                  <c:v>44790</c:v>
                </c:pt>
                <c:pt idx="2360">
                  <c:v>44791</c:v>
                </c:pt>
                <c:pt idx="2361">
                  <c:v>44792</c:v>
                </c:pt>
                <c:pt idx="2362">
                  <c:v>44793</c:v>
                </c:pt>
                <c:pt idx="2363">
                  <c:v>44794</c:v>
                </c:pt>
                <c:pt idx="2364">
                  <c:v>44795</c:v>
                </c:pt>
                <c:pt idx="2365">
                  <c:v>44796</c:v>
                </c:pt>
                <c:pt idx="2366">
                  <c:v>44797</c:v>
                </c:pt>
                <c:pt idx="2367">
                  <c:v>44798</c:v>
                </c:pt>
                <c:pt idx="2368">
                  <c:v>44799</c:v>
                </c:pt>
                <c:pt idx="2369">
                  <c:v>44800</c:v>
                </c:pt>
                <c:pt idx="2370">
                  <c:v>44801</c:v>
                </c:pt>
                <c:pt idx="2371">
                  <c:v>44802</c:v>
                </c:pt>
                <c:pt idx="2372">
                  <c:v>44803</c:v>
                </c:pt>
                <c:pt idx="2373">
                  <c:v>44804</c:v>
                </c:pt>
                <c:pt idx="2374">
                  <c:v>44805</c:v>
                </c:pt>
                <c:pt idx="2375">
                  <c:v>44806</c:v>
                </c:pt>
                <c:pt idx="2376">
                  <c:v>44807</c:v>
                </c:pt>
                <c:pt idx="2377">
                  <c:v>44808</c:v>
                </c:pt>
                <c:pt idx="2378">
                  <c:v>44809</c:v>
                </c:pt>
                <c:pt idx="2379">
                  <c:v>44810</c:v>
                </c:pt>
                <c:pt idx="2380">
                  <c:v>44811</c:v>
                </c:pt>
                <c:pt idx="2381">
                  <c:v>44812</c:v>
                </c:pt>
                <c:pt idx="2382">
                  <c:v>44813</c:v>
                </c:pt>
                <c:pt idx="2383">
                  <c:v>44814</c:v>
                </c:pt>
                <c:pt idx="2384">
                  <c:v>44815</c:v>
                </c:pt>
                <c:pt idx="2385">
                  <c:v>44816</c:v>
                </c:pt>
                <c:pt idx="2386">
                  <c:v>44817</c:v>
                </c:pt>
                <c:pt idx="2387">
                  <c:v>44818</c:v>
                </c:pt>
                <c:pt idx="2388">
                  <c:v>44819</c:v>
                </c:pt>
                <c:pt idx="2389">
                  <c:v>44820</c:v>
                </c:pt>
                <c:pt idx="2390">
                  <c:v>44821</c:v>
                </c:pt>
                <c:pt idx="2391">
                  <c:v>44822</c:v>
                </c:pt>
                <c:pt idx="2392">
                  <c:v>44823</c:v>
                </c:pt>
                <c:pt idx="2393">
                  <c:v>44824</c:v>
                </c:pt>
                <c:pt idx="2394">
                  <c:v>44825</c:v>
                </c:pt>
                <c:pt idx="2395">
                  <c:v>44826</c:v>
                </c:pt>
                <c:pt idx="2396">
                  <c:v>44827</c:v>
                </c:pt>
                <c:pt idx="2397">
                  <c:v>44828</c:v>
                </c:pt>
                <c:pt idx="2398">
                  <c:v>44829</c:v>
                </c:pt>
                <c:pt idx="2399">
                  <c:v>44830</c:v>
                </c:pt>
                <c:pt idx="2400">
                  <c:v>44831</c:v>
                </c:pt>
                <c:pt idx="2401">
                  <c:v>44832</c:v>
                </c:pt>
                <c:pt idx="2402">
                  <c:v>44833</c:v>
                </c:pt>
                <c:pt idx="2403">
                  <c:v>44834</c:v>
                </c:pt>
                <c:pt idx="2404">
                  <c:v>44835</c:v>
                </c:pt>
                <c:pt idx="2405">
                  <c:v>44836</c:v>
                </c:pt>
                <c:pt idx="2406">
                  <c:v>44837</c:v>
                </c:pt>
                <c:pt idx="2407">
                  <c:v>44838</c:v>
                </c:pt>
                <c:pt idx="2408">
                  <c:v>44839</c:v>
                </c:pt>
                <c:pt idx="2409">
                  <c:v>44840</c:v>
                </c:pt>
                <c:pt idx="2410">
                  <c:v>44841</c:v>
                </c:pt>
                <c:pt idx="2411">
                  <c:v>44842</c:v>
                </c:pt>
                <c:pt idx="2412">
                  <c:v>44843</c:v>
                </c:pt>
                <c:pt idx="2413">
                  <c:v>44844</c:v>
                </c:pt>
                <c:pt idx="2414">
                  <c:v>44845</c:v>
                </c:pt>
                <c:pt idx="2415">
                  <c:v>44846</c:v>
                </c:pt>
                <c:pt idx="2416">
                  <c:v>44847</c:v>
                </c:pt>
                <c:pt idx="2417">
                  <c:v>44848</c:v>
                </c:pt>
                <c:pt idx="2418">
                  <c:v>44849</c:v>
                </c:pt>
                <c:pt idx="2419">
                  <c:v>44850</c:v>
                </c:pt>
                <c:pt idx="2420">
                  <c:v>44851</c:v>
                </c:pt>
                <c:pt idx="2421">
                  <c:v>44852</c:v>
                </c:pt>
                <c:pt idx="2422">
                  <c:v>44853</c:v>
                </c:pt>
                <c:pt idx="2423">
                  <c:v>44854</c:v>
                </c:pt>
                <c:pt idx="2424">
                  <c:v>44855</c:v>
                </c:pt>
                <c:pt idx="2425">
                  <c:v>44856</c:v>
                </c:pt>
                <c:pt idx="2426">
                  <c:v>44857</c:v>
                </c:pt>
                <c:pt idx="2427">
                  <c:v>44858</c:v>
                </c:pt>
                <c:pt idx="2428">
                  <c:v>44859</c:v>
                </c:pt>
                <c:pt idx="2429">
                  <c:v>44860</c:v>
                </c:pt>
                <c:pt idx="2430">
                  <c:v>44861</c:v>
                </c:pt>
                <c:pt idx="2431">
                  <c:v>44862</c:v>
                </c:pt>
                <c:pt idx="2432">
                  <c:v>44863</c:v>
                </c:pt>
                <c:pt idx="2433">
                  <c:v>44864</c:v>
                </c:pt>
                <c:pt idx="2434">
                  <c:v>44865</c:v>
                </c:pt>
                <c:pt idx="2435">
                  <c:v>44866</c:v>
                </c:pt>
                <c:pt idx="2436">
                  <c:v>44867</c:v>
                </c:pt>
                <c:pt idx="2437">
                  <c:v>44868</c:v>
                </c:pt>
                <c:pt idx="2438">
                  <c:v>44869</c:v>
                </c:pt>
                <c:pt idx="2439">
                  <c:v>44870</c:v>
                </c:pt>
                <c:pt idx="2440">
                  <c:v>44871</c:v>
                </c:pt>
                <c:pt idx="2441">
                  <c:v>44872</c:v>
                </c:pt>
                <c:pt idx="2442">
                  <c:v>44873</c:v>
                </c:pt>
                <c:pt idx="2443">
                  <c:v>44874</c:v>
                </c:pt>
                <c:pt idx="2444">
                  <c:v>44875</c:v>
                </c:pt>
                <c:pt idx="2445">
                  <c:v>44876</c:v>
                </c:pt>
                <c:pt idx="2446">
                  <c:v>44877</c:v>
                </c:pt>
                <c:pt idx="2447">
                  <c:v>44878</c:v>
                </c:pt>
                <c:pt idx="2448">
                  <c:v>44879</c:v>
                </c:pt>
                <c:pt idx="2449">
                  <c:v>44880</c:v>
                </c:pt>
                <c:pt idx="2450">
                  <c:v>44881</c:v>
                </c:pt>
                <c:pt idx="2451">
                  <c:v>44882</c:v>
                </c:pt>
                <c:pt idx="2452">
                  <c:v>44883</c:v>
                </c:pt>
                <c:pt idx="2453">
                  <c:v>44884</c:v>
                </c:pt>
                <c:pt idx="2454">
                  <c:v>44885</c:v>
                </c:pt>
                <c:pt idx="2455">
                  <c:v>44886</c:v>
                </c:pt>
                <c:pt idx="2456">
                  <c:v>44887</c:v>
                </c:pt>
                <c:pt idx="2457">
                  <c:v>44888</c:v>
                </c:pt>
                <c:pt idx="2458">
                  <c:v>44889</c:v>
                </c:pt>
                <c:pt idx="2459">
                  <c:v>44890</c:v>
                </c:pt>
                <c:pt idx="2460">
                  <c:v>44891</c:v>
                </c:pt>
                <c:pt idx="2461">
                  <c:v>44892</c:v>
                </c:pt>
                <c:pt idx="2462">
                  <c:v>44893</c:v>
                </c:pt>
                <c:pt idx="2463">
                  <c:v>44894</c:v>
                </c:pt>
                <c:pt idx="2464">
                  <c:v>44895</c:v>
                </c:pt>
                <c:pt idx="2465">
                  <c:v>44896</c:v>
                </c:pt>
                <c:pt idx="2466">
                  <c:v>44897</c:v>
                </c:pt>
                <c:pt idx="2467">
                  <c:v>44898</c:v>
                </c:pt>
                <c:pt idx="2468">
                  <c:v>44899</c:v>
                </c:pt>
                <c:pt idx="2469">
                  <c:v>44900</c:v>
                </c:pt>
                <c:pt idx="2470">
                  <c:v>44901</c:v>
                </c:pt>
                <c:pt idx="2471">
                  <c:v>44902</c:v>
                </c:pt>
                <c:pt idx="2472">
                  <c:v>44903</c:v>
                </c:pt>
                <c:pt idx="2473">
                  <c:v>44904</c:v>
                </c:pt>
                <c:pt idx="2474">
                  <c:v>44905</c:v>
                </c:pt>
                <c:pt idx="2475">
                  <c:v>44906</c:v>
                </c:pt>
                <c:pt idx="2476">
                  <c:v>44907</c:v>
                </c:pt>
                <c:pt idx="2477">
                  <c:v>44908</c:v>
                </c:pt>
                <c:pt idx="2478">
                  <c:v>44909</c:v>
                </c:pt>
                <c:pt idx="2479">
                  <c:v>44910</c:v>
                </c:pt>
                <c:pt idx="2480">
                  <c:v>44911</c:v>
                </c:pt>
                <c:pt idx="2481">
                  <c:v>44912</c:v>
                </c:pt>
                <c:pt idx="2482">
                  <c:v>44913</c:v>
                </c:pt>
                <c:pt idx="2483">
                  <c:v>44914</c:v>
                </c:pt>
                <c:pt idx="2484">
                  <c:v>44915</c:v>
                </c:pt>
                <c:pt idx="2485">
                  <c:v>44916</c:v>
                </c:pt>
                <c:pt idx="2486">
                  <c:v>44917</c:v>
                </c:pt>
                <c:pt idx="2487">
                  <c:v>44918</c:v>
                </c:pt>
                <c:pt idx="2488">
                  <c:v>44919</c:v>
                </c:pt>
                <c:pt idx="2489">
                  <c:v>44920</c:v>
                </c:pt>
                <c:pt idx="2490">
                  <c:v>44921</c:v>
                </c:pt>
                <c:pt idx="2491">
                  <c:v>44922</c:v>
                </c:pt>
                <c:pt idx="2492">
                  <c:v>44923</c:v>
                </c:pt>
                <c:pt idx="2493">
                  <c:v>44924</c:v>
                </c:pt>
                <c:pt idx="2494">
                  <c:v>44925</c:v>
                </c:pt>
                <c:pt idx="2495">
                  <c:v>44926</c:v>
                </c:pt>
                <c:pt idx="2496">
                  <c:v>44927</c:v>
                </c:pt>
                <c:pt idx="2497">
                  <c:v>44928</c:v>
                </c:pt>
                <c:pt idx="2498">
                  <c:v>44929</c:v>
                </c:pt>
                <c:pt idx="2499">
                  <c:v>44930</c:v>
                </c:pt>
                <c:pt idx="2500">
                  <c:v>44931</c:v>
                </c:pt>
                <c:pt idx="2501">
                  <c:v>44932</c:v>
                </c:pt>
                <c:pt idx="2502">
                  <c:v>44933</c:v>
                </c:pt>
                <c:pt idx="2503">
                  <c:v>44934</c:v>
                </c:pt>
                <c:pt idx="2504">
                  <c:v>44935</c:v>
                </c:pt>
                <c:pt idx="2505">
                  <c:v>44936</c:v>
                </c:pt>
                <c:pt idx="2506">
                  <c:v>44937</c:v>
                </c:pt>
                <c:pt idx="2507">
                  <c:v>44938</c:v>
                </c:pt>
                <c:pt idx="2508">
                  <c:v>44939</c:v>
                </c:pt>
                <c:pt idx="2509">
                  <c:v>44940</c:v>
                </c:pt>
                <c:pt idx="2510">
                  <c:v>44941</c:v>
                </c:pt>
                <c:pt idx="2511">
                  <c:v>44942</c:v>
                </c:pt>
                <c:pt idx="2512">
                  <c:v>44943</c:v>
                </c:pt>
                <c:pt idx="2513">
                  <c:v>44944</c:v>
                </c:pt>
                <c:pt idx="2514">
                  <c:v>44945</c:v>
                </c:pt>
                <c:pt idx="2515">
                  <c:v>44946</c:v>
                </c:pt>
                <c:pt idx="2516">
                  <c:v>44947</c:v>
                </c:pt>
                <c:pt idx="2517">
                  <c:v>44948</c:v>
                </c:pt>
                <c:pt idx="2518">
                  <c:v>44949</c:v>
                </c:pt>
                <c:pt idx="2519">
                  <c:v>44950</c:v>
                </c:pt>
                <c:pt idx="2520">
                  <c:v>44951</c:v>
                </c:pt>
                <c:pt idx="2521">
                  <c:v>44952</c:v>
                </c:pt>
                <c:pt idx="2522">
                  <c:v>44953</c:v>
                </c:pt>
                <c:pt idx="2523">
                  <c:v>44954</c:v>
                </c:pt>
                <c:pt idx="2524">
                  <c:v>44955</c:v>
                </c:pt>
                <c:pt idx="2525">
                  <c:v>44956</c:v>
                </c:pt>
                <c:pt idx="2526">
                  <c:v>44957</c:v>
                </c:pt>
                <c:pt idx="2527">
                  <c:v>44958</c:v>
                </c:pt>
                <c:pt idx="2528">
                  <c:v>44959</c:v>
                </c:pt>
                <c:pt idx="2529">
                  <c:v>44960</c:v>
                </c:pt>
                <c:pt idx="2530">
                  <c:v>44961</c:v>
                </c:pt>
                <c:pt idx="2531">
                  <c:v>44962</c:v>
                </c:pt>
                <c:pt idx="2532">
                  <c:v>44963</c:v>
                </c:pt>
                <c:pt idx="2533">
                  <c:v>44964</c:v>
                </c:pt>
                <c:pt idx="2534">
                  <c:v>44965</c:v>
                </c:pt>
                <c:pt idx="2535">
                  <c:v>44966</c:v>
                </c:pt>
                <c:pt idx="2536">
                  <c:v>44967</c:v>
                </c:pt>
                <c:pt idx="2537">
                  <c:v>44968</c:v>
                </c:pt>
                <c:pt idx="2538">
                  <c:v>44969</c:v>
                </c:pt>
                <c:pt idx="2539">
                  <c:v>44970</c:v>
                </c:pt>
                <c:pt idx="2540">
                  <c:v>44971</c:v>
                </c:pt>
                <c:pt idx="2541">
                  <c:v>44972</c:v>
                </c:pt>
                <c:pt idx="2542">
                  <c:v>44973</c:v>
                </c:pt>
                <c:pt idx="2543">
                  <c:v>44974</c:v>
                </c:pt>
                <c:pt idx="2544">
                  <c:v>44975</c:v>
                </c:pt>
                <c:pt idx="2545">
                  <c:v>44976</c:v>
                </c:pt>
                <c:pt idx="2546">
                  <c:v>44977</c:v>
                </c:pt>
                <c:pt idx="2547">
                  <c:v>44978</c:v>
                </c:pt>
                <c:pt idx="2548">
                  <c:v>44979</c:v>
                </c:pt>
                <c:pt idx="2549">
                  <c:v>44980</c:v>
                </c:pt>
                <c:pt idx="2550">
                  <c:v>44981</c:v>
                </c:pt>
                <c:pt idx="2551">
                  <c:v>44982</c:v>
                </c:pt>
                <c:pt idx="2552">
                  <c:v>44983</c:v>
                </c:pt>
                <c:pt idx="2553">
                  <c:v>44984</c:v>
                </c:pt>
                <c:pt idx="2554">
                  <c:v>44985</c:v>
                </c:pt>
                <c:pt idx="2555">
                  <c:v>44986</c:v>
                </c:pt>
                <c:pt idx="2556">
                  <c:v>44987</c:v>
                </c:pt>
                <c:pt idx="2557">
                  <c:v>44988</c:v>
                </c:pt>
                <c:pt idx="2558">
                  <c:v>44989</c:v>
                </c:pt>
                <c:pt idx="2559">
                  <c:v>44990</c:v>
                </c:pt>
                <c:pt idx="2560">
                  <c:v>44991</c:v>
                </c:pt>
                <c:pt idx="2561">
                  <c:v>44992</c:v>
                </c:pt>
                <c:pt idx="2562">
                  <c:v>44993</c:v>
                </c:pt>
                <c:pt idx="2563">
                  <c:v>44994</c:v>
                </c:pt>
                <c:pt idx="2564">
                  <c:v>44995</c:v>
                </c:pt>
                <c:pt idx="2565">
                  <c:v>44996</c:v>
                </c:pt>
                <c:pt idx="2566">
                  <c:v>44997</c:v>
                </c:pt>
                <c:pt idx="2567">
                  <c:v>44998</c:v>
                </c:pt>
                <c:pt idx="2568">
                  <c:v>44999</c:v>
                </c:pt>
                <c:pt idx="2569">
                  <c:v>45000</c:v>
                </c:pt>
                <c:pt idx="2570">
                  <c:v>45001</c:v>
                </c:pt>
                <c:pt idx="2571">
                  <c:v>45002</c:v>
                </c:pt>
                <c:pt idx="2572">
                  <c:v>45003</c:v>
                </c:pt>
                <c:pt idx="2573">
                  <c:v>45004</c:v>
                </c:pt>
                <c:pt idx="2574">
                  <c:v>45005</c:v>
                </c:pt>
                <c:pt idx="2575">
                  <c:v>45006</c:v>
                </c:pt>
                <c:pt idx="2576">
                  <c:v>45007</c:v>
                </c:pt>
                <c:pt idx="2577">
                  <c:v>45008</c:v>
                </c:pt>
                <c:pt idx="2578">
                  <c:v>45009</c:v>
                </c:pt>
                <c:pt idx="2579">
                  <c:v>45010</c:v>
                </c:pt>
                <c:pt idx="2580">
                  <c:v>45011</c:v>
                </c:pt>
                <c:pt idx="2581">
                  <c:v>45012</c:v>
                </c:pt>
                <c:pt idx="2582">
                  <c:v>45013</c:v>
                </c:pt>
                <c:pt idx="2583">
                  <c:v>45014</c:v>
                </c:pt>
                <c:pt idx="2584">
                  <c:v>45015</c:v>
                </c:pt>
                <c:pt idx="2585">
                  <c:v>45016</c:v>
                </c:pt>
                <c:pt idx="2586">
                  <c:v>45017</c:v>
                </c:pt>
                <c:pt idx="2587">
                  <c:v>45018</c:v>
                </c:pt>
                <c:pt idx="2588">
                  <c:v>45019</c:v>
                </c:pt>
                <c:pt idx="2589">
                  <c:v>45020</c:v>
                </c:pt>
                <c:pt idx="2590">
                  <c:v>45021</c:v>
                </c:pt>
                <c:pt idx="2591">
                  <c:v>45022</c:v>
                </c:pt>
                <c:pt idx="2592">
                  <c:v>45023</c:v>
                </c:pt>
                <c:pt idx="2593">
                  <c:v>45024</c:v>
                </c:pt>
                <c:pt idx="2594">
                  <c:v>45025</c:v>
                </c:pt>
                <c:pt idx="2595">
                  <c:v>45026</c:v>
                </c:pt>
                <c:pt idx="2596">
                  <c:v>45027</c:v>
                </c:pt>
                <c:pt idx="2597">
                  <c:v>45028</c:v>
                </c:pt>
                <c:pt idx="2598">
                  <c:v>45029</c:v>
                </c:pt>
                <c:pt idx="2599">
                  <c:v>45030</c:v>
                </c:pt>
                <c:pt idx="2600">
                  <c:v>45031</c:v>
                </c:pt>
                <c:pt idx="2601">
                  <c:v>45032</c:v>
                </c:pt>
                <c:pt idx="2602">
                  <c:v>45033</c:v>
                </c:pt>
                <c:pt idx="2603">
                  <c:v>45034</c:v>
                </c:pt>
                <c:pt idx="2604">
                  <c:v>45035</c:v>
                </c:pt>
                <c:pt idx="2605">
                  <c:v>45036</c:v>
                </c:pt>
                <c:pt idx="2606">
                  <c:v>45037</c:v>
                </c:pt>
                <c:pt idx="2607">
                  <c:v>45038</c:v>
                </c:pt>
                <c:pt idx="2608">
                  <c:v>45039</c:v>
                </c:pt>
                <c:pt idx="2609">
                  <c:v>45040</c:v>
                </c:pt>
                <c:pt idx="2610">
                  <c:v>45041</c:v>
                </c:pt>
                <c:pt idx="2611">
                  <c:v>45042</c:v>
                </c:pt>
                <c:pt idx="2612">
                  <c:v>45043</c:v>
                </c:pt>
                <c:pt idx="2613">
                  <c:v>45044</c:v>
                </c:pt>
                <c:pt idx="2614">
                  <c:v>45045</c:v>
                </c:pt>
                <c:pt idx="2615">
                  <c:v>45046</c:v>
                </c:pt>
                <c:pt idx="2616">
                  <c:v>45047</c:v>
                </c:pt>
                <c:pt idx="2617">
                  <c:v>45048</c:v>
                </c:pt>
                <c:pt idx="2618">
                  <c:v>45049</c:v>
                </c:pt>
                <c:pt idx="2619">
                  <c:v>45050</c:v>
                </c:pt>
                <c:pt idx="2620">
                  <c:v>45051</c:v>
                </c:pt>
                <c:pt idx="2621">
                  <c:v>45052</c:v>
                </c:pt>
                <c:pt idx="2622">
                  <c:v>45053</c:v>
                </c:pt>
                <c:pt idx="2623">
                  <c:v>45054</c:v>
                </c:pt>
                <c:pt idx="2624">
                  <c:v>45055</c:v>
                </c:pt>
                <c:pt idx="2625">
                  <c:v>45056</c:v>
                </c:pt>
                <c:pt idx="2626">
                  <c:v>45057</c:v>
                </c:pt>
                <c:pt idx="2627">
                  <c:v>45058</c:v>
                </c:pt>
                <c:pt idx="2628">
                  <c:v>45059</c:v>
                </c:pt>
                <c:pt idx="2629">
                  <c:v>45060</c:v>
                </c:pt>
                <c:pt idx="2630">
                  <c:v>45061</c:v>
                </c:pt>
                <c:pt idx="2631">
                  <c:v>45062</c:v>
                </c:pt>
                <c:pt idx="2632">
                  <c:v>45063</c:v>
                </c:pt>
                <c:pt idx="2633">
                  <c:v>45064</c:v>
                </c:pt>
                <c:pt idx="2634">
                  <c:v>45065</c:v>
                </c:pt>
                <c:pt idx="2635">
                  <c:v>45066</c:v>
                </c:pt>
                <c:pt idx="2636">
                  <c:v>45067</c:v>
                </c:pt>
                <c:pt idx="2637">
                  <c:v>45068</c:v>
                </c:pt>
                <c:pt idx="2638">
                  <c:v>45069</c:v>
                </c:pt>
                <c:pt idx="2639">
                  <c:v>45070</c:v>
                </c:pt>
                <c:pt idx="2640">
                  <c:v>45071</c:v>
                </c:pt>
                <c:pt idx="2641">
                  <c:v>45072</c:v>
                </c:pt>
                <c:pt idx="2642">
                  <c:v>45073</c:v>
                </c:pt>
                <c:pt idx="2643">
                  <c:v>45074</c:v>
                </c:pt>
                <c:pt idx="2644">
                  <c:v>45075</c:v>
                </c:pt>
                <c:pt idx="2645">
                  <c:v>45076</c:v>
                </c:pt>
                <c:pt idx="2646">
                  <c:v>45077</c:v>
                </c:pt>
                <c:pt idx="2647">
                  <c:v>45078</c:v>
                </c:pt>
                <c:pt idx="2648">
                  <c:v>45079</c:v>
                </c:pt>
                <c:pt idx="2649">
                  <c:v>45080</c:v>
                </c:pt>
                <c:pt idx="2650">
                  <c:v>45081</c:v>
                </c:pt>
                <c:pt idx="2651">
                  <c:v>45082</c:v>
                </c:pt>
                <c:pt idx="2652">
                  <c:v>45083</c:v>
                </c:pt>
                <c:pt idx="2653">
                  <c:v>45084</c:v>
                </c:pt>
                <c:pt idx="2654">
                  <c:v>45085</c:v>
                </c:pt>
                <c:pt idx="2655">
                  <c:v>45086</c:v>
                </c:pt>
                <c:pt idx="2656">
                  <c:v>45087</c:v>
                </c:pt>
                <c:pt idx="2657">
                  <c:v>45088</c:v>
                </c:pt>
                <c:pt idx="2658">
                  <c:v>45089</c:v>
                </c:pt>
                <c:pt idx="2659">
                  <c:v>45090</c:v>
                </c:pt>
                <c:pt idx="2660">
                  <c:v>45091</c:v>
                </c:pt>
                <c:pt idx="2661">
                  <c:v>45092</c:v>
                </c:pt>
                <c:pt idx="2662">
                  <c:v>45093</c:v>
                </c:pt>
                <c:pt idx="2663">
                  <c:v>45094</c:v>
                </c:pt>
                <c:pt idx="2664">
                  <c:v>45095</c:v>
                </c:pt>
                <c:pt idx="2665">
                  <c:v>45096</c:v>
                </c:pt>
                <c:pt idx="2666">
                  <c:v>45097</c:v>
                </c:pt>
                <c:pt idx="2667">
                  <c:v>45098</c:v>
                </c:pt>
                <c:pt idx="2668">
                  <c:v>45099</c:v>
                </c:pt>
                <c:pt idx="2669">
                  <c:v>45100</c:v>
                </c:pt>
                <c:pt idx="2670">
                  <c:v>45101</c:v>
                </c:pt>
                <c:pt idx="2671">
                  <c:v>45102</c:v>
                </c:pt>
                <c:pt idx="2672">
                  <c:v>45103</c:v>
                </c:pt>
                <c:pt idx="2673">
                  <c:v>45104</c:v>
                </c:pt>
                <c:pt idx="2674">
                  <c:v>45105</c:v>
                </c:pt>
                <c:pt idx="2675">
                  <c:v>45106</c:v>
                </c:pt>
                <c:pt idx="2676">
                  <c:v>45107</c:v>
                </c:pt>
                <c:pt idx="2677">
                  <c:v>45108</c:v>
                </c:pt>
                <c:pt idx="2678">
                  <c:v>45109</c:v>
                </c:pt>
                <c:pt idx="2679">
                  <c:v>45110</c:v>
                </c:pt>
                <c:pt idx="2680">
                  <c:v>45111</c:v>
                </c:pt>
                <c:pt idx="2681">
                  <c:v>45112</c:v>
                </c:pt>
                <c:pt idx="2682">
                  <c:v>45113</c:v>
                </c:pt>
                <c:pt idx="2683">
                  <c:v>45114</c:v>
                </c:pt>
                <c:pt idx="2684">
                  <c:v>45115</c:v>
                </c:pt>
                <c:pt idx="2685">
                  <c:v>45116</c:v>
                </c:pt>
                <c:pt idx="2686">
                  <c:v>45117</c:v>
                </c:pt>
                <c:pt idx="2687">
                  <c:v>45118</c:v>
                </c:pt>
                <c:pt idx="2688">
                  <c:v>45119</c:v>
                </c:pt>
                <c:pt idx="2689">
                  <c:v>45120</c:v>
                </c:pt>
                <c:pt idx="2690">
                  <c:v>45121</c:v>
                </c:pt>
                <c:pt idx="2691">
                  <c:v>45122</c:v>
                </c:pt>
                <c:pt idx="2692">
                  <c:v>45123</c:v>
                </c:pt>
                <c:pt idx="2693">
                  <c:v>45124</c:v>
                </c:pt>
                <c:pt idx="2694">
                  <c:v>45125</c:v>
                </c:pt>
                <c:pt idx="2695">
                  <c:v>45126</c:v>
                </c:pt>
                <c:pt idx="2696">
                  <c:v>45127</c:v>
                </c:pt>
                <c:pt idx="2697">
                  <c:v>45128</c:v>
                </c:pt>
                <c:pt idx="2698">
                  <c:v>45129</c:v>
                </c:pt>
                <c:pt idx="2699">
                  <c:v>45130</c:v>
                </c:pt>
                <c:pt idx="2700">
                  <c:v>45131</c:v>
                </c:pt>
                <c:pt idx="2701">
                  <c:v>45132</c:v>
                </c:pt>
                <c:pt idx="2702">
                  <c:v>45133</c:v>
                </c:pt>
                <c:pt idx="2703">
                  <c:v>45134</c:v>
                </c:pt>
                <c:pt idx="2704">
                  <c:v>45135</c:v>
                </c:pt>
                <c:pt idx="2705">
                  <c:v>45136</c:v>
                </c:pt>
                <c:pt idx="2706">
                  <c:v>45137</c:v>
                </c:pt>
                <c:pt idx="2707">
                  <c:v>45138</c:v>
                </c:pt>
                <c:pt idx="2708">
                  <c:v>45139</c:v>
                </c:pt>
                <c:pt idx="2709">
                  <c:v>45140</c:v>
                </c:pt>
                <c:pt idx="2710">
                  <c:v>45141</c:v>
                </c:pt>
                <c:pt idx="2711">
                  <c:v>45142</c:v>
                </c:pt>
                <c:pt idx="2712">
                  <c:v>45143</c:v>
                </c:pt>
                <c:pt idx="2713">
                  <c:v>45144</c:v>
                </c:pt>
                <c:pt idx="2714">
                  <c:v>45145</c:v>
                </c:pt>
                <c:pt idx="2715">
                  <c:v>45146</c:v>
                </c:pt>
                <c:pt idx="2716">
                  <c:v>45147</c:v>
                </c:pt>
                <c:pt idx="2717">
                  <c:v>45148</c:v>
                </c:pt>
                <c:pt idx="2718">
                  <c:v>45149</c:v>
                </c:pt>
                <c:pt idx="2719">
                  <c:v>45150</c:v>
                </c:pt>
                <c:pt idx="2720">
                  <c:v>45151</c:v>
                </c:pt>
                <c:pt idx="2721">
                  <c:v>45152</c:v>
                </c:pt>
                <c:pt idx="2722">
                  <c:v>45153</c:v>
                </c:pt>
                <c:pt idx="2723">
                  <c:v>45154</c:v>
                </c:pt>
                <c:pt idx="2724">
                  <c:v>45155</c:v>
                </c:pt>
                <c:pt idx="2725">
                  <c:v>45156</c:v>
                </c:pt>
                <c:pt idx="2726">
                  <c:v>45157</c:v>
                </c:pt>
                <c:pt idx="2727">
                  <c:v>45158</c:v>
                </c:pt>
                <c:pt idx="2728">
                  <c:v>45159</c:v>
                </c:pt>
                <c:pt idx="2729">
                  <c:v>45160</c:v>
                </c:pt>
                <c:pt idx="2730">
                  <c:v>45161</c:v>
                </c:pt>
                <c:pt idx="2731">
                  <c:v>45162</c:v>
                </c:pt>
                <c:pt idx="2732">
                  <c:v>45163</c:v>
                </c:pt>
                <c:pt idx="2733">
                  <c:v>45164</c:v>
                </c:pt>
                <c:pt idx="2734">
                  <c:v>45165</c:v>
                </c:pt>
                <c:pt idx="2735">
                  <c:v>45166</c:v>
                </c:pt>
                <c:pt idx="2736">
                  <c:v>45167</c:v>
                </c:pt>
                <c:pt idx="2737">
                  <c:v>45168</c:v>
                </c:pt>
                <c:pt idx="2738">
                  <c:v>45169</c:v>
                </c:pt>
                <c:pt idx="2739">
                  <c:v>45170</c:v>
                </c:pt>
                <c:pt idx="2740">
                  <c:v>45171</c:v>
                </c:pt>
                <c:pt idx="2741">
                  <c:v>45172</c:v>
                </c:pt>
                <c:pt idx="2742">
                  <c:v>45173</c:v>
                </c:pt>
                <c:pt idx="2743">
                  <c:v>45174</c:v>
                </c:pt>
                <c:pt idx="2744">
                  <c:v>45175</c:v>
                </c:pt>
                <c:pt idx="2745">
                  <c:v>45176</c:v>
                </c:pt>
                <c:pt idx="2746">
                  <c:v>45177</c:v>
                </c:pt>
                <c:pt idx="2747">
                  <c:v>45178</c:v>
                </c:pt>
                <c:pt idx="2748">
                  <c:v>45179</c:v>
                </c:pt>
                <c:pt idx="2749">
                  <c:v>45180</c:v>
                </c:pt>
                <c:pt idx="2750">
                  <c:v>45181</c:v>
                </c:pt>
                <c:pt idx="2751">
                  <c:v>45182</c:v>
                </c:pt>
                <c:pt idx="2752">
                  <c:v>45183</c:v>
                </c:pt>
                <c:pt idx="2753">
                  <c:v>45184</c:v>
                </c:pt>
                <c:pt idx="2754">
                  <c:v>45185</c:v>
                </c:pt>
                <c:pt idx="2755">
                  <c:v>45186</c:v>
                </c:pt>
                <c:pt idx="2756">
                  <c:v>45187</c:v>
                </c:pt>
                <c:pt idx="2757">
                  <c:v>45188</c:v>
                </c:pt>
                <c:pt idx="2758">
                  <c:v>45189</c:v>
                </c:pt>
                <c:pt idx="2759">
                  <c:v>45190</c:v>
                </c:pt>
                <c:pt idx="2760">
                  <c:v>45191</c:v>
                </c:pt>
                <c:pt idx="2761">
                  <c:v>45192</c:v>
                </c:pt>
                <c:pt idx="2762">
                  <c:v>45193</c:v>
                </c:pt>
                <c:pt idx="2763">
                  <c:v>45194</c:v>
                </c:pt>
                <c:pt idx="2764">
                  <c:v>45195</c:v>
                </c:pt>
                <c:pt idx="2765">
                  <c:v>45196</c:v>
                </c:pt>
                <c:pt idx="2766">
                  <c:v>45197</c:v>
                </c:pt>
                <c:pt idx="2767">
                  <c:v>45198</c:v>
                </c:pt>
                <c:pt idx="2768">
                  <c:v>45199</c:v>
                </c:pt>
                <c:pt idx="2769">
                  <c:v>45200</c:v>
                </c:pt>
                <c:pt idx="2770">
                  <c:v>45201</c:v>
                </c:pt>
                <c:pt idx="2771">
                  <c:v>45202</c:v>
                </c:pt>
                <c:pt idx="2772">
                  <c:v>45203</c:v>
                </c:pt>
                <c:pt idx="2773">
                  <c:v>45204</c:v>
                </c:pt>
                <c:pt idx="2774">
                  <c:v>45205</c:v>
                </c:pt>
                <c:pt idx="2775">
                  <c:v>45206</c:v>
                </c:pt>
                <c:pt idx="2776">
                  <c:v>45207</c:v>
                </c:pt>
                <c:pt idx="2777">
                  <c:v>45208</c:v>
                </c:pt>
                <c:pt idx="2778">
                  <c:v>45209</c:v>
                </c:pt>
                <c:pt idx="2779">
                  <c:v>45210</c:v>
                </c:pt>
                <c:pt idx="2780">
                  <c:v>45211</c:v>
                </c:pt>
                <c:pt idx="2781">
                  <c:v>45212</c:v>
                </c:pt>
                <c:pt idx="2782">
                  <c:v>45213</c:v>
                </c:pt>
                <c:pt idx="2783">
                  <c:v>45214</c:v>
                </c:pt>
                <c:pt idx="2784">
                  <c:v>45215</c:v>
                </c:pt>
                <c:pt idx="2785">
                  <c:v>45216</c:v>
                </c:pt>
                <c:pt idx="2786">
                  <c:v>45217</c:v>
                </c:pt>
                <c:pt idx="2787">
                  <c:v>45218</c:v>
                </c:pt>
                <c:pt idx="2788">
                  <c:v>45219</c:v>
                </c:pt>
                <c:pt idx="2789">
                  <c:v>45220</c:v>
                </c:pt>
                <c:pt idx="2790">
                  <c:v>45221</c:v>
                </c:pt>
                <c:pt idx="2791">
                  <c:v>45222</c:v>
                </c:pt>
                <c:pt idx="2792">
                  <c:v>45223</c:v>
                </c:pt>
                <c:pt idx="2793">
                  <c:v>45224</c:v>
                </c:pt>
                <c:pt idx="2794">
                  <c:v>45225</c:v>
                </c:pt>
                <c:pt idx="2795">
                  <c:v>45226</c:v>
                </c:pt>
                <c:pt idx="2796">
                  <c:v>45227</c:v>
                </c:pt>
                <c:pt idx="2797">
                  <c:v>45228</c:v>
                </c:pt>
                <c:pt idx="2798">
                  <c:v>45229</c:v>
                </c:pt>
                <c:pt idx="2799">
                  <c:v>45230</c:v>
                </c:pt>
                <c:pt idx="2800">
                  <c:v>45231</c:v>
                </c:pt>
                <c:pt idx="2801">
                  <c:v>45232</c:v>
                </c:pt>
                <c:pt idx="2802">
                  <c:v>45233</c:v>
                </c:pt>
                <c:pt idx="2803">
                  <c:v>45234</c:v>
                </c:pt>
                <c:pt idx="2804">
                  <c:v>45235</c:v>
                </c:pt>
                <c:pt idx="2805">
                  <c:v>45236</c:v>
                </c:pt>
                <c:pt idx="2806">
                  <c:v>45237</c:v>
                </c:pt>
                <c:pt idx="2807">
                  <c:v>45238</c:v>
                </c:pt>
                <c:pt idx="2808">
                  <c:v>45239</c:v>
                </c:pt>
                <c:pt idx="2809">
                  <c:v>45240</c:v>
                </c:pt>
                <c:pt idx="2810">
                  <c:v>45241</c:v>
                </c:pt>
                <c:pt idx="2811">
                  <c:v>45242</c:v>
                </c:pt>
                <c:pt idx="2812">
                  <c:v>45243</c:v>
                </c:pt>
                <c:pt idx="2813">
                  <c:v>45244</c:v>
                </c:pt>
                <c:pt idx="2814">
                  <c:v>45245</c:v>
                </c:pt>
                <c:pt idx="2815">
                  <c:v>45246</c:v>
                </c:pt>
                <c:pt idx="2816">
                  <c:v>45247</c:v>
                </c:pt>
                <c:pt idx="2817">
                  <c:v>45248</c:v>
                </c:pt>
                <c:pt idx="2818">
                  <c:v>45249</c:v>
                </c:pt>
                <c:pt idx="2819">
                  <c:v>45250</c:v>
                </c:pt>
                <c:pt idx="2820">
                  <c:v>45251</c:v>
                </c:pt>
                <c:pt idx="2821">
                  <c:v>45252</c:v>
                </c:pt>
                <c:pt idx="2822">
                  <c:v>45253</c:v>
                </c:pt>
                <c:pt idx="2823">
                  <c:v>45254</c:v>
                </c:pt>
                <c:pt idx="2824">
                  <c:v>45255</c:v>
                </c:pt>
                <c:pt idx="2825">
                  <c:v>45256</c:v>
                </c:pt>
                <c:pt idx="2826">
                  <c:v>45257</c:v>
                </c:pt>
                <c:pt idx="2827">
                  <c:v>45258</c:v>
                </c:pt>
                <c:pt idx="2828">
                  <c:v>45259</c:v>
                </c:pt>
                <c:pt idx="2829">
                  <c:v>45260</c:v>
                </c:pt>
                <c:pt idx="2830">
                  <c:v>45261</c:v>
                </c:pt>
                <c:pt idx="2831">
                  <c:v>45262</c:v>
                </c:pt>
                <c:pt idx="2832">
                  <c:v>45263</c:v>
                </c:pt>
                <c:pt idx="2833">
                  <c:v>45264</c:v>
                </c:pt>
                <c:pt idx="2834">
                  <c:v>45265</c:v>
                </c:pt>
                <c:pt idx="2835">
                  <c:v>45266</c:v>
                </c:pt>
                <c:pt idx="2836">
                  <c:v>45267</c:v>
                </c:pt>
                <c:pt idx="2837">
                  <c:v>45268</c:v>
                </c:pt>
                <c:pt idx="2838">
                  <c:v>45269</c:v>
                </c:pt>
                <c:pt idx="2839">
                  <c:v>45270</c:v>
                </c:pt>
                <c:pt idx="2840">
                  <c:v>45271</c:v>
                </c:pt>
                <c:pt idx="2841">
                  <c:v>45272</c:v>
                </c:pt>
                <c:pt idx="2842">
                  <c:v>45273</c:v>
                </c:pt>
                <c:pt idx="2843">
                  <c:v>45274</c:v>
                </c:pt>
                <c:pt idx="2844">
                  <c:v>45275</c:v>
                </c:pt>
                <c:pt idx="2845">
                  <c:v>45276</c:v>
                </c:pt>
                <c:pt idx="2846">
                  <c:v>45277</c:v>
                </c:pt>
                <c:pt idx="2847">
                  <c:v>45278</c:v>
                </c:pt>
                <c:pt idx="2848">
                  <c:v>45279</c:v>
                </c:pt>
                <c:pt idx="2849">
                  <c:v>45280</c:v>
                </c:pt>
                <c:pt idx="2850">
                  <c:v>45281</c:v>
                </c:pt>
                <c:pt idx="2851">
                  <c:v>45282</c:v>
                </c:pt>
                <c:pt idx="2852">
                  <c:v>45283</c:v>
                </c:pt>
                <c:pt idx="2853">
                  <c:v>45284</c:v>
                </c:pt>
                <c:pt idx="2854">
                  <c:v>45285</c:v>
                </c:pt>
                <c:pt idx="2855">
                  <c:v>45286</c:v>
                </c:pt>
                <c:pt idx="2856">
                  <c:v>45287</c:v>
                </c:pt>
                <c:pt idx="2857">
                  <c:v>45288</c:v>
                </c:pt>
                <c:pt idx="2858">
                  <c:v>45289</c:v>
                </c:pt>
                <c:pt idx="2859">
                  <c:v>45290</c:v>
                </c:pt>
                <c:pt idx="2860">
                  <c:v>45291</c:v>
                </c:pt>
                <c:pt idx="2861">
                  <c:v>45292</c:v>
                </c:pt>
                <c:pt idx="2862">
                  <c:v>45293</c:v>
                </c:pt>
                <c:pt idx="2863">
                  <c:v>45294</c:v>
                </c:pt>
                <c:pt idx="2864">
                  <c:v>45295</c:v>
                </c:pt>
                <c:pt idx="2865">
                  <c:v>45296</c:v>
                </c:pt>
                <c:pt idx="2866">
                  <c:v>45297</c:v>
                </c:pt>
                <c:pt idx="2867">
                  <c:v>45298</c:v>
                </c:pt>
                <c:pt idx="2868">
                  <c:v>45299</c:v>
                </c:pt>
                <c:pt idx="2869">
                  <c:v>45300</c:v>
                </c:pt>
                <c:pt idx="2870">
                  <c:v>45301</c:v>
                </c:pt>
                <c:pt idx="2871">
                  <c:v>45302</c:v>
                </c:pt>
                <c:pt idx="2872">
                  <c:v>45303</c:v>
                </c:pt>
                <c:pt idx="2873">
                  <c:v>45304</c:v>
                </c:pt>
                <c:pt idx="2874">
                  <c:v>45305</c:v>
                </c:pt>
                <c:pt idx="2875">
                  <c:v>45306</c:v>
                </c:pt>
                <c:pt idx="2876">
                  <c:v>45307</c:v>
                </c:pt>
                <c:pt idx="2877">
                  <c:v>45308</c:v>
                </c:pt>
              </c:numCache>
            </c:numRef>
          </c:cat>
          <c:val>
            <c:numRef>
              <c:f>Baserate_FRA!$D$3:$D$2880</c:f>
              <c:numCache>
                <c:formatCode>General</c:formatCode>
                <c:ptCount val="2878"/>
                <c:pt idx="4">
                  <c:v>0</c:v>
                </c:pt>
                <c:pt idx="2178">
                  <c:v>4.42</c:v>
                </c:pt>
                <c:pt idx="2237">
                  <c:v>4.7699999999999996</c:v>
                </c:pt>
                <c:pt idx="2328">
                  <c:v>4.93</c:v>
                </c:pt>
                <c:pt idx="2420">
                  <c:v>4.95</c:v>
                </c:pt>
                <c:pt idx="2512">
                  <c:v>4.84</c:v>
                </c:pt>
                <c:pt idx="2602">
                  <c:v>4.7699999999999996</c:v>
                </c:pt>
                <c:pt idx="2693">
                  <c:v>4.6900000000000004</c:v>
                </c:pt>
                <c:pt idx="2785">
                  <c:v>4.5999999999999996</c:v>
                </c:pt>
              </c:numCache>
            </c:numRef>
          </c:val>
          <c:smooth val="0"/>
          <c:extLst>
            <c:ext xmlns:c16="http://schemas.microsoft.com/office/drawing/2014/chart" uri="{C3380CC4-5D6E-409C-BE32-E72D297353CC}">
              <c16:uniqueId val="{00000001-1F34-4772-B35F-AA8181655FDE}"/>
            </c:ext>
          </c:extLst>
        </c:ser>
        <c:ser>
          <c:idx val="3"/>
          <c:order val="2"/>
          <c:tx>
            <c:strRef>
              <c:f>Baserate_FRA!$J$2</c:f>
              <c:strCache>
                <c:ptCount val="1"/>
                <c:pt idx="0">
                  <c:v>BUBOR 3hó</c:v>
                </c:pt>
              </c:strCache>
            </c:strRef>
          </c:tx>
          <c:spPr>
            <a:ln w="19050"/>
          </c:spPr>
          <c:marker>
            <c:symbol val="none"/>
          </c:marker>
          <c:cat>
            <c:numRef>
              <c:f>Baserate_FRA!$B$3:$B$2880</c:f>
              <c:numCache>
                <c:formatCode>m/d/yyyy</c:formatCode>
                <c:ptCount val="2878"/>
                <c:pt idx="0">
                  <c:v>42248</c:v>
                </c:pt>
                <c:pt idx="1">
                  <c:v>42249</c:v>
                </c:pt>
                <c:pt idx="2">
                  <c:v>42250</c:v>
                </c:pt>
                <c:pt idx="3">
                  <c:v>42251</c:v>
                </c:pt>
                <c:pt idx="4">
                  <c:v>42254</c:v>
                </c:pt>
                <c:pt idx="5">
                  <c:v>42255</c:v>
                </c:pt>
                <c:pt idx="6">
                  <c:v>42256</c:v>
                </c:pt>
                <c:pt idx="7">
                  <c:v>42257</c:v>
                </c:pt>
                <c:pt idx="8">
                  <c:v>42258</c:v>
                </c:pt>
                <c:pt idx="9">
                  <c:v>42261</c:v>
                </c:pt>
                <c:pt idx="10">
                  <c:v>42262</c:v>
                </c:pt>
                <c:pt idx="11">
                  <c:v>42263</c:v>
                </c:pt>
                <c:pt idx="12">
                  <c:v>42264</c:v>
                </c:pt>
                <c:pt idx="13">
                  <c:v>42265</c:v>
                </c:pt>
                <c:pt idx="14">
                  <c:v>42268</c:v>
                </c:pt>
                <c:pt idx="15">
                  <c:v>42269</c:v>
                </c:pt>
                <c:pt idx="16">
                  <c:v>42270</c:v>
                </c:pt>
                <c:pt idx="17">
                  <c:v>42271</c:v>
                </c:pt>
                <c:pt idx="18">
                  <c:v>42272</c:v>
                </c:pt>
                <c:pt idx="19">
                  <c:v>42275</c:v>
                </c:pt>
                <c:pt idx="20">
                  <c:v>42276</c:v>
                </c:pt>
                <c:pt idx="21">
                  <c:v>42277</c:v>
                </c:pt>
                <c:pt idx="22">
                  <c:v>42278</c:v>
                </c:pt>
                <c:pt idx="23">
                  <c:v>42279</c:v>
                </c:pt>
                <c:pt idx="24">
                  <c:v>42282</c:v>
                </c:pt>
                <c:pt idx="25">
                  <c:v>42283</c:v>
                </c:pt>
                <c:pt idx="26">
                  <c:v>42284</c:v>
                </c:pt>
                <c:pt idx="27">
                  <c:v>42285</c:v>
                </c:pt>
                <c:pt idx="28">
                  <c:v>42286</c:v>
                </c:pt>
                <c:pt idx="29">
                  <c:v>42289</c:v>
                </c:pt>
                <c:pt idx="30">
                  <c:v>42290</c:v>
                </c:pt>
                <c:pt idx="31">
                  <c:v>42291</c:v>
                </c:pt>
                <c:pt idx="32">
                  <c:v>42292</c:v>
                </c:pt>
                <c:pt idx="33">
                  <c:v>42293</c:v>
                </c:pt>
                <c:pt idx="34">
                  <c:v>42296</c:v>
                </c:pt>
                <c:pt idx="35">
                  <c:v>42297</c:v>
                </c:pt>
                <c:pt idx="36">
                  <c:v>42298</c:v>
                </c:pt>
                <c:pt idx="37">
                  <c:v>42299</c:v>
                </c:pt>
                <c:pt idx="38">
                  <c:v>42303</c:v>
                </c:pt>
                <c:pt idx="39">
                  <c:v>42304</c:v>
                </c:pt>
                <c:pt idx="40">
                  <c:v>42305</c:v>
                </c:pt>
                <c:pt idx="41">
                  <c:v>42306</c:v>
                </c:pt>
                <c:pt idx="42">
                  <c:v>42307</c:v>
                </c:pt>
                <c:pt idx="43">
                  <c:v>42310</c:v>
                </c:pt>
                <c:pt idx="44">
                  <c:v>42311</c:v>
                </c:pt>
                <c:pt idx="45">
                  <c:v>42312</c:v>
                </c:pt>
                <c:pt idx="46">
                  <c:v>42313</c:v>
                </c:pt>
                <c:pt idx="47">
                  <c:v>42314</c:v>
                </c:pt>
                <c:pt idx="48">
                  <c:v>42317</c:v>
                </c:pt>
                <c:pt idx="49">
                  <c:v>42318</c:v>
                </c:pt>
                <c:pt idx="50">
                  <c:v>42319</c:v>
                </c:pt>
                <c:pt idx="51">
                  <c:v>42320</c:v>
                </c:pt>
                <c:pt idx="52">
                  <c:v>42321</c:v>
                </c:pt>
                <c:pt idx="53">
                  <c:v>42324</c:v>
                </c:pt>
                <c:pt idx="54">
                  <c:v>42325</c:v>
                </c:pt>
                <c:pt idx="55">
                  <c:v>42326</c:v>
                </c:pt>
                <c:pt idx="56">
                  <c:v>42327</c:v>
                </c:pt>
                <c:pt idx="57">
                  <c:v>42328</c:v>
                </c:pt>
                <c:pt idx="58">
                  <c:v>42331</c:v>
                </c:pt>
                <c:pt idx="59">
                  <c:v>42332</c:v>
                </c:pt>
                <c:pt idx="60">
                  <c:v>42333</c:v>
                </c:pt>
                <c:pt idx="61">
                  <c:v>42334</c:v>
                </c:pt>
                <c:pt idx="62">
                  <c:v>42335</c:v>
                </c:pt>
                <c:pt idx="63">
                  <c:v>42338</c:v>
                </c:pt>
                <c:pt idx="64">
                  <c:v>42339</c:v>
                </c:pt>
                <c:pt idx="65">
                  <c:v>42340</c:v>
                </c:pt>
                <c:pt idx="66">
                  <c:v>42341</c:v>
                </c:pt>
                <c:pt idx="67">
                  <c:v>42342</c:v>
                </c:pt>
                <c:pt idx="68">
                  <c:v>42345</c:v>
                </c:pt>
                <c:pt idx="69">
                  <c:v>42346</c:v>
                </c:pt>
                <c:pt idx="70">
                  <c:v>42347</c:v>
                </c:pt>
                <c:pt idx="71">
                  <c:v>42348</c:v>
                </c:pt>
                <c:pt idx="72">
                  <c:v>42349</c:v>
                </c:pt>
                <c:pt idx="73">
                  <c:v>42350</c:v>
                </c:pt>
                <c:pt idx="74">
                  <c:v>42352</c:v>
                </c:pt>
                <c:pt idx="75">
                  <c:v>42353</c:v>
                </c:pt>
                <c:pt idx="76">
                  <c:v>42354</c:v>
                </c:pt>
                <c:pt idx="77">
                  <c:v>42355</c:v>
                </c:pt>
                <c:pt idx="78">
                  <c:v>42356</c:v>
                </c:pt>
                <c:pt idx="79">
                  <c:v>42359</c:v>
                </c:pt>
                <c:pt idx="80">
                  <c:v>42360</c:v>
                </c:pt>
                <c:pt idx="81">
                  <c:v>42361</c:v>
                </c:pt>
                <c:pt idx="82">
                  <c:v>42366</c:v>
                </c:pt>
                <c:pt idx="83">
                  <c:v>42367</c:v>
                </c:pt>
                <c:pt idx="84">
                  <c:v>42368</c:v>
                </c:pt>
                <c:pt idx="85">
                  <c:v>42369</c:v>
                </c:pt>
                <c:pt idx="86">
                  <c:v>42373</c:v>
                </c:pt>
                <c:pt idx="87">
                  <c:v>42374</c:v>
                </c:pt>
                <c:pt idx="88">
                  <c:v>42375</c:v>
                </c:pt>
                <c:pt idx="89">
                  <c:v>42376</c:v>
                </c:pt>
                <c:pt idx="90">
                  <c:v>42377</c:v>
                </c:pt>
                <c:pt idx="91">
                  <c:v>42380</c:v>
                </c:pt>
                <c:pt idx="92">
                  <c:v>42381</c:v>
                </c:pt>
                <c:pt idx="93">
                  <c:v>42382</c:v>
                </c:pt>
                <c:pt idx="94">
                  <c:v>42383</c:v>
                </c:pt>
                <c:pt idx="95">
                  <c:v>42384</c:v>
                </c:pt>
                <c:pt idx="96">
                  <c:v>42387</c:v>
                </c:pt>
                <c:pt idx="97">
                  <c:v>42388</c:v>
                </c:pt>
                <c:pt idx="98">
                  <c:v>42389</c:v>
                </c:pt>
                <c:pt idx="99">
                  <c:v>42390</c:v>
                </c:pt>
                <c:pt idx="100">
                  <c:v>42391</c:v>
                </c:pt>
                <c:pt idx="101">
                  <c:v>42394</c:v>
                </c:pt>
                <c:pt idx="102">
                  <c:v>42395</c:v>
                </c:pt>
                <c:pt idx="103">
                  <c:v>42396</c:v>
                </c:pt>
                <c:pt idx="104">
                  <c:v>42397</c:v>
                </c:pt>
                <c:pt idx="105">
                  <c:v>42398</c:v>
                </c:pt>
                <c:pt idx="106">
                  <c:v>42401</c:v>
                </c:pt>
                <c:pt idx="107">
                  <c:v>42402</c:v>
                </c:pt>
                <c:pt idx="108">
                  <c:v>42403</c:v>
                </c:pt>
                <c:pt idx="109">
                  <c:v>42404</c:v>
                </c:pt>
                <c:pt idx="110">
                  <c:v>42405</c:v>
                </c:pt>
                <c:pt idx="111">
                  <c:v>42408</c:v>
                </c:pt>
                <c:pt idx="112">
                  <c:v>42409</c:v>
                </c:pt>
                <c:pt idx="113">
                  <c:v>42410</c:v>
                </c:pt>
                <c:pt idx="114">
                  <c:v>42411</c:v>
                </c:pt>
                <c:pt idx="115">
                  <c:v>42412</c:v>
                </c:pt>
                <c:pt idx="116">
                  <c:v>42415</c:v>
                </c:pt>
                <c:pt idx="117">
                  <c:v>42416</c:v>
                </c:pt>
                <c:pt idx="118">
                  <c:v>42417</c:v>
                </c:pt>
                <c:pt idx="119">
                  <c:v>42418</c:v>
                </c:pt>
                <c:pt idx="120">
                  <c:v>42419</c:v>
                </c:pt>
                <c:pt idx="121">
                  <c:v>42422</c:v>
                </c:pt>
                <c:pt idx="122">
                  <c:v>42423</c:v>
                </c:pt>
                <c:pt idx="123">
                  <c:v>42424</c:v>
                </c:pt>
                <c:pt idx="124">
                  <c:v>42425</c:v>
                </c:pt>
                <c:pt idx="125">
                  <c:v>42426</c:v>
                </c:pt>
                <c:pt idx="126">
                  <c:v>42429</c:v>
                </c:pt>
                <c:pt idx="127">
                  <c:v>42430</c:v>
                </c:pt>
                <c:pt idx="128">
                  <c:v>42431</c:v>
                </c:pt>
                <c:pt idx="129">
                  <c:v>42432</c:v>
                </c:pt>
                <c:pt idx="130">
                  <c:v>42433</c:v>
                </c:pt>
                <c:pt idx="131">
                  <c:v>42434</c:v>
                </c:pt>
                <c:pt idx="132">
                  <c:v>42436</c:v>
                </c:pt>
                <c:pt idx="133">
                  <c:v>42437</c:v>
                </c:pt>
                <c:pt idx="134">
                  <c:v>42438</c:v>
                </c:pt>
                <c:pt idx="135">
                  <c:v>42439</c:v>
                </c:pt>
                <c:pt idx="136">
                  <c:v>42440</c:v>
                </c:pt>
                <c:pt idx="137">
                  <c:v>42445</c:v>
                </c:pt>
                <c:pt idx="138">
                  <c:v>42446</c:v>
                </c:pt>
                <c:pt idx="139">
                  <c:v>42447</c:v>
                </c:pt>
                <c:pt idx="140">
                  <c:v>42450</c:v>
                </c:pt>
                <c:pt idx="141">
                  <c:v>42451</c:v>
                </c:pt>
                <c:pt idx="142">
                  <c:v>42452</c:v>
                </c:pt>
                <c:pt idx="143">
                  <c:v>42453</c:v>
                </c:pt>
                <c:pt idx="144">
                  <c:v>42454</c:v>
                </c:pt>
                <c:pt idx="145">
                  <c:v>42458</c:v>
                </c:pt>
                <c:pt idx="146">
                  <c:v>42459</c:v>
                </c:pt>
                <c:pt idx="147">
                  <c:v>42460</c:v>
                </c:pt>
                <c:pt idx="148">
                  <c:v>42461</c:v>
                </c:pt>
                <c:pt idx="149">
                  <c:v>42464</c:v>
                </c:pt>
                <c:pt idx="150">
                  <c:v>42465</c:v>
                </c:pt>
                <c:pt idx="151">
                  <c:v>42466</c:v>
                </c:pt>
                <c:pt idx="152">
                  <c:v>42467</c:v>
                </c:pt>
                <c:pt idx="153">
                  <c:v>42468</c:v>
                </c:pt>
                <c:pt idx="154">
                  <c:v>42471</c:v>
                </c:pt>
                <c:pt idx="155">
                  <c:v>42472</c:v>
                </c:pt>
                <c:pt idx="156">
                  <c:v>42473</c:v>
                </c:pt>
                <c:pt idx="157">
                  <c:v>42474</c:v>
                </c:pt>
                <c:pt idx="158">
                  <c:v>42475</c:v>
                </c:pt>
                <c:pt idx="159">
                  <c:v>42478</c:v>
                </c:pt>
                <c:pt idx="160">
                  <c:v>42479</c:v>
                </c:pt>
                <c:pt idx="161">
                  <c:v>42480</c:v>
                </c:pt>
                <c:pt idx="162">
                  <c:v>42481</c:v>
                </c:pt>
                <c:pt idx="163">
                  <c:v>42482</c:v>
                </c:pt>
                <c:pt idx="164">
                  <c:v>42485</c:v>
                </c:pt>
                <c:pt idx="165">
                  <c:v>42486</c:v>
                </c:pt>
                <c:pt idx="166">
                  <c:v>42487</c:v>
                </c:pt>
                <c:pt idx="167">
                  <c:v>42488</c:v>
                </c:pt>
                <c:pt idx="168">
                  <c:v>42489</c:v>
                </c:pt>
                <c:pt idx="169">
                  <c:v>42492</c:v>
                </c:pt>
                <c:pt idx="170">
                  <c:v>42493</c:v>
                </c:pt>
                <c:pt idx="171">
                  <c:v>42494</c:v>
                </c:pt>
                <c:pt idx="172">
                  <c:v>42495</c:v>
                </c:pt>
                <c:pt idx="173">
                  <c:v>42496</c:v>
                </c:pt>
                <c:pt idx="174">
                  <c:v>42499</c:v>
                </c:pt>
                <c:pt idx="175">
                  <c:v>42500</c:v>
                </c:pt>
                <c:pt idx="176">
                  <c:v>42501</c:v>
                </c:pt>
                <c:pt idx="177">
                  <c:v>42502</c:v>
                </c:pt>
                <c:pt idx="178">
                  <c:v>42503</c:v>
                </c:pt>
                <c:pt idx="179">
                  <c:v>42507</c:v>
                </c:pt>
                <c:pt idx="180">
                  <c:v>42508</c:v>
                </c:pt>
                <c:pt idx="181">
                  <c:v>42509</c:v>
                </c:pt>
                <c:pt idx="182">
                  <c:v>42510</c:v>
                </c:pt>
                <c:pt idx="183">
                  <c:v>42513</c:v>
                </c:pt>
                <c:pt idx="184">
                  <c:v>42514</c:v>
                </c:pt>
                <c:pt idx="185">
                  <c:v>42515</c:v>
                </c:pt>
                <c:pt idx="186">
                  <c:v>42516</c:v>
                </c:pt>
                <c:pt idx="187">
                  <c:v>42517</c:v>
                </c:pt>
                <c:pt idx="188">
                  <c:v>42520</c:v>
                </c:pt>
                <c:pt idx="189">
                  <c:v>42521</c:v>
                </c:pt>
                <c:pt idx="190">
                  <c:v>42522</c:v>
                </c:pt>
                <c:pt idx="191">
                  <c:v>42523</c:v>
                </c:pt>
                <c:pt idx="192">
                  <c:v>42524</c:v>
                </c:pt>
                <c:pt idx="193">
                  <c:v>42527</c:v>
                </c:pt>
                <c:pt idx="194">
                  <c:v>42528</c:v>
                </c:pt>
                <c:pt idx="195">
                  <c:v>42529</c:v>
                </c:pt>
                <c:pt idx="196">
                  <c:v>42530</c:v>
                </c:pt>
                <c:pt idx="197">
                  <c:v>42531</c:v>
                </c:pt>
                <c:pt idx="198">
                  <c:v>42534</c:v>
                </c:pt>
                <c:pt idx="199">
                  <c:v>42535</c:v>
                </c:pt>
                <c:pt idx="200">
                  <c:v>42536</c:v>
                </c:pt>
                <c:pt idx="201">
                  <c:v>42537</c:v>
                </c:pt>
                <c:pt idx="202">
                  <c:v>42538</c:v>
                </c:pt>
                <c:pt idx="203">
                  <c:v>42541</c:v>
                </c:pt>
                <c:pt idx="204">
                  <c:v>42542</c:v>
                </c:pt>
                <c:pt idx="205">
                  <c:v>42543</c:v>
                </c:pt>
                <c:pt idx="206">
                  <c:v>42544</c:v>
                </c:pt>
                <c:pt idx="207">
                  <c:v>42545</c:v>
                </c:pt>
                <c:pt idx="208">
                  <c:v>42548</c:v>
                </c:pt>
                <c:pt idx="209">
                  <c:v>42549</c:v>
                </c:pt>
                <c:pt idx="210">
                  <c:v>42550</c:v>
                </c:pt>
                <c:pt idx="211">
                  <c:v>42551</c:v>
                </c:pt>
                <c:pt idx="212">
                  <c:v>42552</c:v>
                </c:pt>
                <c:pt idx="213">
                  <c:v>42555</c:v>
                </c:pt>
                <c:pt idx="214">
                  <c:v>42556</c:v>
                </c:pt>
                <c:pt idx="215">
                  <c:v>42557</c:v>
                </c:pt>
                <c:pt idx="216">
                  <c:v>42558</c:v>
                </c:pt>
                <c:pt idx="217">
                  <c:v>42559</c:v>
                </c:pt>
                <c:pt idx="218">
                  <c:v>42562</c:v>
                </c:pt>
                <c:pt idx="219">
                  <c:v>42563</c:v>
                </c:pt>
                <c:pt idx="220">
                  <c:v>42564</c:v>
                </c:pt>
                <c:pt idx="221">
                  <c:v>42565</c:v>
                </c:pt>
                <c:pt idx="222">
                  <c:v>42566</c:v>
                </c:pt>
                <c:pt idx="223">
                  <c:v>42569</c:v>
                </c:pt>
                <c:pt idx="224">
                  <c:v>42570</c:v>
                </c:pt>
                <c:pt idx="225">
                  <c:v>42571</c:v>
                </c:pt>
                <c:pt idx="226">
                  <c:v>42572</c:v>
                </c:pt>
                <c:pt idx="227">
                  <c:v>42573</c:v>
                </c:pt>
                <c:pt idx="228">
                  <c:v>42576</c:v>
                </c:pt>
                <c:pt idx="229">
                  <c:v>42577</c:v>
                </c:pt>
                <c:pt idx="230">
                  <c:v>42578</c:v>
                </c:pt>
                <c:pt idx="231">
                  <c:v>42579</c:v>
                </c:pt>
                <c:pt idx="232">
                  <c:v>42580</c:v>
                </c:pt>
                <c:pt idx="233">
                  <c:v>42583</c:v>
                </c:pt>
                <c:pt idx="234">
                  <c:v>42584</c:v>
                </c:pt>
                <c:pt idx="235">
                  <c:v>42585</c:v>
                </c:pt>
                <c:pt idx="236">
                  <c:v>42586</c:v>
                </c:pt>
                <c:pt idx="237">
                  <c:v>42587</c:v>
                </c:pt>
                <c:pt idx="238">
                  <c:v>42590</c:v>
                </c:pt>
                <c:pt idx="239">
                  <c:v>42591</c:v>
                </c:pt>
                <c:pt idx="240">
                  <c:v>42592</c:v>
                </c:pt>
                <c:pt idx="241">
                  <c:v>42593</c:v>
                </c:pt>
                <c:pt idx="242">
                  <c:v>42594</c:v>
                </c:pt>
                <c:pt idx="243">
                  <c:v>42597</c:v>
                </c:pt>
                <c:pt idx="244">
                  <c:v>42598</c:v>
                </c:pt>
                <c:pt idx="245">
                  <c:v>42599</c:v>
                </c:pt>
                <c:pt idx="246">
                  <c:v>42600</c:v>
                </c:pt>
                <c:pt idx="247">
                  <c:v>42601</c:v>
                </c:pt>
                <c:pt idx="248">
                  <c:v>42604</c:v>
                </c:pt>
                <c:pt idx="249">
                  <c:v>42605</c:v>
                </c:pt>
                <c:pt idx="250">
                  <c:v>42606</c:v>
                </c:pt>
                <c:pt idx="251">
                  <c:v>42607</c:v>
                </c:pt>
                <c:pt idx="252">
                  <c:v>42608</c:v>
                </c:pt>
                <c:pt idx="253">
                  <c:v>42611</c:v>
                </c:pt>
                <c:pt idx="254">
                  <c:v>42612</c:v>
                </c:pt>
                <c:pt idx="255">
                  <c:v>42613</c:v>
                </c:pt>
                <c:pt idx="256">
                  <c:v>42614</c:v>
                </c:pt>
                <c:pt idx="257">
                  <c:v>42615</c:v>
                </c:pt>
                <c:pt idx="258">
                  <c:v>42618</c:v>
                </c:pt>
                <c:pt idx="259">
                  <c:v>42619</c:v>
                </c:pt>
                <c:pt idx="260">
                  <c:v>42620</c:v>
                </c:pt>
                <c:pt idx="261">
                  <c:v>42621</c:v>
                </c:pt>
                <c:pt idx="262">
                  <c:v>42622</c:v>
                </c:pt>
                <c:pt idx="263">
                  <c:v>42625</c:v>
                </c:pt>
                <c:pt idx="264">
                  <c:v>42626</c:v>
                </c:pt>
                <c:pt idx="265">
                  <c:v>42627</c:v>
                </c:pt>
                <c:pt idx="266">
                  <c:v>42628</c:v>
                </c:pt>
                <c:pt idx="267">
                  <c:v>42629</c:v>
                </c:pt>
                <c:pt idx="268">
                  <c:v>42632</c:v>
                </c:pt>
                <c:pt idx="269">
                  <c:v>42633</c:v>
                </c:pt>
                <c:pt idx="270">
                  <c:v>42634</c:v>
                </c:pt>
                <c:pt idx="271">
                  <c:v>42635</c:v>
                </c:pt>
                <c:pt idx="272">
                  <c:v>42636</c:v>
                </c:pt>
                <c:pt idx="273">
                  <c:v>42639</c:v>
                </c:pt>
                <c:pt idx="274">
                  <c:v>42640</c:v>
                </c:pt>
                <c:pt idx="275">
                  <c:v>42641</c:v>
                </c:pt>
                <c:pt idx="276">
                  <c:v>42642</c:v>
                </c:pt>
                <c:pt idx="277">
                  <c:v>42643</c:v>
                </c:pt>
                <c:pt idx="278">
                  <c:v>42646</c:v>
                </c:pt>
                <c:pt idx="279">
                  <c:v>42647</c:v>
                </c:pt>
                <c:pt idx="280">
                  <c:v>42648</c:v>
                </c:pt>
                <c:pt idx="281">
                  <c:v>42649</c:v>
                </c:pt>
                <c:pt idx="282">
                  <c:v>42650</c:v>
                </c:pt>
                <c:pt idx="283">
                  <c:v>42653</c:v>
                </c:pt>
                <c:pt idx="284">
                  <c:v>42654</c:v>
                </c:pt>
                <c:pt idx="285">
                  <c:v>42655</c:v>
                </c:pt>
                <c:pt idx="286">
                  <c:v>42656</c:v>
                </c:pt>
                <c:pt idx="287">
                  <c:v>42657</c:v>
                </c:pt>
                <c:pt idx="288">
                  <c:v>42658</c:v>
                </c:pt>
                <c:pt idx="289">
                  <c:v>42660</c:v>
                </c:pt>
                <c:pt idx="290">
                  <c:v>42661</c:v>
                </c:pt>
                <c:pt idx="291">
                  <c:v>42662</c:v>
                </c:pt>
                <c:pt idx="292">
                  <c:v>42663</c:v>
                </c:pt>
                <c:pt idx="293">
                  <c:v>42664</c:v>
                </c:pt>
                <c:pt idx="294">
                  <c:v>42667</c:v>
                </c:pt>
                <c:pt idx="295">
                  <c:v>42668</c:v>
                </c:pt>
                <c:pt idx="296">
                  <c:v>42669</c:v>
                </c:pt>
                <c:pt idx="297">
                  <c:v>42670</c:v>
                </c:pt>
                <c:pt idx="298">
                  <c:v>42671</c:v>
                </c:pt>
                <c:pt idx="299">
                  <c:v>42676</c:v>
                </c:pt>
                <c:pt idx="300">
                  <c:v>42677</c:v>
                </c:pt>
                <c:pt idx="301">
                  <c:v>42678</c:v>
                </c:pt>
                <c:pt idx="302">
                  <c:v>42681</c:v>
                </c:pt>
                <c:pt idx="303">
                  <c:v>42682</c:v>
                </c:pt>
                <c:pt idx="304">
                  <c:v>42683</c:v>
                </c:pt>
                <c:pt idx="305">
                  <c:v>42684</c:v>
                </c:pt>
                <c:pt idx="306">
                  <c:v>42685</c:v>
                </c:pt>
                <c:pt idx="307">
                  <c:v>42688</c:v>
                </c:pt>
                <c:pt idx="308">
                  <c:v>42689</c:v>
                </c:pt>
                <c:pt idx="309">
                  <c:v>42690</c:v>
                </c:pt>
                <c:pt idx="310">
                  <c:v>42691</c:v>
                </c:pt>
                <c:pt idx="311">
                  <c:v>42692</c:v>
                </c:pt>
                <c:pt idx="312">
                  <c:v>42695</c:v>
                </c:pt>
                <c:pt idx="313">
                  <c:v>42696</c:v>
                </c:pt>
                <c:pt idx="314">
                  <c:v>42697</c:v>
                </c:pt>
                <c:pt idx="315">
                  <c:v>42698</c:v>
                </c:pt>
                <c:pt idx="316">
                  <c:v>42699</c:v>
                </c:pt>
                <c:pt idx="317">
                  <c:v>42702</c:v>
                </c:pt>
                <c:pt idx="318">
                  <c:v>42703</c:v>
                </c:pt>
                <c:pt idx="319">
                  <c:v>42704</c:v>
                </c:pt>
                <c:pt idx="320">
                  <c:v>42705</c:v>
                </c:pt>
                <c:pt idx="321">
                  <c:v>42706</c:v>
                </c:pt>
                <c:pt idx="322">
                  <c:v>42709</c:v>
                </c:pt>
                <c:pt idx="323">
                  <c:v>42710</c:v>
                </c:pt>
                <c:pt idx="324">
                  <c:v>42711</c:v>
                </c:pt>
                <c:pt idx="325">
                  <c:v>42712</c:v>
                </c:pt>
                <c:pt idx="326">
                  <c:v>42713</c:v>
                </c:pt>
                <c:pt idx="327">
                  <c:v>42716</c:v>
                </c:pt>
                <c:pt idx="328">
                  <c:v>42717</c:v>
                </c:pt>
                <c:pt idx="329">
                  <c:v>42718</c:v>
                </c:pt>
                <c:pt idx="330">
                  <c:v>42719</c:v>
                </c:pt>
                <c:pt idx="331">
                  <c:v>42720</c:v>
                </c:pt>
                <c:pt idx="332">
                  <c:v>42723</c:v>
                </c:pt>
                <c:pt idx="333">
                  <c:v>42724</c:v>
                </c:pt>
                <c:pt idx="334">
                  <c:v>42725</c:v>
                </c:pt>
                <c:pt idx="335">
                  <c:v>42726</c:v>
                </c:pt>
                <c:pt idx="336">
                  <c:v>42727</c:v>
                </c:pt>
                <c:pt idx="337">
                  <c:v>42731</c:v>
                </c:pt>
                <c:pt idx="338">
                  <c:v>42732</c:v>
                </c:pt>
                <c:pt idx="339">
                  <c:v>42733</c:v>
                </c:pt>
                <c:pt idx="340">
                  <c:v>42734</c:v>
                </c:pt>
                <c:pt idx="341">
                  <c:v>42737</c:v>
                </c:pt>
                <c:pt idx="342">
                  <c:v>42738</c:v>
                </c:pt>
                <c:pt idx="343">
                  <c:v>42739</c:v>
                </c:pt>
                <c:pt idx="344">
                  <c:v>42740</c:v>
                </c:pt>
                <c:pt idx="345">
                  <c:v>42741</c:v>
                </c:pt>
                <c:pt idx="346">
                  <c:v>42744</c:v>
                </c:pt>
                <c:pt idx="347">
                  <c:v>42745</c:v>
                </c:pt>
                <c:pt idx="348">
                  <c:v>42746</c:v>
                </c:pt>
                <c:pt idx="349">
                  <c:v>42747</c:v>
                </c:pt>
                <c:pt idx="350">
                  <c:v>42748</c:v>
                </c:pt>
                <c:pt idx="351">
                  <c:v>42751</c:v>
                </c:pt>
                <c:pt idx="352">
                  <c:v>42752</c:v>
                </c:pt>
                <c:pt idx="353">
                  <c:v>42753</c:v>
                </c:pt>
                <c:pt idx="354">
                  <c:v>42754</c:v>
                </c:pt>
                <c:pt idx="355">
                  <c:v>42755</c:v>
                </c:pt>
                <c:pt idx="356">
                  <c:v>42758</c:v>
                </c:pt>
                <c:pt idx="357">
                  <c:v>42759</c:v>
                </c:pt>
                <c:pt idx="358">
                  <c:v>42760</c:v>
                </c:pt>
                <c:pt idx="359">
                  <c:v>42761</c:v>
                </c:pt>
                <c:pt idx="360">
                  <c:v>42762</c:v>
                </c:pt>
                <c:pt idx="361">
                  <c:v>42765</c:v>
                </c:pt>
                <c:pt idx="362">
                  <c:v>42766</c:v>
                </c:pt>
                <c:pt idx="363">
                  <c:v>42767</c:v>
                </c:pt>
                <c:pt idx="364">
                  <c:v>42768</c:v>
                </c:pt>
                <c:pt idx="365">
                  <c:v>42769</c:v>
                </c:pt>
                <c:pt idx="366">
                  <c:v>42772</c:v>
                </c:pt>
                <c:pt idx="367">
                  <c:v>42773</c:v>
                </c:pt>
                <c:pt idx="368">
                  <c:v>42774</c:v>
                </c:pt>
                <c:pt idx="369">
                  <c:v>42775</c:v>
                </c:pt>
                <c:pt idx="370">
                  <c:v>42776</c:v>
                </c:pt>
                <c:pt idx="371">
                  <c:v>42779</c:v>
                </c:pt>
                <c:pt idx="372">
                  <c:v>42780</c:v>
                </c:pt>
                <c:pt idx="373">
                  <c:v>42781</c:v>
                </c:pt>
                <c:pt idx="374">
                  <c:v>42782</c:v>
                </c:pt>
                <c:pt idx="375">
                  <c:v>42783</c:v>
                </c:pt>
                <c:pt idx="376">
                  <c:v>42786</c:v>
                </c:pt>
                <c:pt idx="377">
                  <c:v>42787</c:v>
                </c:pt>
                <c:pt idx="378">
                  <c:v>42788</c:v>
                </c:pt>
                <c:pt idx="379">
                  <c:v>42789</c:v>
                </c:pt>
                <c:pt idx="380">
                  <c:v>42790</c:v>
                </c:pt>
                <c:pt idx="381">
                  <c:v>42793</c:v>
                </c:pt>
                <c:pt idx="382">
                  <c:v>42794</c:v>
                </c:pt>
                <c:pt idx="383">
                  <c:v>42795</c:v>
                </c:pt>
                <c:pt idx="384">
                  <c:v>42796</c:v>
                </c:pt>
                <c:pt idx="385">
                  <c:v>42797</c:v>
                </c:pt>
                <c:pt idx="386">
                  <c:v>42800</c:v>
                </c:pt>
                <c:pt idx="387">
                  <c:v>42801</c:v>
                </c:pt>
                <c:pt idx="388">
                  <c:v>42802</c:v>
                </c:pt>
                <c:pt idx="389">
                  <c:v>42803</c:v>
                </c:pt>
                <c:pt idx="390">
                  <c:v>42804</c:v>
                </c:pt>
                <c:pt idx="391">
                  <c:v>42807</c:v>
                </c:pt>
                <c:pt idx="392">
                  <c:v>42808</c:v>
                </c:pt>
                <c:pt idx="393">
                  <c:v>42810</c:v>
                </c:pt>
                <c:pt idx="394">
                  <c:v>42811</c:v>
                </c:pt>
                <c:pt idx="395">
                  <c:v>42814</c:v>
                </c:pt>
                <c:pt idx="396">
                  <c:v>42815</c:v>
                </c:pt>
                <c:pt idx="397">
                  <c:v>42816</c:v>
                </c:pt>
                <c:pt idx="398">
                  <c:v>42817</c:v>
                </c:pt>
                <c:pt idx="399">
                  <c:v>42818</c:v>
                </c:pt>
                <c:pt idx="400">
                  <c:v>42821</c:v>
                </c:pt>
                <c:pt idx="401">
                  <c:v>42822</c:v>
                </c:pt>
                <c:pt idx="402">
                  <c:v>42823</c:v>
                </c:pt>
                <c:pt idx="403">
                  <c:v>42824</c:v>
                </c:pt>
                <c:pt idx="404">
                  <c:v>42825</c:v>
                </c:pt>
                <c:pt idx="405">
                  <c:v>42828</c:v>
                </c:pt>
                <c:pt idx="406">
                  <c:v>42829</c:v>
                </c:pt>
                <c:pt idx="407">
                  <c:v>42830</c:v>
                </c:pt>
                <c:pt idx="408">
                  <c:v>42831</c:v>
                </c:pt>
                <c:pt idx="409">
                  <c:v>42832</c:v>
                </c:pt>
                <c:pt idx="410">
                  <c:v>42835</c:v>
                </c:pt>
                <c:pt idx="411">
                  <c:v>42836</c:v>
                </c:pt>
                <c:pt idx="412">
                  <c:v>42837</c:v>
                </c:pt>
                <c:pt idx="413">
                  <c:v>42838</c:v>
                </c:pt>
                <c:pt idx="414">
                  <c:v>42843</c:v>
                </c:pt>
                <c:pt idx="415">
                  <c:v>42844</c:v>
                </c:pt>
                <c:pt idx="416">
                  <c:v>42845</c:v>
                </c:pt>
                <c:pt idx="417">
                  <c:v>42846</c:v>
                </c:pt>
                <c:pt idx="418">
                  <c:v>42849</c:v>
                </c:pt>
                <c:pt idx="419">
                  <c:v>42850</c:v>
                </c:pt>
                <c:pt idx="420">
                  <c:v>42851</c:v>
                </c:pt>
                <c:pt idx="421">
                  <c:v>42852</c:v>
                </c:pt>
                <c:pt idx="422">
                  <c:v>42853</c:v>
                </c:pt>
                <c:pt idx="423">
                  <c:v>42854</c:v>
                </c:pt>
                <c:pt idx="424">
                  <c:v>42855</c:v>
                </c:pt>
                <c:pt idx="425">
                  <c:v>42856</c:v>
                </c:pt>
                <c:pt idx="426">
                  <c:v>42857</c:v>
                </c:pt>
                <c:pt idx="427">
                  <c:v>42858</c:v>
                </c:pt>
                <c:pt idx="428">
                  <c:v>42859</c:v>
                </c:pt>
                <c:pt idx="429">
                  <c:v>42860</c:v>
                </c:pt>
                <c:pt idx="430">
                  <c:v>42861</c:v>
                </c:pt>
                <c:pt idx="431">
                  <c:v>42862</c:v>
                </c:pt>
                <c:pt idx="432">
                  <c:v>42863</c:v>
                </c:pt>
                <c:pt idx="433">
                  <c:v>42864</c:v>
                </c:pt>
                <c:pt idx="434">
                  <c:v>42865</c:v>
                </c:pt>
                <c:pt idx="435">
                  <c:v>42866</c:v>
                </c:pt>
                <c:pt idx="436">
                  <c:v>42867</c:v>
                </c:pt>
                <c:pt idx="437">
                  <c:v>42868</c:v>
                </c:pt>
                <c:pt idx="438">
                  <c:v>42869</c:v>
                </c:pt>
                <c:pt idx="439">
                  <c:v>42870</c:v>
                </c:pt>
                <c:pt idx="440">
                  <c:v>42871</c:v>
                </c:pt>
                <c:pt idx="441">
                  <c:v>42872</c:v>
                </c:pt>
                <c:pt idx="442">
                  <c:v>42873</c:v>
                </c:pt>
                <c:pt idx="443">
                  <c:v>42874</c:v>
                </c:pt>
                <c:pt idx="444">
                  <c:v>42875</c:v>
                </c:pt>
                <c:pt idx="445">
                  <c:v>42876</c:v>
                </c:pt>
                <c:pt idx="446">
                  <c:v>42877</c:v>
                </c:pt>
                <c:pt idx="447">
                  <c:v>42878</c:v>
                </c:pt>
                <c:pt idx="448">
                  <c:v>42879</c:v>
                </c:pt>
                <c:pt idx="449">
                  <c:v>42880</c:v>
                </c:pt>
                <c:pt idx="450">
                  <c:v>42881</c:v>
                </c:pt>
                <c:pt idx="451">
                  <c:v>42882</c:v>
                </c:pt>
                <c:pt idx="452">
                  <c:v>42883</c:v>
                </c:pt>
                <c:pt idx="453">
                  <c:v>42884</c:v>
                </c:pt>
                <c:pt idx="454">
                  <c:v>42885</c:v>
                </c:pt>
                <c:pt idx="455">
                  <c:v>42886</c:v>
                </c:pt>
                <c:pt idx="456">
                  <c:v>42887</c:v>
                </c:pt>
                <c:pt idx="457">
                  <c:v>42888</c:v>
                </c:pt>
                <c:pt idx="458">
                  <c:v>42889</c:v>
                </c:pt>
                <c:pt idx="459">
                  <c:v>42890</c:v>
                </c:pt>
                <c:pt idx="460">
                  <c:v>42891</c:v>
                </c:pt>
                <c:pt idx="461">
                  <c:v>42892</c:v>
                </c:pt>
                <c:pt idx="462">
                  <c:v>42893</c:v>
                </c:pt>
                <c:pt idx="463">
                  <c:v>42894</c:v>
                </c:pt>
                <c:pt idx="464">
                  <c:v>42895</c:v>
                </c:pt>
                <c:pt idx="465">
                  <c:v>42896</c:v>
                </c:pt>
                <c:pt idx="466">
                  <c:v>42897</c:v>
                </c:pt>
                <c:pt idx="467">
                  <c:v>42898</c:v>
                </c:pt>
                <c:pt idx="468">
                  <c:v>42899</c:v>
                </c:pt>
                <c:pt idx="469">
                  <c:v>42900</c:v>
                </c:pt>
                <c:pt idx="470">
                  <c:v>42901</c:v>
                </c:pt>
                <c:pt idx="471">
                  <c:v>42902</c:v>
                </c:pt>
                <c:pt idx="472">
                  <c:v>42903</c:v>
                </c:pt>
                <c:pt idx="473">
                  <c:v>42904</c:v>
                </c:pt>
                <c:pt idx="474">
                  <c:v>42905</c:v>
                </c:pt>
                <c:pt idx="475">
                  <c:v>42906</c:v>
                </c:pt>
                <c:pt idx="476">
                  <c:v>42907</c:v>
                </c:pt>
                <c:pt idx="477">
                  <c:v>42908</c:v>
                </c:pt>
                <c:pt idx="478">
                  <c:v>42909</c:v>
                </c:pt>
                <c:pt idx="479">
                  <c:v>42910</c:v>
                </c:pt>
                <c:pt idx="480">
                  <c:v>42911</c:v>
                </c:pt>
                <c:pt idx="481">
                  <c:v>42912</c:v>
                </c:pt>
                <c:pt idx="482">
                  <c:v>42913</c:v>
                </c:pt>
                <c:pt idx="483">
                  <c:v>42914</c:v>
                </c:pt>
                <c:pt idx="484">
                  <c:v>42915</c:v>
                </c:pt>
                <c:pt idx="485">
                  <c:v>42916</c:v>
                </c:pt>
                <c:pt idx="486">
                  <c:v>42917</c:v>
                </c:pt>
                <c:pt idx="487">
                  <c:v>42918</c:v>
                </c:pt>
                <c:pt idx="488">
                  <c:v>42919</c:v>
                </c:pt>
                <c:pt idx="489">
                  <c:v>42920</c:v>
                </c:pt>
                <c:pt idx="490">
                  <c:v>42921</c:v>
                </c:pt>
                <c:pt idx="491">
                  <c:v>42922</c:v>
                </c:pt>
                <c:pt idx="492">
                  <c:v>42923</c:v>
                </c:pt>
                <c:pt idx="493">
                  <c:v>42924</c:v>
                </c:pt>
                <c:pt idx="494">
                  <c:v>42925</c:v>
                </c:pt>
                <c:pt idx="495">
                  <c:v>42926</c:v>
                </c:pt>
                <c:pt idx="496">
                  <c:v>42927</c:v>
                </c:pt>
                <c:pt idx="497">
                  <c:v>42928</c:v>
                </c:pt>
                <c:pt idx="498">
                  <c:v>42929</c:v>
                </c:pt>
                <c:pt idx="499">
                  <c:v>42930</c:v>
                </c:pt>
                <c:pt idx="500">
                  <c:v>42931</c:v>
                </c:pt>
                <c:pt idx="501">
                  <c:v>42932</c:v>
                </c:pt>
                <c:pt idx="502">
                  <c:v>42933</c:v>
                </c:pt>
                <c:pt idx="503">
                  <c:v>42934</c:v>
                </c:pt>
                <c:pt idx="504">
                  <c:v>42935</c:v>
                </c:pt>
                <c:pt idx="505">
                  <c:v>42936</c:v>
                </c:pt>
                <c:pt idx="506">
                  <c:v>42937</c:v>
                </c:pt>
                <c:pt idx="507">
                  <c:v>42938</c:v>
                </c:pt>
                <c:pt idx="508">
                  <c:v>42939</c:v>
                </c:pt>
                <c:pt idx="509">
                  <c:v>42940</c:v>
                </c:pt>
                <c:pt idx="510">
                  <c:v>42941</c:v>
                </c:pt>
                <c:pt idx="511">
                  <c:v>42942</c:v>
                </c:pt>
                <c:pt idx="512">
                  <c:v>42943</c:v>
                </c:pt>
                <c:pt idx="513">
                  <c:v>42944</c:v>
                </c:pt>
                <c:pt idx="514">
                  <c:v>42945</c:v>
                </c:pt>
                <c:pt idx="515">
                  <c:v>42946</c:v>
                </c:pt>
                <c:pt idx="516">
                  <c:v>42947</c:v>
                </c:pt>
                <c:pt idx="517">
                  <c:v>42948</c:v>
                </c:pt>
                <c:pt idx="518">
                  <c:v>42949</c:v>
                </c:pt>
                <c:pt idx="519">
                  <c:v>42950</c:v>
                </c:pt>
                <c:pt idx="520">
                  <c:v>42951</c:v>
                </c:pt>
                <c:pt idx="521">
                  <c:v>42952</c:v>
                </c:pt>
                <c:pt idx="522">
                  <c:v>42953</c:v>
                </c:pt>
                <c:pt idx="523">
                  <c:v>42954</c:v>
                </c:pt>
                <c:pt idx="524">
                  <c:v>42955</c:v>
                </c:pt>
                <c:pt idx="525">
                  <c:v>42956</c:v>
                </c:pt>
                <c:pt idx="526">
                  <c:v>42957</c:v>
                </c:pt>
                <c:pt idx="527">
                  <c:v>42958</c:v>
                </c:pt>
                <c:pt idx="528">
                  <c:v>42959</c:v>
                </c:pt>
                <c:pt idx="529">
                  <c:v>42960</c:v>
                </c:pt>
                <c:pt idx="530">
                  <c:v>42961</c:v>
                </c:pt>
                <c:pt idx="531">
                  <c:v>42962</c:v>
                </c:pt>
                <c:pt idx="532">
                  <c:v>42963</c:v>
                </c:pt>
                <c:pt idx="533">
                  <c:v>42964</c:v>
                </c:pt>
                <c:pt idx="534">
                  <c:v>42965</c:v>
                </c:pt>
                <c:pt idx="535">
                  <c:v>42966</c:v>
                </c:pt>
                <c:pt idx="536">
                  <c:v>42967</c:v>
                </c:pt>
                <c:pt idx="537">
                  <c:v>42968</c:v>
                </c:pt>
                <c:pt idx="538">
                  <c:v>42969</c:v>
                </c:pt>
                <c:pt idx="539">
                  <c:v>42970</c:v>
                </c:pt>
                <c:pt idx="540">
                  <c:v>42971</c:v>
                </c:pt>
                <c:pt idx="541">
                  <c:v>42972</c:v>
                </c:pt>
                <c:pt idx="542">
                  <c:v>42973</c:v>
                </c:pt>
                <c:pt idx="543">
                  <c:v>42974</c:v>
                </c:pt>
                <c:pt idx="544">
                  <c:v>42975</c:v>
                </c:pt>
                <c:pt idx="545">
                  <c:v>42976</c:v>
                </c:pt>
                <c:pt idx="546">
                  <c:v>42977</c:v>
                </c:pt>
                <c:pt idx="547">
                  <c:v>42978</c:v>
                </c:pt>
                <c:pt idx="548">
                  <c:v>42979</c:v>
                </c:pt>
                <c:pt idx="549">
                  <c:v>42980</c:v>
                </c:pt>
                <c:pt idx="550">
                  <c:v>42981</c:v>
                </c:pt>
                <c:pt idx="551">
                  <c:v>42982</c:v>
                </c:pt>
                <c:pt idx="552">
                  <c:v>42983</c:v>
                </c:pt>
                <c:pt idx="553">
                  <c:v>42984</c:v>
                </c:pt>
                <c:pt idx="554">
                  <c:v>42985</c:v>
                </c:pt>
                <c:pt idx="555">
                  <c:v>42986</c:v>
                </c:pt>
                <c:pt idx="556">
                  <c:v>42987</c:v>
                </c:pt>
                <c:pt idx="557">
                  <c:v>42988</c:v>
                </c:pt>
                <c:pt idx="558">
                  <c:v>42989</c:v>
                </c:pt>
                <c:pt idx="559">
                  <c:v>42990</c:v>
                </c:pt>
                <c:pt idx="560">
                  <c:v>42991</c:v>
                </c:pt>
                <c:pt idx="561">
                  <c:v>42992</c:v>
                </c:pt>
                <c:pt idx="562">
                  <c:v>42993</c:v>
                </c:pt>
                <c:pt idx="563">
                  <c:v>42994</c:v>
                </c:pt>
                <c:pt idx="564">
                  <c:v>42995</c:v>
                </c:pt>
                <c:pt idx="565">
                  <c:v>42996</c:v>
                </c:pt>
                <c:pt idx="566">
                  <c:v>42997</c:v>
                </c:pt>
                <c:pt idx="567">
                  <c:v>42998</c:v>
                </c:pt>
                <c:pt idx="568">
                  <c:v>42999</c:v>
                </c:pt>
                <c:pt idx="569">
                  <c:v>43000</c:v>
                </c:pt>
                <c:pt idx="570">
                  <c:v>43001</c:v>
                </c:pt>
                <c:pt idx="571">
                  <c:v>43002</c:v>
                </c:pt>
                <c:pt idx="572">
                  <c:v>43003</c:v>
                </c:pt>
                <c:pt idx="573">
                  <c:v>43004</c:v>
                </c:pt>
                <c:pt idx="574">
                  <c:v>43005</c:v>
                </c:pt>
                <c:pt idx="575">
                  <c:v>43006</c:v>
                </c:pt>
                <c:pt idx="576">
                  <c:v>43007</c:v>
                </c:pt>
                <c:pt idx="577">
                  <c:v>43008</c:v>
                </c:pt>
                <c:pt idx="578">
                  <c:v>43009</c:v>
                </c:pt>
                <c:pt idx="579">
                  <c:v>43010</c:v>
                </c:pt>
                <c:pt idx="580">
                  <c:v>43011</c:v>
                </c:pt>
                <c:pt idx="581">
                  <c:v>43012</c:v>
                </c:pt>
                <c:pt idx="582">
                  <c:v>43013</c:v>
                </c:pt>
                <c:pt idx="583">
                  <c:v>43014</c:v>
                </c:pt>
                <c:pt idx="584">
                  <c:v>43015</c:v>
                </c:pt>
                <c:pt idx="585">
                  <c:v>43016</c:v>
                </c:pt>
                <c:pt idx="586">
                  <c:v>43017</c:v>
                </c:pt>
                <c:pt idx="587">
                  <c:v>43018</c:v>
                </c:pt>
                <c:pt idx="588">
                  <c:v>43019</c:v>
                </c:pt>
                <c:pt idx="589">
                  <c:v>43020</c:v>
                </c:pt>
                <c:pt idx="590">
                  <c:v>43021</c:v>
                </c:pt>
                <c:pt idx="591">
                  <c:v>43022</c:v>
                </c:pt>
                <c:pt idx="592">
                  <c:v>43023</c:v>
                </c:pt>
                <c:pt idx="593">
                  <c:v>43024</c:v>
                </c:pt>
                <c:pt idx="594">
                  <c:v>43025</c:v>
                </c:pt>
                <c:pt idx="595">
                  <c:v>43026</c:v>
                </c:pt>
                <c:pt idx="596">
                  <c:v>43027</c:v>
                </c:pt>
                <c:pt idx="597">
                  <c:v>43028</c:v>
                </c:pt>
                <c:pt idx="598">
                  <c:v>43029</c:v>
                </c:pt>
                <c:pt idx="599">
                  <c:v>43030</c:v>
                </c:pt>
                <c:pt idx="600">
                  <c:v>43031</c:v>
                </c:pt>
                <c:pt idx="601">
                  <c:v>43032</c:v>
                </c:pt>
                <c:pt idx="602">
                  <c:v>43033</c:v>
                </c:pt>
                <c:pt idx="603">
                  <c:v>43034</c:v>
                </c:pt>
                <c:pt idx="604">
                  <c:v>43035</c:v>
                </c:pt>
                <c:pt idx="605">
                  <c:v>43036</c:v>
                </c:pt>
                <c:pt idx="606">
                  <c:v>43037</c:v>
                </c:pt>
                <c:pt idx="607">
                  <c:v>43038</c:v>
                </c:pt>
                <c:pt idx="608">
                  <c:v>43039</c:v>
                </c:pt>
                <c:pt idx="609">
                  <c:v>43040</c:v>
                </c:pt>
                <c:pt idx="610">
                  <c:v>43041</c:v>
                </c:pt>
                <c:pt idx="611">
                  <c:v>43042</c:v>
                </c:pt>
                <c:pt idx="612">
                  <c:v>43043</c:v>
                </c:pt>
                <c:pt idx="613">
                  <c:v>43044</c:v>
                </c:pt>
                <c:pt idx="614">
                  <c:v>43045</c:v>
                </c:pt>
                <c:pt idx="615">
                  <c:v>43046</c:v>
                </c:pt>
                <c:pt idx="616">
                  <c:v>43047</c:v>
                </c:pt>
                <c:pt idx="617">
                  <c:v>43048</c:v>
                </c:pt>
                <c:pt idx="618">
                  <c:v>43049</c:v>
                </c:pt>
                <c:pt idx="619">
                  <c:v>43050</c:v>
                </c:pt>
                <c:pt idx="620">
                  <c:v>43051</c:v>
                </c:pt>
                <c:pt idx="621">
                  <c:v>43052</c:v>
                </c:pt>
                <c:pt idx="622">
                  <c:v>43053</c:v>
                </c:pt>
                <c:pt idx="623">
                  <c:v>43054</c:v>
                </c:pt>
                <c:pt idx="624">
                  <c:v>43055</c:v>
                </c:pt>
                <c:pt idx="625">
                  <c:v>43056</c:v>
                </c:pt>
                <c:pt idx="626">
                  <c:v>43057</c:v>
                </c:pt>
                <c:pt idx="627">
                  <c:v>43058</c:v>
                </c:pt>
                <c:pt idx="628">
                  <c:v>43059</c:v>
                </c:pt>
                <c:pt idx="629">
                  <c:v>43060</c:v>
                </c:pt>
                <c:pt idx="630">
                  <c:v>43061</c:v>
                </c:pt>
                <c:pt idx="631">
                  <c:v>43062</c:v>
                </c:pt>
                <c:pt idx="632">
                  <c:v>43063</c:v>
                </c:pt>
                <c:pt idx="633">
                  <c:v>43064</c:v>
                </c:pt>
                <c:pt idx="634">
                  <c:v>43065</c:v>
                </c:pt>
                <c:pt idx="635">
                  <c:v>43066</c:v>
                </c:pt>
                <c:pt idx="636">
                  <c:v>43067</c:v>
                </c:pt>
                <c:pt idx="637">
                  <c:v>43068</c:v>
                </c:pt>
                <c:pt idx="638">
                  <c:v>43069</c:v>
                </c:pt>
                <c:pt idx="639">
                  <c:v>43070</c:v>
                </c:pt>
                <c:pt idx="640">
                  <c:v>43071</c:v>
                </c:pt>
                <c:pt idx="641">
                  <c:v>43072</c:v>
                </c:pt>
                <c:pt idx="642">
                  <c:v>43073</c:v>
                </c:pt>
                <c:pt idx="643">
                  <c:v>43074</c:v>
                </c:pt>
                <c:pt idx="644">
                  <c:v>43075</c:v>
                </c:pt>
                <c:pt idx="645">
                  <c:v>43076</c:v>
                </c:pt>
                <c:pt idx="646">
                  <c:v>43077</c:v>
                </c:pt>
                <c:pt idx="647">
                  <c:v>43078</c:v>
                </c:pt>
                <c:pt idx="648">
                  <c:v>43079</c:v>
                </c:pt>
                <c:pt idx="649">
                  <c:v>43080</c:v>
                </c:pt>
                <c:pt idx="650">
                  <c:v>43081</c:v>
                </c:pt>
                <c:pt idx="651">
                  <c:v>43082</c:v>
                </c:pt>
                <c:pt idx="652">
                  <c:v>43083</c:v>
                </c:pt>
                <c:pt idx="653">
                  <c:v>43084</c:v>
                </c:pt>
                <c:pt idx="654">
                  <c:v>43085</c:v>
                </c:pt>
                <c:pt idx="655">
                  <c:v>43086</c:v>
                </c:pt>
                <c:pt idx="656">
                  <c:v>43087</c:v>
                </c:pt>
                <c:pt idx="657">
                  <c:v>43088</c:v>
                </c:pt>
                <c:pt idx="658">
                  <c:v>43089</c:v>
                </c:pt>
                <c:pt idx="659">
                  <c:v>43090</c:v>
                </c:pt>
                <c:pt idx="660">
                  <c:v>43091</c:v>
                </c:pt>
                <c:pt idx="661">
                  <c:v>43092</c:v>
                </c:pt>
                <c:pt idx="662">
                  <c:v>43093</c:v>
                </c:pt>
                <c:pt idx="663">
                  <c:v>43094</c:v>
                </c:pt>
                <c:pt idx="664">
                  <c:v>43095</c:v>
                </c:pt>
                <c:pt idx="665">
                  <c:v>43096</c:v>
                </c:pt>
                <c:pt idx="666">
                  <c:v>43097</c:v>
                </c:pt>
                <c:pt idx="667">
                  <c:v>43098</c:v>
                </c:pt>
                <c:pt idx="668">
                  <c:v>43099</c:v>
                </c:pt>
                <c:pt idx="669">
                  <c:v>43100</c:v>
                </c:pt>
                <c:pt idx="670">
                  <c:v>43101</c:v>
                </c:pt>
                <c:pt idx="671">
                  <c:v>43102</c:v>
                </c:pt>
                <c:pt idx="672">
                  <c:v>43103</c:v>
                </c:pt>
                <c:pt idx="673">
                  <c:v>43104</c:v>
                </c:pt>
                <c:pt idx="674">
                  <c:v>43105</c:v>
                </c:pt>
                <c:pt idx="675">
                  <c:v>43106</c:v>
                </c:pt>
                <c:pt idx="676">
                  <c:v>43107</c:v>
                </c:pt>
                <c:pt idx="677">
                  <c:v>43108</c:v>
                </c:pt>
                <c:pt idx="678">
                  <c:v>43109</c:v>
                </c:pt>
                <c:pt idx="679">
                  <c:v>43110</c:v>
                </c:pt>
                <c:pt idx="680">
                  <c:v>43111</c:v>
                </c:pt>
                <c:pt idx="681">
                  <c:v>43112</c:v>
                </c:pt>
                <c:pt idx="682">
                  <c:v>43113</c:v>
                </c:pt>
                <c:pt idx="683">
                  <c:v>43114</c:v>
                </c:pt>
                <c:pt idx="684">
                  <c:v>43115</c:v>
                </c:pt>
                <c:pt idx="685">
                  <c:v>43116</c:v>
                </c:pt>
                <c:pt idx="686">
                  <c:v>43117</c:v>
                </c:pt>
                <c:pt idx="687">
                  <c:v>43118</c:v>
                </c:pt>
                <c:pt idx="688">
                  <c:v>43119</c:v>
                </c:pt>
                <c:pt idx="689">
                  <c:v>43120</c:v>
                </c:pt>
                <c:pt idx="690">
                  <c:v>43121</c:v>
                </c:pt>
                <c:pt idx="691">
                  <c:v>43122</c:v>
                </c:pt>
                <c:pt idx="692">
                  <c:v>43123</c:v>
                </c:pt>
                <c:pt idx="693">
                  <c:v>43124</c:v>
                </c:pt>
                <c:pt idx="694">
                  <c:v>43125</c:v>
                </c:pt>
                <c:pt idx="695">
                  <c:v>43126</c:v>
                </c:pt>
                <c:pt idx="696">
                  <c:v>43127</c:v>
                </c:pt>
                <c:pt idx="697">
                  <c:v>43128</c:v>
                </c:pt>
                <c:pt idx="698">
                  <c:v>43129</c:v>
                </c:pt>
                <c:pt idx="699">
                  <c:v>43130</c:v>
                </c:pt>
                <c:pt idx="700">
                  <c:v>43131</c:v>
                </c:pt>
                <c:pt idx="701">
                  <c:v>43132</c:v>
                </c:pt>
                <c:pt idx="702">
                  <c:v>43133</c:v>
                </c:pt>
                <c:pt idx="703">
                  <c:v>43134</c:v>
                </c:pt>
                <c:pt idx="704">
                  <c:v>43135</c:v>
                </c:pt>
                <c:pt idx="705">
                  <c:v>43136</c:v>
                </c:pt>
                <c:pt idx="706">
                  <c:v>43137</c:v>
                </c:pt>
                <c:pt idx="707">
                  <c:v>43138</c:v>
                </c:pt>
                <c:pt idx="708">
                  <c:v>43139</c:v>
                </c:pt>
                <c:pt idx="709">
                  <c:v>43140</c:v>
                </c:pt>
                <c:pt idx="710">
                  <c:v>43141</c:v>
                </c:pt>
                <c:pt idx="711">
                  <c:v>43142</c:v>
                </c:pt>
                <c:pt idx="712">
                  <c:v>43143</c:v>
                </c:pt>
                <c:pt idx="713">
                  <c:v>43144</c:v>
                </c:pt>
                <c:pt idx="714">
                  <c:v>43145</c:v>
                </c:pt>
                <c:pt idx="715">
                  <c:v>43146</c:v>
                </c:pt>
                <c:pt idx="716">
                  <c:v>43147</c:v>
                </c:pt>
                <c:pt idx="717">
                  <c:v>43148</c:v>
                </c:pt>
                <c:pt idx="718">
                  <c:v>43149</c:v>
                </c:pt>
                <c:pt idx="719">
                  <c:v>43150</c:v>
                </c:pt>
                <c:pt idx="720">
                  <c:v>43151</c:v>
                </c:pt>
                <c:pt idx="721">
                  <c:v>43152</c:v>
                </c:pt>
                <c:pt idx="722">
                  <c:v>43153</c:v>
                </c:pt>
                <c:pt idx="723">
                  <c:v>43154</c:v>
                </c:pt>
                <c:pt idx="724">
                  <c:v>43155</c:v>
                </c:pt>
                <c:pt idx="725">
                  <c:v>43156</c:v>
                </c:pt>
                <c:pt idx="726">
                  <c:v>43157</c:v>
                </c:pt>
                <c:pt idx="727">
                  <c:v>43158</c:v>
                </c:pt>
                <c:pt idx="728">
                  <c:v>43159</c:v>
                </c:pt>
                <c:pt idx="729">
                  <c:v>43160</c:v>
                </c:pt>
                <c:pt idx="730">
                  <c:v>43161</c:v>
                </c:pt>
                <c:pt idx="731">
                  <c:v>43162</c:v>
                </c:pt>
                <c:pt idx="732">
                  <c:v>43163</c:v>
                </c:pt>
                <c:pt idx="733">
                  <c:v>43164</c:v>
                </c:pt>
                <c:pt idx="734">
                  <c:v>43165</c:v>
                </c:pt>
                <c:pt idx="735">
                  <c:v>43166</c:v>
                </c:pt>
                <c:pt idx="736">
                  <c:v>43167</c:v>
                </c:pt>
                <c:pt idx="737">
                  <c:v>43168</c:v>
                </c:pt>
                <c:pt idx="738">
                  <c:v>43169</c:v>
                </c:pt>
                <c:pt idx="739">
                  <c:v>43170</c:v>
                </c:pt>
                <c:pt idx="740">
                  <c:v>43171</c:v>
                </c:pt>
                <c:pt idx="741">
                  <c:v>43172</c:v>
                </c:pt>
                <c:pt idx="742">
                  <c:v>43173</c:v>
                </c:pt>
                <c:pt idx="743">
                  <c:v>43174</c:v>
                </c:pt>
                <c:pt idx="744">
                  <c:v>43175</c:v>
                </c:pt>
                <c:pt idx="745">
                  <c:v>43176</c:v>
                </c:pt>
                <c:pt idx="746">
                  <c:v>43177</c:v>
                </c:pt>
                <c:pt idx="747">
                  <c:v>43178</c:v>
                </c:pt>
                <c:pt idx="748">
                  <c:v>43179</c:v>
                </c:pt>
                <c:pt idx="749">
                  <c:v>43180</c:v>
                </c:pt>
                <c:pt idx="750">
                  <c:v>43181</c:v>
                </c:pt>
                <c:pt idx="751">
                  <c:v>43182</c:v>
                </c:pt>
                <c:pt idx="752">
                  <c:v>43183</c:v>
                </c:pt>
                <c:pt idx="753">
                  <c:v>43184</c:v>
                </c:pt>
                <c:pt idx="754">
                  <c:v>43185</c:v>
                </c:pt>
                <c:pt idx="755">
                  <c:v>43186</c:v>
                </c:pt>
                <c:pt idx="756">
                  <c:v>43187</c:v>
                </c:pt>
                <c:pt idx="757">
                  <c:v>43188</c:v>
                </c:pt>
                <c:pt idx="758">
                  <c:v>43189</c:v>
                </c:pt>
                <c:pt idx="759">
                  <c:v>43190</c:v>
                </c:pt>
                <c:pt idx="760">
                  <c:v>43191</c:v>
                </c:pt>
                <c:pt idx="761">
                  <c:v>43192</c:v>
                </c:pt>
                <c:pt idx="762">
                  <c:v>43193</c:v>
                </c:pt>
                <c:pt idx="763">
                  <c:v>43194</c:v>
                </c:pt>
                <c:pt idx="764">
                  <c:v>43195</c:v>
                </c:pt>
                <c:pt idx="765">
                  <c:v>43196</c:v>
                </c:pt>
                <c:pt idx="766">
                  <c:v>43197</c:v>
                </c:pt>
                <c:pt idx="767">
                  <c:v>43198</c:v>
                </c:pt>
                <c:pt idx="768">
                  <c:v>43199</c:v>
                </c:pt>
                <c:pt idx="769">
                  <c:v>43200</c:v>
                </c:pt>
                <c:pt idx="770">
                  <c:v>43201</c:v>
                </c:pt>
                <c:pt idx="771">
                  <c:v>43202</c:v>
                </c:pt>
                <c:pt idx="772">
                  <c:v>43203</c:v>
                </c:pt>
                <c:pt idx="773">
                  <c:v>43204</c:v>
                </c:pt>
                <c:pt idx="774">
                  <c:v>43205</c:v>
                </c:pt>
                <c:pt idx="775">
                  <c:v>43206</c:v>
                </c:pt>
                <c:pt idx="776">
                  <c:v>43207</c:v>
                </c:pt>
                <c:pt idx="777">
                  <c:v>43208</c:v>
                </c:pt>
                <c:pt idx="778">
                  <c:v>43209</c:v>
                </c:pt>
                <c:pt idx="779">
                  <c:v>43210</c:v>
                </c:pt>
                <c:pt idx="780">
                  <c:v>43211</c:v>
                </c:pt>
                <c:pt idx="781">
                  <c:v>43212</c:v>
                </c:pt>
                <c:pt idx="782">
                  <c:v>43213</c:v>
                </c:pt>
                <c:pt idx="783">
                  <c:v>43214</c:v>
                </c:pt>
                <c:pt idx="784">
                  <c:v>43215</c:v>
                </c:pt>
                <c:pt idx="785">
                  <c:v>43216</c:v>
                </c:pt>
                <c:pt idx="786">
                  <c:v>43217</c:v>
                </c:pt>
                <c:pt idx="787">
                  <c:v>43218</c:v>
                </c:pt>
                <c:pt idx="788">
                  <c:v>43219</c:v>
                </c:pt>
                <c:pt idx="789">
                  <c:v>43220</c:v>
                </c:pt>
                <c:pt idx="790">
                  <c:v>43221</c:v>
                </c:pt>
                <c:pt idx="791">
                  <c:v>43222</c:v>
                </c:pt>
                <c:pt idx="792">
                  <c:v>43223</c:v>
                </c:pt>
                <c:pt idx="793">
                  <c:v>43224</c:v>
                </c:pt>
                <c:pt idx="794">
                  <c:v>43225</c:v>
                </c:pt>
                <c:pt idx="795">
                  <c:v>43226</c:v>
                </c:pt>
                <c:pt idx="796">
                  <c:v>43227</c:v>
                </c:pt>
                <c:pt idx="797">
                  <c:v>43228</c:v>
                </c:pt>
                <c:pt idx="798">
                  <c:v>43229</c:v>
                </c:pt>
                <c:pt idx="799">
                  <c:v>43230</c:v>
                </c:pt>
                <c:pt idx="800">
                  <c:v>43231</c:v>
                </c:pt>
                <c:pt idx="801">
                  <c:v>43232</c:v>
                </c:pt>
                <c:pt idx="802">
                  <c:v>43233</c:v>
                </c:pt>
                <c:pt idx="803">
                  <c:v>43234</c:v>
                </c:pt>
                <c:pt idx="804">
                  <c:v>43235</c:v>
                </c:pt>
                <c:pt idx="805">
                  <c:v>43236</c:v>
                </c:pt>
                <c:pt idx="806">
                  <c:v>43237</c:v>
                </c:pt>
                <c:pt idx="807">
                  <c:v>43238</c:v>
                </c:pt>
                <c:pt idx="808">
                  <c:v>43239</c:v>
                </c:pt>
                <c:pt idx="809">
                  <c:v>43240</c:v>
                </c:pt>
                <c:pt idx="810">
                  <c:v>43241</c:v>
                </c:pt>
                <c:pt idx="811">
                  <c:v>43242</c:v>
                </c:pt>
                <c:pt idx="812">
                  <c:v>43243</c:v>
                </c:pt>
                <c:pt idx="813">
                  <c:v>43244</c:v>
                </c:pt>
                <c:pt idx="814">
                  <c:v>43245</c:v>
                </c:pt>
                <c:pt idx="815">
                  <c:v>43246</c:v>
                </c:pt>
                <c:pt idx="816">
                  <c:v>43247</c:v>
                </c:pt>
                <c:pt idx="817">
                  <c:v>43248</c:v>
                </c:pt>
                <c:pt idx="818">
                  <c:v>43249</c:v>
                </c:pt>
                <c:pt idx="819">
                  <c:v>43250</c:v>
                </c:pt>
                <c:pt idx="820">
                  <c:v>43251</c:v>
                </c:pt>
                <c:pt idx="821">
                  <c:v>43252</c:v>
                </c:pt>
                <c:pt idx="822">
                  <c:v>43253</c:v>
                </c:pt>
                <c:pt idx="823">
                  <c:v>43254</c:v>
                </c:pt>
                <c:pt idx="824">
                  <c:v>43255</c:v>
                </c:pt>
                <c:pt idx="825">
                  <c:v>43256</c:v>
                </c:pt>
                <c:pt idx="826">
                  <c:v>43257</c:v>
                </c:pt>
                <c:pt idx="827">
                  <c:v>43258</c:v>
                </c:pt>
                <c:pt idx="828">
                  <c:v>43259</c:v>
                </c:pt>
                <c:pt idx="829">
                  <c:v>43260</c:v>
                </c:pt>
                <c:pt idx="830">
                  <c:v>43261</c:v>
                </c:pt>
                <c:pt idx="831">
                  <c:v>43262</c:v>
                </c:pt>
                <c:pt idx="832">
                  <c:v>43263</c:v>
                </c:pt>
                <c:pt idx="833">
                  <c:v>43264</c:v>
                </c:pt>
                <c:pt idx="834">
                  <c:v>43265</c:v>
                </c:pt>
                <c:pt idx="835">
                  <c:v>43266</c:v>
                </c:pt>
                <c:pt idx="836">
                  <c:v>43267</c:v>
                </c:pt>
                <c:pt idx="837">
                  <c:v>43268</c:v>
                </c:pt>
                <c:pt idx="838">
                  <c:v>43269</c:v>
                </c:pt>
                <c:pt idx="839">
                  <c:v>43270</c:v>
                </c:pt>
                <c:pt idx="840">
                  <c:v>43271</c:v>
                </c:pt>
                <c:pt idx="841">
                  <c:v>43272</c:v>
                </c:pt>
                <c:pt idx="842">
                  <c:v>43273</c:v>
                </c:pt>
                <c:pt idx="843">
                  <c:v>43274</c:v>
                </c:pt>
                <c:pt idx="844">
                  <c:v>43275</c:v>
                </c:pt>
                <c:pt idx="845">
                  <c:v>43276</c:v>
                </c:pt>
                <c:pt idx="846">
                  <c:v>43277</c:v>
                </c:pt>
                <c:pt idx="847">
                  <c:v>43278</c:v>
                </c:pt>
                <c:pt idx="848">
                  <c:v>43279</c:v>
                </c:pt>
                <c:pt idx="849">
                  <c:v>43280</c:v>
                </c:pt>
                <c:pt idx="850">
                  <c:v>43281</c:v>
                </c:pt>
                <c:pt idx="851">
                  <c:v>43282</c:v>
                </c:pt>
                <c:pt idx="852">
                  <c:v>43283</c:v>
                </c:pt>
                <c:pt idx="853">
                  <c:v>43284</c:v>
                </c:pt>
                <c:pt idx="854">
                  <c:v>43285</c:v>
                </c:pt>
                <c:pt idx="855">
                  <c:v>43286</c:v>
                </c:pt>
                <c:pt idx="856">
                  <c:v>43287</c:v>
                </c:pt>
                <c:pt idx="857">
                  <c:v>43288</c:v>
                </c:pt>
                <c:pt idx="858">
                  <c:v>43289</c:v>
                </c:pt>
                <c:pt idx="859">
                  <c:v>43290</c:v>
                </c:pt>
                <c:pt idx="860">
                  <c:v>43291</c:v>
                </c:pt>
                <c:pt idx="861">
                  <c:v>43292</c:v>
                </c:pt>
                <c:pt idx="862">
                  <c:v>43293</c:v>
                </c:pt>
                <c:pt idx="863">
                  <c:v>43294</c:v>
                </c:pt>
                <c:pt idx="864">
                  <c:v>43295</c:v>
                </c:pt>
                <c:pt idx="865">
                  <c:v>43296</c:v>
                </c:pt>
                <c:pt idx="866">
                  <c:v>43297</c:v>
                </c:pt>
                <c:pt idx="867">
                  <c:v>43298</c:v>
                </c:pt>
                <c:pt idx="868">
                  <c:v>43299</c:v>
                </c:pt>
                <c:pt idx="869">
                  <c:v>43300</c:v>
                </c:pt>
                <c:pt idx="870">
                  <c:v>43301</c:v>
                </c:pt>
                <c:pt idx="871">
                  <c:v>43302</c:v>
                </c:pt>
                <c:pt idx="872">
                  <c:v>43303</c:v>
                </c:pt>
                <c:pt idx="873">
                  <c:v>43304</c:v>
                </c:pt>
                <c:pt idx="874">
                  <c:v>43305</c:v>
                </c:pt>
                <c:pt idx="875">
                  <c:v>43306</c:v>
                </c:pt>
                <c:pt idx="876">
                  <c:v>43307</c:v>
                </c:pt>
                <c:pt idx="877">
                  <c:v>43308</c:v>
                </c:pt>
                <c:pt idx="878">
                  <c:v>43309</c:v>
                </c:pt>
                <c:pt idx="879">
                  <c:v>43310</c:v>
                </c:pt>
                <c:pt idx="880">
                  <c:v>43311</c:v>
                </c:pt>
                <c:pt idx="881">
                  <c:v>43312</c:v>
                </c:pt>
                <c:pt idx="882">
                  <c:v>43313</c:v>
                </c:pt>
                <c:pt idx="883">
                  <c:v>43314</c:v>
                </c:pt>
                <c:pt idx="884">
                  <c:v>43315</c:v>
                </c:pt>
                <c:pt idx="885">
                  <c:v>43316</c:v>
                </c:pt>
                <c:pt idx="886">
                  <c:v>43317</c:v>
                </c:pt>
                <c:pt idx="887">
                  <c:v>43318</c:v>
                </c:pt>
                <c:pt idx="888">
                  <c:v>43319</c:v>
                </c:pt>
                <c:pt idx="889">
                  <c:v>43320</c:v>
                </c:pt>
                <c:pt idx="890">
                  <c:v>43321</c:v>
                </c:pt>
                <c:pt idx="891">
                  <c:v>43322</c:v>
                </c:pt>
                <c:pt idx="892">
                  <c:v>43323</c:v>
                </c:pt>
                <c:pt idx="893">
                  <c:v>43324</c:v>
                </c:pt>
                <c:pt idx="894">
                  <c:v>43325</c:v>
                </c:pt>
                <c:pt idx="895">
                  <c:v>43326</c:v>
                </c:pt>
                <c:pt idx="896">
                  <c:v>43327</c:v>
                </c:pt>
                <c:pt idx="897">
                  <c:v>43328</c:v>
                </c:pt>
                <c:pt idx="898">
                  <c:v>43329</c:v>
                </c:pt>
                <c:pt idx="899">
                  <c:v>43330</c:v>
                </c:pt>
                <c:pt idx="900">
                  <c:v>43331</c:v>
                </c:pt>
                <c:pt idx="901">
                  <c:v>43332</c:v>
                </c:pt>
                <c:pt idx="902">
                  <c:v>43333</c:v>
                </c:pt>
                <c:pt idx="903">
                  <c:v>43334</c:v>
                </c:pt>
                <c:pt idx="904">
                  <c:v>43335</c:v>
                </c:pt>
                <c:pt idx="905">
                  <c:v>43336</c:v>
                </c:pt>
                <c:pt idx="906">
                  <c:v>43337</c:v>
                </c:pt>
                <c:pt idx="907">
                  <c:v>43338</c:v>
                </c:pt>
                <c:pt idx="908">
                  <c:v>43339</c:v>
                </c:pt>
                <c:pt idx="909">
                  <c:v>43340</c:v>
                </c:pt>
                <c:pt idx="910">
                  <c:v>43341</c:v>
                </c:pt>
                <c:pt idx="911">
                  <c:v>43342</c:v>
                </c:pt>
                <c:pt idx="912">
                  <c:v>43343</c:v>
                </c:pt>
                <c:pt idx="913">
                  <c:v>43344</c:v>
                </c:pt>
                <c:pt idx="914">
                  <c:v>43345</c:v>
                </c:pt>
                <c:pt idx="915">
                  <c:v>43346</c:v>
                </c:pt>
                <c:pt idx="916">
                  <c:v>43347</c:v>
                </c:pt>
                <c:pt idx="917">
                  <c:v>43348</c:v>
                </c:pt>
                <c:pt idx="918">
                  <c:v>43349</c:v>
                </c:pt>
                <c:pt idx="919">
                  <c:v>43350</c:v>
                </c:pt>
                <c:pt idx="920">
                  <c:v>43351</c:v>
                </c:pt>
                <c:pt idx="921">
                  <c:v>43352</c:v>
                </c:pt>
                <c:pt idx="922">
                  <c:v>43353</c:v>
                </c:pt>
                <c:pt idx="923">
                  <c:v>43354</c:v>
                </c:pt>
                <c:pt idx="924">
                  <c:v>43355</c:v>
                </c:pt>
                <c:pt idx="925">
                  <c:v>43356</c:v>
                </c:pt>
                <c:pt idx="926">
                  <c:v>43357</c:v>
                </c:pt>
                <c:pt idx="927">
                  <c:v>43358</c:v>
                </c:pt>
                <c:pt idx="928">
                  <c:v>43359</c:v>
                </c:pt>
                <c:pt idx="929">
                  <c:v>43360</c:v>
                </c:pt>
                <c:pt idx="930">
                  <c:v>43361</c:v>
                </c:pt>
                <c:pt idx="931">
                  <c:v>43362</c:v>
                </c:pt>
                <c:pt idx="932">
                  <c:v>43363</c:v>
                </c:pt>
                <c:pt idx="933">
                  <c:v>43364</c:v>
                </c:pt>
                <c:pt idx="934">
                  <c:v>43365</c:v>
                </c:pt>
                <c:pt idx="935">
                  <c:v>43366</c:v>
                </c:pt>
                <c:pt idx="936">
                  <c:v>43367</c:v>
                </c:pt>
                <c:pt idx="937">
                  <c:v>43368</c:v>
                </c:pt>
                <c:pt idx="938">
                  <c:v>43369</c:v>
                </c:pt>
                <c:pt idx="939">
                  <c:v>43370</c:v>
                </c:pt>
                <c:pt idx="940">
                  <c:v>43371</c:v>
                </c:pt>
                <c:pt idx="941">
                  <c:v>43372</c:v>
                </c:pt>
                <c:pt idx="942">
                  <c:v>43373</c:v>
                </c:pt>
                <c:pt idx="943">
                  <c:v>43374</c:v>
                </c:pt>
                <c:pt idx="944">
                  <c:v>43375</c:v>
                </c:pt>
                <c:pt idx="945">
                  <c:v>43376</c:v>
                </c:pt>
                <c:pt idx="946">
                  <c:v>43377</c:v>
                </c:pt>
                <c:pt idx="947">
                  <c:v>43378</c:v>
                </c:pt>
                <c:pt idx="948">
                  <c:v>43379</c:v>
                </c:pt>
                <c:pt idx="949">
                  <c:v>43380</c:v>
                </c:pt>
                <c:pt idx="950">
                  <c:v>43381</c:v>
                </c:pt>
                <c:pt idx="951">
                  <c:v>43382</c:v>
                </c:pt>
                <c:pt idx="952">
                  <c:v>43383</c:v>
                </c:pt>
                <c:pt idx="953">
                  <c:v>43384</c:v>
                </c:pt>
                <c:pt idx="954">
                  <c:v>43385</c:v>
                </c:pt>
                <c:pt idx="955">
                  <c:v>43386</c:v>
                </c:pt>
                <c:pt idx="956">
                  <c:v>43387</c:v>
                </c:pt>
                <c:pt idx="957">
                  <c:v>43388</c:v>
                </c:pt>
                <c:pt idx="958">
                  <c:v>43389</c:v>
                </c:pt>
                <c:pt idx="959">
                  <c:v>43390</c:v>
                </c:pt>
                <c:pt idx="960">
                  <c:v>43391</c:v>
                </c:pt>
                <c:pt idx="961">
                  <c:v>43392</c:v>
                </c:pt>
                <c:pt idx="962">
                  <c:v>43393</c:v>
                </c:pt>
                <c:pt idx="963">
                  <c:v>43394</c:v>
                </c:pt>
                <c:pt idx="964">
                  <c:v>43395</c:v>
                </c:pt>
                <c:pt idx="965">
                  <c:v>43396</c:v>
                </c:pt>
                <c:pt idx="966">
                  <c:v>43397</c:v>
                </c:pt>
                <c:pt idx="967">
                  <c:v>43398</c:v>
                </c:pt>
                <c:pt idx="968">
                  <c:v>43399</c:v>
                </c:pt>
                <c:pt idx="969">
                  <c:v>43400</c:v>
                </c:pt>
                <c:pt idx="970">
                  <c:v>43401</c:v>
                </c:pt>
                <c:pt idx="971">
                  <c:v>43402</c:v>
                </c:pt>
                <c:pt idx="972">
                  <c:v>43403</c:v>
                </c:pt>
                <c:pt idx="973">
                  <c:v>43404</c:v>
                </c:pt>
                <c:pt idx="974">
                  <c:v>43405</c:v>
                </c:pt>
                <c:pt idx="975">
                  <c:v>43406</c:v>
                </c:pt>
                <c:pt idx="976">
                  <c:v>43407</c:v>
                </c:pt>
                <c:pt idx="977">
                  <c:v>43408</c:v>
                </c:pt>
                <c:pt idx="978">
                  <c:v>43409</c:v>
                </c:pt>
                <c:pt idx="979">
                  <c:v>43410</c:v>
                </c:pt>
                <c:pt idx="980">
                  <c:v>43411</c:v>
                </c:pt>
                <c:pt idx="981">
                  <c:v>43412</c:v>
                </c:pt>
                <c:pt idx="982">
                  <c:v>43413</c:v>
                </c:pt>
                <c:pt idx="983">
                  <c:v>43414</c:v>
                </c:pt>
                <c:pt idx="984">
                  <c:v>43415</c:v>
                </c:pt>
                <c:pt idx="985">
                  <c:v>43416</c:v>
                </c:pt>
                <c:pt idx="986">
                  <c:v>43417</c:v>
                </c:pt>
                <c:pt idx="987">
                  <c:v>43418</c:v>
                </c:pt>
                <c:pt idx="988">
                  <c:v>43419</c:v>
                </c:pt>
                <c:pt idx="989">
                  <c:v>43420</c:v>
                </c:pt>
                <c:pt idx="990">
                  <c:v>43421</c:v>
                </c:pt>
                <c:pt idx="991">
                  <c:v>43422</c:v>
                </c:pt>
                <c:pt idx="992">
                  <c:v>43423</c:v>
                </c:pt>
                <c:pt idx="993">
                  <c:v>43424</c:v>
                </c:pt>
                <c:pt idx="994">
                  <c:v>43425</c:v>
                </c:pt>
                <c:pt idx="995">
                  <c:v>43426</c:v>
                </c:pt>
                <c:pt idx="996">
                  <c:v>43427</c:v>
                </c:pt>
                <c:pt idx="997">
                  <c:v>43428</c:v>
                </c:pt>
                <c:pt idx="998">
                  <c:v>43429</c:v>
                </c:pt>
                <c:pt idx="999">
                  <c:v>43430</c:v>
                </c:pt>
                <c:pt idx="1000">
                  <c:v>43431</c:v>
                </c:pt>
                <c:pt idx="1001">
                  <c:v>43432</c:v>
                </c:pt>
                <c:pt idx="1002">
                  <c:v>43433</c:v>
                </c:pt>
                <c:pt idx="1003">
                  <c:v>43434</c:v>
                </c:pt>
                <c:pt idx="1004">
                  <c:v>43435</c:v>
                </c:pt>
                <c:pt idx="1005">
                  <c:v>43436</c:v>
                </c:pt>
                <c:pt idx="1006">
                  <c:v>43437</c:v>
                </c:pt>
                <c:pt idx="1007">
                  <c:v>43438</c:v>
                </c:pt>
                <c:pt idx="1008">
                  <c:v>43439</c:v>
                </c:pt>
                <c:pt idx="1009">
                  <c:v>43440</c:v>
                </c:pt>
                <c:pt idx="1010">
                  <c:v>43441</c:v>
                </c:pt>
                <c:pt idx="1011">
                  <c:v>43442</c:v>
                </c:pt>
                <c:pt idx="1012">
                  <c:v>43443</c:v>
                </c:pt>
                <c:pt idx="1013">
                  <c:v>43444</c:v>
                </c:pt>
                <c:pt idx="1014">
                  <c:v>43445</c:v>
                </c:pt>
                <c:pt idx="1015">
                  <c:v>43446</c:v>
                </c:pt>
                <c:pt idx="1016">
                  <c:v>43447</c:v>
                </c:pt>
                <c:pt idx="1017">
                  <c:v>43448</c:v>
                </c:pt>
                <c:pt idx="1018">
                  <c:v>43449</c:v>
                </c:pt>
                <c:pt idx="1019">
                  <c:v>43450</c:v>
                </c:pt>
                <c:pt idx="1020">
                  <c:v>43451</c:v>
                </c:pt>
                <c:pt idx="1021">
                  <c:v>43452</c:v>
                </c:pt>
                <c:pt idx="1022">
                  <c:v>43453</c:v>
                </c:pt>
                <c:pt idx="1023">
                  <c:v>43454</c:v>
                </c:pt>
                <c:pt idx="1024">
                  <c:v>43455</c:v>
                </c:pt>
                <c:pt idx="1025">
                  <c:v>43456</c:v>
                </c:pt>
                <c:pt idx="1026">
                  <c:v>43457</c:v>
                </c:pt>
                <c:pt idx="1027">
                  <c:v>43458</c:v>
                </c:pt>
                <c:pt idx="1028">
                  <c:v>43459</c:v>
                </c:pt>
                <c:pt idx="1029">
                  <c:v>43460</c:v>
                </c:pt>
                <c:pt idx="1030">
                  <c:v>43461</c:v>
                </c:pt>
                <c:pt idx="1031">
                  <c:v>43462</c:v>
                </c:pt>
                <c:pt idx="1032">
                  <c:v>43463</c:v>
                </c:pt>
                <c:pt idx="1033">
                  <c:v>43464</c:v>
                </c:pt>
                <c:pt idx="1034">
                  <c:v>43465</c:v>
                </c:pt>
                <c:pt idx="1035">
                  <c:v>43466</c:v>
                </c:pt>
                <c:pt idx="1036">
                  <c:v>43467</c:v>
                </c:pt>
                <c:pt idx="1037">
                  <c:v>43468</c:v>
                </c:pt>
                <c:pt idx="1038">
                  <c:v>43469</c:v>
                </c:pt>
                <c:pt idx="1039">
                  <c:v>43470</c:v>
                </c:pt>
                <c:pt idx="1040">
                  <c:v>43471</c:v>
                </c:pt>
                <c:pt idx="1041">
                  <c:v>43472</c:v>
                </c:pt>
                <c:pt idx="1042">
                  <c:v>43473</c:v>
                </c:pt>
                <c:pt idx="1043">
                  <c:v>43474</c:v>
                </c:pt>
                <c:pt idx="1044">
                  <c:v>43475</c:v>
                </c:pt>
                <c:pt idx="1045">
                  <c:v>43476</c:v>
                </c:pt>
                <c:pt idx="1046">
                  <c:v>43477</c:v>
                </c:pt>
                <c:pt idx="1047">
                  <c:v>43478</c:v>
                </c:pt>
                <c:pt idx="1048">
                  <c:v>43479</c:v>
                </c:pt>
                <c:pt idx="1049">
                  <c:v>43480</c:v>
                </c:pt>
                <c:pt idx="1050">
                  <c:v>43481</c:v>
                </c:pt>
                <c:pt idx="1051">
                  <c:v>43482</c:v>
                </c:pt>
                <c:pt idx="1052">
                  <c:v>43483</c:v>
                </c:pt>
                <c:pt idx="1053">
                  <c:v>43484</c:v>
                </c:pt>
                <c:pt idx="1054">
                  <c:v>43485</c:v>
                </c:pt>
                <c:pt idx="1055">
                  <c:v>43486</c:v>
                </c:pt>
                <c:pt idx="1056">
                  <c:v>43487</c:v>
                </c:pt>
                <c:pt idx="1057">
                  <c:v>43488</c:v>
                </c:pt>
                <c:pt idx="1058">
                  <c:v>43489</c:v>
                </c:pt>
                <c:pt idx="1059">
                  <c:v>43490</c:v>
                </c:pt>
                <c:pt idx="1060">
                  <c:v>43491</c:v>
                </c:pt>
                <c:pt idx="1061">
                  <c:v>43492</c:v>
                </c:pt>
                <c:pt idx="1062">
                  <c:v>43493</c:v>
                </c:pt>
                <c:pt idx="1063">
                  <c:v>43494</c:v>
                </c:pt>
                <c:pt idx="1064">
                  <c:v>43495</c:v>
                </c:pt>
                <c:pt idx="1065">
                  <c:v>43496</c:v>
                </c:pt>
                <c:pt idx="1066">
                  <c:v>43497</c:v>
                </c:pt>
                <c:pt idx="1067">
                  <c:v>43498</c:v>
                </c:pt>
                <c:pt idx="1068">
                  <c:v>43499</c:v>
                </c:pt>
                <c:pt idx="1069">
                  <c:v>43500</c:v>
                </c:pt>
                <c:pt idx="1070">
                  <c:v>43501</c:v>
                </c:pt>
                <c:pt idx="1071">
                  <c:v>43502</c:v>
                </c:pt>
                <c:pt idx="1072">
                  <c:v>43503</c:v>
                </c:pt>
                <c:pt idx="1073">
                  <c:v>43504</c:v>
                </c:pt>
                <c:pt idx="1074">
                  <c:v>43505</c:v>
                </c:pt>
                <c:pt idx="1075">
                  <c:v>43506</c:v>
                </c:pt>
                <c:pt idx="1076">
                  <c:v>43507</c:v>
                </c:pt>
                <c:pt idx="1077">
                  <c:v>43508</c:v>
                </c:pt>
                <c:pt idx="1078">
                  <c:v>43509</c:v>
                </c:pt>
                <c:pt idx="1079">
                  <c:v>43510</c:v>
                </c:pt>
                <c:pt idx="1080">
                  <c:v>43511</c:v>
                </c:pt>
                <c:pt idx="1081">
                  <c:v>43512</c:v>
                </c:pt>
                <c:pt idx="1082">
                  <c:v>43513</c:v>
                </c:pt>
                <c:pt idx="1083">
                  <c:v>43514</c:v>
                </c:pt>
                <c:pt idx="1084">
                  <c:v>43515</c:v>
                </c:pt>
                <c:pt idx="1085">
                  <c:v>43516</c:v>
                </c:pt>
                <c:pt idx="1086">
                  <c:v>43517</c:v>
                </c:pt>
                <c:pt idx="1087">
                  <c:v>43518</c:v>
                </c:pt>
                <c:pt idx="1088">
                  <c:v>43519</c:v>
                </c:pt>
                <c:pt idx="1089">
                  <c:v>43520</c:v>
                </c:pt>
                <c:pt idx="1090">
                  <c:v>43521</c:v>
                </c:pt>
                <c:pt idx="1091">
                  <c:v>43522</c:v>
                </c:pt>
                <c:pt idx="1092">
                  <c:v>43523</c:v>
                </c:pt>
                <c:pt idx="1093">
                  <c:v>43524</c:v>
                </c:pt>
                <c:pt idx="1094">
                  <c:v>43525</c:v>
                </c:pt>
                <c:pt idx="1095">
                  <c:v>43526</c:v>
                </c:pt>
                <c:pt idx="1096">
                  <c:v>43527</c:v>
                </c:pt>
                <c:pt idx="1097">
                  <c:v>43528</c:v>
                </c:pt>
                <c:pt idx="1098">
                  <c:v>43529</c:v>
                </c:pt>
                <c:pt idx="1099">
                  <c:v>43530</c:v>
                </c:pt>
                <c:pt idx="1100">
                  <c:v>43531</c:v>
                </c:pt>
                <c:pt idx="1101">
                  <c:v>43532</c:v>
                </c:pt>
                <c:pt idx="1102">
                  <c:v>43533</c:v>
                </c:pt>
                <c:pt idx="1103">
                  <c:v>43534</c:v>
                </c:pt>
                <c:pt idx="1104">
                  <c:v>43535</c:v>
                </c:pt>
                <c:pt idx="1105">
                  <c:v>43536</c:v>
                </c:pt>
                <c:pt idx="1106">
                  <c:v>43537</c:v>
                </c:pt>
                <c:pt idx="1107">
                  <c:v>43538</c:v>
                </c:pt>
                <c:pt idx="1108">
                  <c:v>43539</c:v>
                </c:pt>
                <c:pt idx="1109">
                  <c:v>43540</c:v>
                </c:pt>
                <c:pt idx="1110">
                  <c:v>43541</c:v>
                </c:pt>
                <c:pt idx="1111">
                  <c:v>43542</c:v>
                </c:pt>
                <c:pt idx="1112">
                  <c:v>43543</c:v>
                </c:pt>
                <c:pt idx="1113">
                  <c:v>43544</c:v>
                </c:pt>
                <c:pt idx="1114">
                  <c:v>43545</c:v>
                </c:pt>
                <c:pt idx="1115">
                  <c:v>43546</c:v>
                </c:pt>
                <c:pt idx="1116">
                  <c:v>43547</c:v>
                </c:pt>
                <c:pt idx="1117">
                  <c:v>43548</c:v>
                </c:pt>
                <c:pt idx="1118">
                  <c:v>43549</c:v>
                </c:pt>
                <c:pt idx="1119">
                  <c:v>43550</c:v>
                </c:pt>
                <c:pt idx="1120">
                  <c:v>43551</c:v>
                </c:pt>
                <c:pt idx="1121">
                  <c:v>43552</c:v>
                </c:pt>
                <c:pt idx="1122">
                  <c:v>43553</c:v>
                </c:pt>
                <c:pt idx="1123">
                  <c:v>43554</c:v>
                </c:pt>
                <c:pt idx="1124">
                  <c:v>43555</c:v>
                </c:pt>
                <c:pt idx="1125">
                  <c:v>43556</c:v>
                </c:pt>
                <c:pt idx="1126">
                  <c:v>43557</c:v>
                </c:pt>
                <c:pt idx="1127">
                  <c:v>43558</c:v>
                </c:pt>
                <c:pt idx="1128">
                  <c:v>43559</c:v>
                </c:pt>
                <c:pt idx="1129">
                  <c:v>43560</c:v>
                </c:pt>
                <c:pt idx="1130">
                  <c:v>43561</c:v>
                </c:pt>
                <c:pt idx="1131">
                  <c:v>43562</c:v>
                </c:pt>
                <c:pt idx="1132">
                  <c:v>43563</c:v>
                </c:pt>
                <c:pt idx="1133">
                  <c:v>43564</c:v>
                </c:pt>
                <c:pt idx="1134">
                  <c:v>43565</c:v>
                </c:pt>
                <c:pt idx="1135">
                  <c:v>43566</c:v>
                </c:pt>
                <c:pt idx="1136">
                  <c:v>43567</c:v>
                </c:pt>
                <c:pt idx="1137">
                  <c:v>43568</c:v>
                </c:pt>
                <c:pt idx="1138">
                  <c:v>43569</c:v>
                </c:pt>
                <c:pt idx="1139">
                  <c:v>43570</c:v>
                </c:pt>
                <c:pt idx="1140">
                  <c:v>43571</c:v>
                </c:pt>
                <c:pt idx="1141">
                  <c:v>43572</c:v>
                </c:pt>
                <c:pt idx="1142">
                  <c:v>43573</c:v>
                </c:pt>
                <c:pt idx="1143">
                  <c:v>43574</c:v>
                </c:pt>
                <c:pt idx="1144">
                  <c:v>43575</c:v>
                </c:pt>
                <c:pt idx="1145">
                  <c:v>43576</c:v>
                </c:pt>
                <c:pt idx="1146">
                  <c:v>43577</c:v>
                </c:pt>
                <c:pt idx="1147">
                  <c:v>43578</c:v>
                </c:pt>
                <c:pt idx="1148">
                  <c:v>43579</c:v>
                </c:pt>
                <c:pt idx="1149">
                  <c:v>43580</c:v>
                </c:pt>
                <c:pt idx="1150">
                  <c:v>43581</c:v>
                </c:pt>
                <c:pt idx="1151">
                  <c:v>43582</c:v>
                </c:pt>
                <c:pt idx="1152">
                  <c:v>43583</c:v>
                </c:pt>
                <c:pt idx="1153">
                  <c:v>43584</c:v>
                </c:pt>
                <c:pt idx="1154">
                  <c:v>43585</c:v>
                </c:pt>
                <c:pt idx="1155">
                  <c:v>43586</c:v>
                </c:pt>
                <c:pt idx="1156">
                  <c:v>43587</c:v>
                </c:pt>
                <c:pt idx="1157">
                  <c:v>43588</c:v>
                </c:pt>
                <c:pt idx="1158">
                  <c:v>43589</c:v>
                </c:pt>
                <c:pt idx="1159">
                  <c:v>43590</c:v>
                </c:pt>
                <c:pt idx="1160">
                  <c:v>43591</c:v>
                </c:pt>
                <c:pt idx="1161">
                  <c:v>43592</c:v>
                </c:pt>
                <c:pt idx="1162">
                  <c:v>43593</c:v>
                </c:pt>
                <c:pt idx="1163">
                  <c:v>43594</c:v>
                </c:pt>
                <c:pt idx="1164">
                  <c:v>43595</c:v>
                </c:pt>
                <c:pt idx="1165">
                  <c:v>43596</c:v>
                </c:pt>
                <c:pt idx="1166">
                  <c:v>43597</c:v>
                </c:pt>
                <c:pt idx="1167">
                  <c:v>43598</c:v>
                </c:pt>
                <c:pt idx="1168">
                  <c:v>43599</c:v>
                </c:pt>
                <c:pt idx="1169">
                  <c:v>43600</c:v>
                </c:pt>
                <c:pt idx="1170">
                  <c:v>43601</c:v>
                </c:pt>
                <c:pt idx="1171">
                  <c:v>43602</c:v>
                </c:pt>
                <c:pt idx="1172">
                  <c:v>43603</c:v>
                </c:pt>
                <c:pt idx="1173">
                  <c:v>43604</c:v>
                </c:pt>
                <c:pt idx="1174">
                  <c:v>43605</c:v>
                </c:pt>
                <c:pt idx="1175">
                  <c:v>43606</c:v>
                </c:pt>
                <c:pt idx="1176">
                  <c:v>43607</c:v>
                </c:pt>
                <c:pt idx="1177">
                  <c:v>43608</c:v>
                </c:pt>
                <c:pt idx="1178">
                  <c:v>43609</c:v>
                </c:pt>
                <c:pt idx="1179">
                  <c:v>43610</c:v>
                </c:pt>
                <c:pt idx="1180">
                  <c:v>43611</c:v>
                </c:pt>
                <c:pt idx="1181">
                  <c:v>43612</c:v>
                </c:pt>
                <c:pt idx="1182">
                  <c:v>43613</c:v>
                </c:pt>
                <c:pt idx="1183">
                  <c:v>43614</c:v>
                </c:pt>
                <c:pt idx="1184">
                  <c:v>43615</c:v>
                </c:pt>
                <c:pt idx="1185">
                  <c:v>43616</c:v>
                </c:pt>
                <c:pt idx="1186">
                  <c:v>43617</c:v>
                </c:pt>
                <c:pt idx="1187">
                  <c:v>43618</c:v>
                </c:pt>
                <c:pt idx="1188">
                  <c:v>43619</c:v>
                </c:pt>
                <c:pt idx="1189">
                  <c:v>43620</c:v>
                </c:pt>
                <c:pt idx="1190">
                  <c:v>43621</c:v>
                </c:pt>
                <c:pt idx="1191">
                  <c:v>43622</c:v>
                </c:pt>
                <c:pt idx="1192">
                  <c:v>43623</c:v>
                </c:pt>
                <c:pt idx="1193">
                  <c:v>43624</c:v>
                </c:pt>
                <c:pt idx="1194">
                  <c:v>43625</c:v>
                </c:pt>
                <c:pt idx="1195">
                  <c:v>43626</c:v>
                </c:pt>
                <c:pt idx="1196">
                  <c:v>43627</c:v>
                </c:pt>
                <c:pt idx="1197">
                  <c:v>43628</c:v>
                </c:pt>
                <c:pt idx="1198">
                  <c:v>43629</c:v>
                </c:pt>
                <c:pt idx="1199">
                  <c:v>43630</c:v>
                </c:pt>
                <c:pt idx="1200">
                  <c:v>43631</c:v>
                </c:pt>
                <c:pt idx="1201">
                  <c:v>43632</c:v>
                </c:pt>
                <c:pt idx="1202">
                  <c:v>43633</c:v>
                </c:pt>
                <c:pt idx="1203">
                  <c:v>43634</c:v>
                </c:pt>
                <c:pt idx="1204">
                  <c:v>43635</c:v>
                </c:pt>
                <c:pt idx="1205">
                  <c:v>43636</c:v>
                </c:pt>
                <c:pt idx="1206">
                  <c:v>43637</c:v>
                </c:pt>
                <c:pt idx="1207">
                  <c:v>43638</c:v>
                </c:pt>
                <c:pt idx="1208">
                  <c:v>43639</c:v>
                </c:pt>
                <c:pt idx="1209">
                  <c:v>43640</c:v>
                </c:pt>
                <c:pt idx="1210">
                  <c:v>43641</c:v>
                </c:pt>
                <c:pt idx="1211">
                  <c:v>43642</c:v>
                </c:pt>
                <c:pt idx="1212">
                  <c:v>43643</c:v>
                </c:pt>
                <c:pt idx="1213">
                  <c:v>43644</c:v>
                </c:pt>
                <c:pt idx="1214">
                  <c:v>43645</c:v>
                </c:pt>
                <c:pt idx="1215">
                  <c:v>43646</c:v>
                </c:pt>
                <c:pt idx="1216">
                  <c:v>43647</c:v>
                </c:pt>
                <c:pt idx="1217">
                  <c:v>43648</c:v>
                </c:pt>
                <c:pt idx="1218">
                  <c:v>43649</c:v>
                </c:pt>
                <c:pt idx="1219">
                  <c:v>43650</c:v>
                </c:pt>
                <c:pt idx="1220">
                  <c:v>43651</c:v>
                </c:pt>
                <c:pt idx="1221">
                  <c:v>43652</c:v>
                </c:pt>
                <c:pt idx="1222">
                  <c:v>43653</c:v>
                </c:pt>
                <c:pt idx="1223">
                  <c:v>43654</c:v>
                </c:pt>
                <c:pt idx="1224">
                  <c:v>43655</c:v>
                </c:pt>
                <c:pt idx="1225">
                  <c:v>43656</c:v>
                </c:pt>
                <c:pt idx="1226">
                  <c:v>43657</c:v>
                </c:pt>
                <c:pt idx="1227">
                  <c:v>43658</c:v>
                </c:pt>
                <c:pt idx="1228">
                  <c:v>43659</c:v>
                </c:pt>
                <c:pt idx="1229">
                  <c:v>43660</c:v>
                </c:pt>
                <c:pt idx="1230">
                  <c:v>43661</c:v>
                </c:pt>
                <c:pt idx="1231">
                  <c:v>43662</c:v>
                </c:pt>
                <c:pt idx="1232">
                  <c:v>43663</c:v>
                </c:pt>
                <c:pt idx="1233">
                  <c:v>43664</c:v>
                </c:pt>
                <c:pt idx="1234">
                  <c:v>43665</c:v>
                </c:pt>
                <c:pt idx="1235">
                  <c:v>43666</c:v>
                </c:pt>
                <c:pt idx="1236">
                  <c:v>43667</c:v>
                </c:pt>
                <c:pt idx="1237">
                  <c:v>43668</c:v>
                </c:pt>
                <c:pt idx="1238">
                  <c:v>43669</c:v>
                </c:pt>
                <c:pt idx="1239">
                  <c:v>43670</c:v>
                </c:pt>
                <c:pt idx="1240">
                  <c:v>43671</c:v>
                </c:pt>
                <c:pt idx="1241">
                  <c:v>43672</c:v>
                </c:pt>
                <c:pt idx="1242">
                  <c:v>43673</c:v>
                </c:pt>
                <c:pt idx="1243">
                  <c:v>43674</c:v>
                </c:pt>
                <c:pt idx="1244">
                  <c:v>43675</c:v>
                </c:pt>
                <c:pt idx="1245">
                  <c:v>43676</c:v>
                </c:pt>
                <c:pt idx="1246">
                  <c:v>43677</c:v>
                </c:pt>
                <c:pt idx="1247">
                  <c:v>43678</c:v>
                </c:pt>
                <c:pt idx="1248">
                  <c:v>43679</c:v>
                </c:pt>
                <c:pt idx="1249">
                  <c:v>43680</c:v>
                </c:pt>
                <c:pt idx="1250">
                  <c:v>43681</c:v>
                </c:pt>
                <c:pt idx="1251">
                  <c:v>43682</c:v>
                </c:pt>
                <c:pt idx="1252">
                  <c:v>43683</c:v>
                </c:pt>
                <c:pt idx="1253">
                  <c:v>43684</c:v>
                </c:pt>
                <c:pt idx="1254">
                  <c:v>43685</c:v>
                </c:pt>
                <c:pt idx="1255">
                  <c:v>43686</c:v>
                </c:pt>
                <c:pt idx="1256">
                  <c:v>43687</c:v>
                </c:pt>
                <c:pt idx="1257">
                  <c:v>43688</c:v>
                </c:pt>
                <c:pt idx="1258">
                  <c:v>43689</c:v>
                </c:pt>
                <c:pt idx="1259">
                  <c:v>43690</c:v>
                </c:pt>
                <c:pt idx="1260">
                  <c:v>43691</c:v>
                </c:pt>
                <c:pt idx="1261">
                  <c:v>43692</c:v>
                </c:pt>
                <c:pt idx="1262">
                  <c:v>43693</c:v>
                </c:pt>
                <c:pt idx="1263">
                  <c:v>43694</c:v>
                </c:pt>
                <c:pt idx="1264">
                  <c:v>43695</c:v>
                </c:pt>
                <c:pt idx="1265">
                  <c:v>43696</c:v>
                </c:pt>
                <c:pt idx="1266">
                  <c:v>43697</c:v>
                </c:pt>
                <c:pt idx="1267">
                  <c:v>43698</c:v>
                </c:pt>
                <c:pt idx="1268">
                  <c:v>43699</c:v>
                </c:pt>
                <c:pt idx="1269">
                  <c:v>43700</c:v>
                </c:pt>
                <c:pt idx="1270">
                  <c:v>43701</c:v>
                </c:pt>
                <c:pt idx="1271">
                  <c:v>43702</c:v>
                </c:pt>
                <c:pt idx="1272">
                  <c:v>43703</c:v>
                </c:pt>
                <c:pt idx="1273">
                  <c:v>43704</c:v>
                </c:pt>
                <c:pt idx="1274">
                  <c:v>43705</c:v>
                </c:pt>
                <c:pt idx="1275">
                  <c:v>43706</c:v>
                </c:pt>
                <c:pt idx="1276">
                  <c:v>43707</c:v>
                </c:pt>
                <c:pt idx="1277">
                  <c:v>43708</c:v>
                </c:pt>
                <c:pt idx="1278">
                  <c:v>43709</c:v>
                </c:pt>
                <c:pt idx="1279">
                  <c:v>43710</c:v>
                </c:pt>
                <c:pt idx="1280">
                  <c:v>43711</c:v>
                </c:pt>
                <c:pt idx="1281">
                  <c:v>43712</c:v>
                </c:pt>
                <c:pt idx="1282">
                  <c:v>43713</c:v>
                </c:pt>
                <c:pt idx="1283">
                  <c:v>43714</c:v>
                </c:pt>
                <c:pt idx="1284">
                  <c:v>43715</c:v>
                </c:pt>
                <c:pt idx="1285">
                  <c:v>43716</c:v>
                </c:pt>
                <c:pt idx="1286">
                  <c:v>43717</c:v>
                </c:pt>
                <c:pt idx="1287">
                  <c:v>43718</c:v>
                </c:pt>
                <c:pt idx="1288">
                  <c:v>43719</c:v>
                </c:pt>
                <c:pt idx="1289">
                  <c:v>43720</c:v>
                </c:pt>
                <c:pt idx="1290">
                  <c:v>43721</c:v>
                </c:pt>
                <c:pt idx="1291">
                  <c:v>43722</c:v>
                </c:pt>
                <c:pt idx="1292">
                  <c:v>43723</c:v>
                </c:pt>
                <c:pt idx="1293">
                  <c:v>43724</c:v>
                </c:pt>
                <c:pt idx="1294">
                  <c:v>43725</c:v>
                </c:pt>
                <c:pt idx="1295">
                  <c:v>43726</c:v>
                </c:pt>
                <c:pt idx="1296">
                  <c:v>43727</c:v>
                </c:pt>
                <c:pt idx="1297">
                  <c:v>43728</c:v>
                </c:pt>
                <c:pt idx="1298">
                  <c:v>43729</c:v>
                </c:pt>
                <c:pt idx="1299">
                  <c:v>43730</c:v>
                </c:pt>
                <c:pt idx="1300">
                  <c:v>43731</c:v>
                </c:pt>
                <c:pt idx="1301">
                  <c:v>43732</c:v>
                </c:pt>
                <c:pt idx="1302">
                  <c:v>43733</c:v>
                </c:pt>
                <c:pt idx="1303">
                  <c:v>43734</c:v>
                </c:pt>
                <c:pt idx="1304">
                  <c:v>43735</c:v>
                </c:pt>
                <c:pt idx="1305">
                  <c:v>43736</c:v>
                </c:pt>
                <c:pt idx="1306">
                  <c:v>43737</c:v>
                </c:pt>
                <c:pt idx="1307">
                  <c:v>43738</c:v>
                </c:pt>
                <c:pt idx="1308">
                  <c:v>43739</c:v>
                </c:pt>
                <c:pt idx="1309">
                  <c:v>43740</c:v>
                </c:pt>
                <c:pt idx="1310">
                  <c:v>43741</c:v>
                </c:pt>
                <c:pt idx="1311">
                  <c:v>43742</c:v>
                </c:pt>
                <c:pt idx="1312">
                  <c:v>43743</c:v>
                </c:pt>
                <c:pt idx="1313">
                  <c:v>43744</c:v>
                </c:pt>
                <c:pt idx="1314">
                  <c:v>43745</c:v>
                </c:pt>
                <c:pt idx="1315">
                  <c:v>43746</c:v>
                </c:pt>
                <c:pt idx="1316">
                  <c:v>43747</c:v>
                </c:pt>
                <c:pt idx="1317">
                  <c:v>43748</c:v>
                </c:pt>
                <c:pt idx="1318">
                  <c:v>43749</c:v>
                </c:pt>
                <c:pt idx="1319">
                  <c:v>43750</c:v>
                </c:pt>
                <c:pt idx="1320">
                  <c:v>43751</c:v>
                </c:pt>
                <c:pt idx="1321">
                  <c:v>43752</c:v>
                </c:pt>
                <c:pt idx="1322">
                  <c:v>43753</c:v>
                </c:pt>
                <c:pt idx="1323">
                  <c:v>43754</c:v>
                </c:pt>
                <c:pt idx="1324">
                  <c:v>43755</c:v>
                </c:pt>
                <c:pt idx="1325">
                  <c:v>43756</c:v>
                </c:pt>
                <c:pt idx="1326">
                  <c:v>43757</c:v>
                </c:pt>
                <c:pt idx="1327">
                  <c:v>43758</c:v>
                </c:pt>
                <c:pt idx="1328">
                  <c:v>43759</c:v>
                </c:pt>
                <c:pt idx="1329">
                  <c:v>43760</c:v>
                </c:pt>
                <c:pt idx="1330">
                  <c:v>43761</c:v>
                </c:pt>
                <c:pt idx="1331">
                  <c:v>43762</c:v>
                </c:pt>
                <c:pt idx="1332">
                  <c:v>43763</c:v>
                </c:pt>
                <c:pt idx="1333">
                  <c:v>43764</c:v>
                </c:pt>
                <c:pt idx="1334">
                  <c:v>43765</c:v>
                </c:pt>
                <c:pt idx="1335">
                  <c:v>43766</c:v>
                </c:pt>
                <c:pt idx="1336">
                  <c:v>43767</c:v>
                </c:pt>
                <c:pt idx="1337">
                  <c:v>43768</c:v>
                </c:pt>
                <c:pt idx="1338">
                  <c:v>43769</c:v>
                </c:pt>
                <c:pt idx="1339">
                  <c:v>43770</c:v>
                </c:pt>
                <c:pt idx="1340">
                  <c:v>43771</c:v>
                </c:pt>
                <c:pt idx="1341">
                  <c:v>43772</c:v>
                </c:pt>
                <c:pt idx="1342">
                  <c:v>43773</c:v>
                </c:pt>
                <c:pt idx="1343">
                  <c:v>43774</c:v>
                </c:pt>
                <c:pt idx="1344">
                  <c:v>43775</c:v>
                </c:pt>
                <c:pt idx="1345">
                  <c:v>43776</c:v>
                </c:pt>
                <c:pt idx="1346">
                  <c:v>43777</c:v>
                </c:pt>
                <c:pt idx="1347">
                  <c:v>43778</c:v>
                </c:pt>
                <c:pt idx="1348">
                  <c:v>43779</c:v>
                </c:pt>
                <c:pt idx="1349">
                  <c:v>43780</c:v>
                </c:pt>
                <c:pt idx="1350">
                  <c:v>43781</c:v>
                </c:pt>
                <c:pt idx="1351">
                  <c:v>43782</c:v>
                </c:pt>
                <c:pt idx="1352">
                  <c:v>43783</c:v>
                </c:pt>
                <c:pt idx="1353">
                  <c:v>43784</c:v>
                </c:pt>
                <c:pt idx="1354">
                  <c:v>43785</c:v>
                </c:pt>
                <c:pt idx="1355">
                  <c:v>43786</c:v>
                </c:pt>
                <c:pt idx="1356">
                  <c:v>43787</c:v>
                </c:pt>
                <c:pt idx="1357">
                  <c:v>43788</c:v>
                </c:pt>
                <c:pt idx="1358">
                  <c:v>43789</c:v>
                </c:pt>
                <c:pt idx="1359">
                  <c:v>43790</c:v>
                </c:pt>
                <c:pt idx="1360">
                  <c:v>43791</c:v>
                </c:pt>
                <c:pt idx="1361">
                  <c:v>43792</c:v>
                </c:pt>
                <c:pt idx="1362">
                  <c:v>43793</c:v>
                </c:pt>
                <c:pt idx="1363">
                  <c:v>43794</c:v>
                </c:pt>
                <c:pt idx="1364">
                  <c:v>43795</c:v>
                </c:pt>
                <c:pt idx="1365">
                  <c:v>43796</c:v>
                </c:pt>
                <c:pt idx="1366">
                  <c:v>43797</c:v>
                </c:pt>
                <c:pt idx="1367">
                  <c:v>43798</c:v>
                </c:pt>
                <c:pt idx="1368">
                  <c:v>43799</c:v>
                </c:pt>
                <c:pt idx="1369">
                  <c:v>43800</c:v>
                </c:pt>
                <c:pt idx="1370">
                  <c:v>43801</c:v>
                </c:pt>
                <c:pt idx="1371">
                  <c:v>43802</c:v>
                </c:pt>
                <c:pt idx="1372">
                  <c:v>43803</c:v>
                </c:pt>
                <c:pt idx="1373">
                  <c:v>43804</c:v>
                </c:pt>
                <c:pt idx="1374">
                  <c:v>43805</c:v>
                </c:pt>
                <c:pt idx="1375">
                  <c:v>43806</c:v>
                </c:pt>
                <c:pt idx="1376">
                  <c:v>43807</c:v>
                </c:pt>
                <c:pt idx="1377">
                  <c:v>43808</c:v>
                </c:pt>
                <c:pt idx="1378">
                  <c:v>43809</c:v>
                </c:pt>
                <c:pt idx="1379">
                  <c:v>43810</c:v>
                </c:pt>
                <c:pt idx="1380">
                  <c:v>43811</c:v>
                </c:pt>
                <c:pt idx="1381">
                  <c:v>43812</c:v>
                </c:pt>
                <c:pt idx="1382">
                  <c:v>43813</c:v>
                </c:pt>
                <c:pt idx="1383">
                  <c:v>43814</c:v>
                </c:pt>
                <c:pt idx="1384">
                  <c:v>43815</c:v>
                </c:pt>
                <c:pt idx="1385">
                  <c:v>43816</c:v>
                </c:pt>
                <c:pt idx="1386">
                  <c:v>43817</c:v>
                </c:pt>
                <c:pt idx="1387">
                  <c:v>43818</c:v>
                </c:pt>
                <c:pt idx="1388">
                  <c:v>43819</c:v>
                </c:pt>
                <c:pt idx="1389">
                  <c:v>43820</c:v>
                </c:pt>
                <c:pt idx="1390">
                  <c:v>43821</c:v>
                </c:pt>
                <c:pt idx="1391">
                  <c:v>43822</c:v>
                </c:pt>
                <c:pt idx="1392">
                  <c:v>43823</c:v>
                </c:pt>
                <c:pt idx="1393">
                  <c:v>43824</c:v>
                </c:pt>
                <c:pt idx="1394">
                  <c:v>43825</c:v>
                </c:pt>
                <c:pt idx="1395">
                  <c:v>43826</c:v>
                </c:pt>
                <c:pt idx="1396">
                  <c:v>43827</c:v>
                </c:pt>
                <c:pt idx="1397">
                  <c:v>43828</c:v>
                </c:pt>
                <c:pt idx="1398">
                  <c:v>43829</c:v>
                </c:pt>
                <c:pt idx="1399">
                  <c:v>43830</c:v>
                </c:pt>
                <c:pt idx="1400">
                  <c:v>43831</c:v>
                </c:pt>
                <c:pt idx="1401">
                  <c:v>43832</c:v>
                </c:pt>
                <c:pt idx="1402">
                  <c:v>43833</c:v>
                </c:pt>
                <c:pt idx="1403">
                  <c:v>43834</c:v>
                </c:pt>
                <c:pt idx="1404">
                  <c:v>43835</c:v>
                </c:pt>
                <c:pt idx="1405">
                  <c:v>43836</c:v>
                </c:pt>
                <c:pt idx="1406">
                  <c:v>43837</c:v>
                </c:pt>
                <c:pt idx="1407">
                  <c:v>43838</c:v>
                </c:pt>
                <c:pt idx="1408">
                  <c:v>43839</c:v>
                </c:pt>
                <c:pt idx="1409">
                  <c:v>43840</c:v>
                </c:pt>
                <c:pt idx="1410">
                  <c:v>43841</c:v>
                </c:pt>
                <c:pt idx="1411">
                  <c:v>43842</c:v>
                </c:pt>
                <c:pt idx="1412">
                  <c:v>43843</c:v>
                </c:pt>
                <c:pt idx="1413">
                  <c:v>43844</c:v>
                </c:pt>
                <c:pt idx="1414">
                  <c:v>43845</c:v>
                </c:pt>
                <c:pt idx="1415">
                  <c:v>43846</c:v>
                </c:pt>
                <c:pt idx="1416">
                  <c:v>43847</c:v>
                </c:pt>
                <c:pt idx="1417">
                  <c:v>43848</c:v>
                </c:pt>
                <c:pt idx="1418">
                  <c:v>43849</c:v>
                </c:pt>
                <c:pt idx="1419">
                  <c:v>43850</c:v>
                </c:pt>
                <c:pt idx="1420">
                  <c:v>43851</c:v>
                </c:pt>
                <c:pt idx="1421">
                  <c:v>43852</c:v>
                </c:pt>
                <c:pt idx="1422">
                  <c:v>43853</c:v>
                </c:pt>
                <c:pt idx="1423">
                  <c:v>43854</c:v>
                </c:pt>
                <c:pt idx="1424">
                  <c:v>43855</c:v>
                </c:pt>
                <c:pt idx="1425">
                  <c:v>43856</c:v>
                </c:pt>
                <c:pt idx="1426">
                  <c:v>43857</c:v>
                </c:pt>
                <c:pt idx="1427">
                  <c:v>43858</c:v>
                </c:pt>
                <c:pt idx="1428">
                  <c:v>43859</c:v>
                </c:pt>
                <c:pt idx="1429">
                  <c:v>43860</c:v>
                </c:pt>
                <c:pt idx="1430">
                  <c:v>43861</c:v>
                </c:pt>
                <c:pt idx="1431">
                  <c:v>43862</c:v>
                </c:pt>
                <c:pt idx="1432">
                  <c:v>43863</c:v>
                </c:pt>
                <c:pt idx="1433">
                  <c:v>43864</c:v>
                </c:pt>
                <c:pt idx="1434">
                  <c:v>43865</c:v>
                </c:pt>
                <c:pt idx="1435">
                  <c:v>43866</c:v>
                </c:pt>
                <c:pt idx="1436">
                  <c:v>43867</c:v>
                </c:pt>
                <c:pt idx="1437">
                  <c:v>43868</c:v>
                </c:pt>
                <c:pt idx="1438">
                  <c:v>43869</c:v>
                </c:pt>
                <c:pt idx="1439">
                  <c:v>43870</c:v>
                </c:pt>
                <c:pt idx="1440">
                  <c:v>43871</c:v>
                </c:pt>
                <c:pt idx="1441">
                  <c:v>43872</c:v>
                </c:pt>
                <c:pt idx="1442">
                  <c:v>43873</c:v>
                </c:pt>
                <c:pt idx="1443">
                  <c:v>43874</c:v>
                </c:pt>
                <c:pt idx="1444">
                  <c:v>43875</c:v>
                </c:pt>
                <c:pt idx="1445">
                  <c:v>43876</c:v>
                </c:pt>
                <c:pt idx="1446">
                  <c:v>43877</c:v>
                </c:pt>
                <c:pt idx="1447">
                  <c:v>43878</c:v>
                </c:pt>
                <c:pt idx="1448">
                  <c:v>43879</c:v>
                </c:pt>
                <c:pt idx="1449">
                  <c:v>43880</c:v>
                </c:pt>
                <c:pt idx="1450">
                  <c:v>43881</c:v>
                </c:pt>
                <c:pt idx="1451">
                  <c:v>43882</c:v>
                </c:pt>
                <c:pt idx="1452">
                  <c:v>43883</c:v>
                </c:pt>
                <c:pt idx="1453">
                  <c:v>43884</c:v>
                </c:pt>
                <c:pt idx="1454">
                  <c:v>43885</c:v>
                </c:pt>
                <c:pt idx="1455">
                  <c:v>43886</c:v>
                </c:pt>
                <c:pt idx="1456">
                  <c:v>43887</c:v>
                </c:pt>
                <c:pt idx="1457">
                  <c:v>43888</c:v>
                </c:pt>
                <c:pt idx="1458">
                  <c:v>43889</c:v>
                </c:pt>
                <c:pt idx="1459">
                  <c:v>43890</c:v>
                </c:pt>
                <c:pt idx="1460">
                  <c:v>43891</c:v>
                </c:pt>
                <c:pt idx="1461">
                  <c:v>43892</c:v>
                </c:pt>
                <c:pt idx="1462">
                  <c:v>43893</c:v>
                </c:pt>
                <c:pt idx="1463">
                  <c:v>43894</c:v>
                </c:pt>
                <c:pt idx="1464">
                  <c:v>43895</c:v>
                </c:pt>
                <c:pt idx="1465">
                  <c:v>43896</c:v>
                </c:pt>
                <c:pt idx="1466">
                  <c:v>43897</c:v>
                </c:pt>
                <c:pt idx="1467">
                  <c:v>43898</c:v>
                </c:pt>
                <c:pt idx="1468">
                  <c:v>43899</c:v>
                </c:pt>
                <c:pt idx="1469">
                  <c:v>43900</c:v>
                </c:pt>
                <c:pt idx="1470">
                  <c:v>43901</c:v>
                </c:pt>
                <c:pt idx="1471">
                  <c:v>43902</c:v>
                </c:pt>
                <c:pt idx="1472">
                  <c:v>43903</c:v>
                </c:pt>
                <c:pt idx="1473">
                  <c:v>43904</c:v>
                </c:pt>
                <c:pt idx="1474">
                  <c:v>43905</c:v>
                </c:pt>
                <c:pt idx="1475">
                  <c:v>43906</c:v>
                </c:pt>
                <c:pt idx="1476">
                  <c:v>43907</c:v>
                </c:pt>
                <c:pt idx="1477">
                  <c:v>43908</c:v>
                </c:pt>
                <c:pt idx="1478">
                  <c:v>43909</c:v>
                </c:pt>
                <c:pt idx="1479">
                  <c:v>43910</c:v>
                </c:pt>
                <c:pt idx="1480">
                  <c:v>43911</c:v>
                </c:pt>
                <c:pt idx="1481">
                  <c:v>43912</c:v>
                </c:pt>
                <c:pt idx="1482">
                  <c:v>43913</c:v>
                </c:pt>
                <c:pt idx="1483">
                  <c:v>43914</c:v>
                </c:pt>
                <c:pt idx="1484">
                  <c:v>43915</c:v>
                </c:pt>
                <c:pt idx="1485">
                  <c:v>43916</c:v>
                </c:pt>
                <c:pt idx="1486">
                  <c:v>43917</c:v>
                </c:pt>
                <c:pt idx="1487">
                  <c:v>43918</c:v>
                </c:pt>
                <c:pt idx="1488">
                  <c:v>43919</c:v>
                </c:pt>
                <c:pt idx="1489">
                  <c:v>43920</c:v>
                </c:pt>
                <c:pt idx="1490">
                  <c:v>43921</c:v>
                </c:pt>
                <c:pt idx="1491">
                  <c:v>43922</c:v>
                </c:pt>
                <c:pt idx="1492">
                  <c:v>43923</c:v>
                </c:pt>
                <c:pt idx="1493">
                  <c:v>43924</c:v>
                </c:pt>
                <c:pt idx="1494">
                  <c:v>43925</c:v>
                </c:pt>
                <c:pt idx="1495">
                  <c:v>43926</c:v>
                </c:pt>
                <c:pt idx="1496">
                  <c:v>43927</c:v>
                </c:pt>
                <c:pt idx="1497">
                  <c:v>43928</c:v>
                </c:pt>
                <c:pt idx="1498">
                  <c:v>43929</c:v>
                </c:pt>
                <c:pt idx="1499">
                  <c:v>43930</c:v>
                </c:pt>
                <c:pt idx="1500">
                  <c:v>43931</c:v>
                </c:pt>
                <c:pt idx="1501">
                  <c:v>43932</c:v>
                </c:pt>
                <c:pt idx="1502">
                  <c:v>43933</c:v>
                </c:pt>
                <c:pt idx="1503">
                  <c:v>43934</c:v>
                </c:pt>
                <c:pt idx="1504">
                  <c:v>43935</c:v>
                </c:pt>
                <c:pt idx="1505">
                  <c:v>43936</c:v>
                </c:pt>
                <c:pt idx="1506">
                  <c:v>43937</c:v>
                </c:pt>
                <c:pt idx="1507">
                  <c:v>43938</c:v>
                </c:pt>
                <c:pt idx="1508">
                  <c:v>43939</c:v>
                </c:pt>
                <c:pt idx="1509">
                  <c:v>43940</c:v>
                </c:pt>
                <c:pt idx="1510">
                  <c:v>43941</c:v>
                </c:pt>
                <c:pt idx="1511">
                  <c:v>43942</c:v>
                </c:pt>
                <c:pt idx="1512">
                  <c:v>43943</c:v>
                </c:pt>
                <c:pt idx="1513">
                  <c:v>43944</c:v>
                </c:pt>
                <c:pt idx="1514">
                  <c:v>43945</c:v>
                </c:pt>
                <c:pt idx="1515">
                  <c:v>43946</c:v>
                </c:pt>
                <c:pt idx="1516">
                  <c:v>43947</c:v>
                </c:pt>
                <c:pt idx="1517">
                  <c:v>43948</c:v>
                </c:pt>
                <c:pt idx="1518">
                  <c:v>43949</c:v>
                </c:pt>
                <c:pt idx="1519">
                  <c:v>43950</c:v>
                </c:pt>
                <c:pt idx="1520">
                  <c:v>43951</c:v>
                </c:pt>
                <c:pt idx="1521">
                  <c:v>43952</c:v>
                </c:pt>
                <c:pt idx="1522">
                  <c:v>43953</c:v>
                </c:pt>
                <c:pt idx="1523">
                  <c:v>43954</c:v>
                </c:pt>
                <c:pt idx="1524">
                  <c:v>43955</c:v>
                </c:pt>
                <c:pt idx="1525">
                  <c:v>43956</c:v>
                </c:pt>
                <c:pt idx="1526">
                  <c:v>43957</c:v>
                </c:pt>
                <c:pt idx="1527">
                  <c:v>43958</c:v>
                </c:pt>
                <c:pt idx="1528">
                  <c:v>43959</c:v>
                </c:pt>
                <c:pt idx="1529">
                  <c:v>43960</c:v>
                </c:pt>
                <c:pt idx="1530">
                  <c:v>43961</c:v>
                </c:pt>
                <c:pt idx="1531">
                  <c:v>43962</c:v>
                </c:pt>
                <c:pt idx="1532">
                  <c:v>43963</c:v>
                </c:pt>
                <c:pt idx="1533">
                  <c:v>43964</c:v>
                </c:pt>
                <c:pt idx="1534">
                  <c:v>43965</c:v>
                </c:pt>
                <c:pt idx="1535">
                  <c:v>43966</c:v>
                </c:pt>
                <c:pt idx="1536">
                  <c:v>43967</c:v>
                </c:pt>
                <c:pt idx="1537">
                  <c:v>43968</c:v>
                </c:pt>
                <c:pt idx="1538">
                  <c:v>43969</c:v>
                </c:pt>
                <c:pt idx="1539">
                  <c:v>43970</c:v>
                </c:pt>
                <c:pt idx="1540">
                  <c:v>43971</c:v>
                </c:pt>
                <c:pt idx="1541">
                  <c:v>43972</c:v>
                </c:pt>
                <c:pt idx="1542">
                  <c:v>43973</c:v>
                </c:pt>
                <c:pt idx="1543">
                  <c:v>43974</c:v>
                </c:pt>
                <c:pt idx="1544">
                  <c:v>43975</c:v>
                </c:pt>
                <c:pt idx="1545">
                  <c:v>43976</c:v>
                </c:pt>
                <c:pt idx="1546">
                  <c:v>43977</c:v>
                </c:pt>
                <c:pt idx="1547">
                  <c:v>43978</c:v>
                </c:pt>
                <c:pt idx="1548">
                  <c:v>43979</c:v>
                </c:pt>
                <c:pt idx="1549">
                  <c:v>43980</c:v>
                </c:pt>
                <c:pt idx="1550">
                  <c:v>43981</c:v>
                </c:pt>
                <c:pt idx="1551">
                  <c:v>43982</c:v>
                </c:pt>
                <c:pt idx="1552">
                  <c:v>43983</c:v>
                </c:pt>
                <c:pt idx="1553">
                  <c:v>43984</c:v>
                </c:pt>
                <c:pt idx="1554">
                  <c:v>43985</c:v>
                </c:pt>
                <c:pt idx="1555">
                  <c:v>43986</c:v>
                </c:pt>
                <c:pt idx="1556">
                  <c:v>43987</c:v>
                </c:pt>
                <c:pt idx="1557">
                  <c:v>43988</c:v>
                </c:pt>
                <c:pt idx="1558">
                  <c:v>43989</c:v>
                </c:pt>
                <c:pt idx="1559">
                  <c:v>43990</c:v>
                </c:pt>
                <c:pt idx="1560">
                  <c:v>43991</c:v>
                </c:pt>
                <c:pt idx="1561">
                  <c:v>43992</c:v>
                </c:pt>
                <c:pt idx="1562">
                  <c:v>43993</c:v>
                </c:pt>
                <c:pt idx="1563">
                  <c:v>43994</c:v>
                </c:pt>
                <c:pt idx="1564">
                  <c:v>43995</c:v>
                </c:pt>
                <c:pt idx="1565">
                  <c:v>43996</c:v>
                </c:pt>
                <c:pt idx="1566">
                  <c:v>43997</c:v>
                </c:pt>
                <c:pt idx="1567">
                  <c:v>43998</c:v>
                </c:pt>
                <c:pt idx="1568">
                  <c:v>43999</c:v>
                </c:pt>
                <c:pt idx="1569">
                  <c:v>44000</c:v>
                </c:pt>
                <c:pt idx="1570">
                  <c:v>44001</c:v>
                </c:pt>
                <c:pt idx="1571">
                  <c:v>44002</c:v>
                </c:pt>
                <c:pt idx="1572">
                  <c:v>44003</c:v>
                </c:pt>
                <c:pt idx="1573">
                  <c:v>44004</c:v>
                </c:pt>
                <c:pt idx="1574">
                  <c:v>44005</c:v>
                </c:pt>
                <c:pt idx="1575">
                  <c:v>44006</c:v>
                </c:pt>
                <c:pt idx="1576">
                  <c:v>44007</c:v>
                </c:pt>
                <c:pt idx="1577">
                  <c:v>44008</c:v>
                </c:pt>
                <c:pt idx="1578">
                  <c:v>44009</c:v>
                </c:pt>
                <c:pt idx="1579">
                  <c:v>44010</c:v>
                </c:pt>
                <c:pt idx="1580">
                  <c:v>44011</c:v>
                </c:pt>
                <c:pt idx="1581">
                  <c:v>44012</c:v>
                </c:pt>
                <c:pt idx="1582">
                  <c:v>44013</c:v>
                </c:pt>
                <c:pt idx="1583">
                  <c:v>44014</c:v>
                </c:pt>
                <c:pt idx="1584">
                  <c:v>44015</c:v>
                </c:pt>
                <c:pt idx="1585">
                  <c:v>44016</c:v>
                </c:pt>
                <c:pt idx="1586">
                  <c:v>44017</c:v>
                </c:pt>
                <c:pt idx="1587">
                  <c:v>44018</c:v>
                </c:pt>
                <c:pt idx="1588">
                  <c:v>44019</c:v>
                </c:pt>
                <c:pt idx="1589">
                  <c:v>44020</c:v>
                </c:pt>
                <c:pt idx="1590">
                  <c:v>44021</c:v>
                </c:pt>
                <c:pt idx="1591">
                  <c:v>44022</c:v>
                </c:pt>
                <c:pt idx="1592">
                  <c:v>44023</c:v>
                </c:pt>
                <c:pt idx="1593">
                  <c:v>44024</c:v>
                </c:pt>
                <c:pt idx="1594">
                  <c:v>44025</c:v>
                </c:pt>
                <c:pt idx="1595">
                  <c:v>44026</c:v>
                </c:pt>
                <c:pt idx="1596">
                  <c:v>44027</c:v>
                </c:pt>
                <c:pt idx="1597">
                  <c:v>44028</c:v>
                </c:pt>
                <c:pt idx="1598">
                  <c:v>44029</c:v>
                </c:pt>
                <c:pt idx="1599">
                  <c:v>44030</c:v>
                </c:pt>
                <c:pt idx="1600">
                  <c:v>44031</c:v>
                </c:pt>
                <c:pt idx="1601">
                  <c:v>44032</c:v>
                </c:pt>
                <c:pt idx="1602">
                  <c:v>44033</c:v>
                </c:pt>
                <c:pt idx="1603">
                  <c:v>44034</c:v>
                </c:pt>
                <c:pt idx="1604">
                  <c:v>44035</c:v>
                </c:pt>
                <c:pt idx="1605">
                  <c:v>44036</c:v>
                </c:pt>
                <c:pt idx="1606">
                  <c:v>44037</c:v>
                </c:pt>
                <c:pt idx="1607">
                  <c:v>44038</c:v>
                </c:pt>
                <c:pt idx="1608">
                  <c:v>44039</c:v>
                </c:pt>
                <c:pt idx="1609">
                  <c:v>44040</c:v>
                </c:pt>
                <c:pt idx="1610">
                  <c:v>44041</c:v>
                </c:pt>
                <c:pt idx="1611">
                  <c:v>44042</c:v>
                </c:pt>
                <c:pt idx="1612">
                  <c:v>44043</c:v>
                </c:pt>
                <c:pt idx="1613">
                  <c:v>44044</c:v>
                </c:pt>
                <c:pt idx="1614">
                  <c:v>44045</c:v>
                </c:pt>
                <c:pt idx="1615">
                  <c:v>44046</c:v>
                </c:pt>
                <c:pt idx="1616">
                  <c:v>44047</c:v>
                </c:pt>
                <c:pt idx="1617">
                  <c:v>44048</c:v>
                </c:pt>
                <c:pt idx="1618">
                  <c:v>44049</c:v>
                </c:pt>
                <c:pt idx="1619">
                  <c:v>44050</c:v>
                </c:pt>
                <c:pt idx="1620">
                  <c:v>44051</c:v>
                </c:pt>
                <c:pt idx="1621">
                  <c:v>44052</c:v>
                </c:pt>
                <c:pt idx="1622">
                  <c:v>44053</c:v>
                </c:pt>
                <c:pt idx="1623">
                  <c:v>44054</c:v>
                </c:pt>
                <c:pt idx="1624">
                  <c:v>44055</c:v>
                </c:pt>
                <c:pt idx="1625">
                  <c:v>44056</c:v>
                </c:pt>
                <c:pt idx="1626">
                  <c:v>44057</c:v>
                </c:pt>
                <c:pt idx="1627">
                  <c:v>44058</c:v>
                </c:pt>
                <c:pt idx="1628">
                  <c:v>44059</c:v>
                </c:pt>
                <c:pt idx="1629">
                  <c:v>44060</c:v>
                </c:pt>
                <c:pt idx="1630">
                  <c:v>44061</c:v>
                </c:pt>
                <c:pt idx="1631">
                  <c:v>44062</c:v>
                </c:pt>
                <c:pt idx="1632">
                  <c:v>44063</c:v>
                </c:pt>
                <c:pt idx="1633">
                  <c:v>44064</c:v>
                </c:pt>
                <c:pt idx="1634">
                  <c:v>44065</c:v>
                </c:pt>
                <c:pt idx="1635">
                  <c:v>44066</c:v>
                </c:pt>
                <c:pt idx="1636">
                  <c:v>44067</c:v>
                </c:pt>
                <c:pt idx="1637">
                  <c:v>44068</c:v>
                </c:pt>
                <c:pt idx="1638">
                  <c:v>44069</c:v>
                </c:pt>
                <c:pt idx="1639">
                  <c:v>44070</c:v>
                </c:pt>
                <c:pt idx="1640">
                  <c:v>44071</c:v>
                </c:pt>
                <c:pt idx="1641">
                  <c:v>44072</c:v>
                </c:pt>
                <c:pt idx="1642">
                  <c:v>44073</c:v>
                </c:pt>
                <c:pt idx="1643">
                  <c:v>44074</c:v>
                </c:pt>
                <c:pt idx="1644">
                  <c:v>44075</c:v>
                </c:pt>
                <c:pt idx="1645">
                  <c:v>44076</c:v>
                </c:pt>
                <c:pt idx="1646">
                  <c:v>44077</c:v>
                </c:pt>
                <c:pt idx="1647">
                  <c:v>44078</c:v>
                </c:pt>
                <c:pt idx="1648">
                  <c:v>44079</c:v>
                </c:pt>
                <c:pt idx="1649">
                  <c:v>44080</c:v>
                </c:pt>
                <c:pt idx="1650">
                  <c:v>44081</c:v>
                </c:pt>
                <c:pt idx="1651">
                  <c:v>44082</c:v>
                </c:pt>
                <c:pt idx="1652">
                  <c:v>44083</c:v>
                </c:pt>
                <c:pt idx="1653">
                  <c:v>44084</c:v>
                </c:pt>
                <c:pt idx="1654">
                  <c:v>44085</c:v>
                </c:pt>
                <c:pt idx="1655">
                  <c:v>44086</c:v>
                </c:pt>
                <c:pt idx="1656">
                  <c:v>44087</c:v>
                </c:pt>
                <c:pt idx="1657">
                  <c:v>44088</c:v>
                </c:pt>
                <c:pt idx="1658">
                  <c:v>44089</c:v>
                </c:pt>
                <c:pt idx="1659">
                  <c:v>44090</c:v>
                </c:pt>
                <c:pt idx="1660">
                  <c:v>44091</c:v>
                </c:pt>
                <c:pt idx="1661">
                  <c:v>44092</c:v>
                </c:pt>
                <c:pt idx="1662">
                  <c:v>44093</c:v>
                </c:pt>
                <c:pt idx="1663">
                  <c:v>44094</c:v>
                </c:pt>
                <c:pt idx="1664">
                  <c:v>44095</c:v>
                </c:pt>
                <c:pt idx="1665">
                  <c:v>44096</c:v>
                </c:pt>
                <c:pt idx="1666">
                  <c:v>44097</c:v>
                </c:pt>
                <c:pt idx="1667">
                  <c:v>44098</c:v>
                </c:pt>
                <c:pt idx="1668">
                  <c:v>44099</c:v>
                </c:pt>
                <c:pt idx="1669">
                  <c:v>44100</c:v>
                </c:pt>
                <c:pt idx="1670">
                  <c:v>44101</c:v>
                </c:pt>
                <c:pt idx="1671">
                  <c:v>44102</c:v>
                </c:pt>
                <c:pt idx="1672">
                  <c:v>44103</c:v>
                </c:pt>
                <c:pt idx="1673">
                  <c:v>44104</c:v>
                </c:pt>
                <c:pt idx="1674">
                  <c:v>44105</c:v>
                </c:pt>
                <c:pt idx="1675">
                  <c:v>44106</c:v>
                </c:pt>
                <c:pt idx="1676">
                  <c:v>44107</c:v>
                </c:pt>
                <c:pt idx="1677">
                  <c:v>44108</c:v>
                </c:pt>
                <c:pt idx="1678">
                  <c:v>44109</c:v>
                </c:pt>
                <c:pt idx="1679">
                  <c:v>44110</c:v>
                </c:pt>
                <c:pt idx="1680">
                  <c:v>44111</c:v>
                </c:pt>
                <c:pt idx="1681">
                  <c:v>44112</c:v>
                </c:pt>
                <c:pt idx="1682">
                  <c:v>44113</c:v>
                </c:pt>
                <c:pt idx="1683">
                  <c:v>44114</c:v>
                </c:pt>
                <c:pt idx="1684">
                  <c:v>44115</c:v>
                </c:pt>
                <c:pt idx="1685">
                  <c:v>44116</c:v>
                </c:pt>
                <c:pt idx="1686">
                  <c:v>44117</c:v>
                </c:pt>
                <c:pt idx="1687">
                  <c:v>44118</c:v>
                </c:pt>
                <c:pt idx="1688">
                  <c:v>44119</c:v>
                </c:pt>
                <c:pt idx="1689">
                  <c:v>44120</c:v>
                </c:pt>
                <c:pt idx="1690">
                  <c:v>44121</c:v>
                </c:pt>
                <c:pt idx="1691">
                  <c:v>44122</c:v>
                </c:pt>
                <c:pt idx="1692">
                  <c:v>44123</c:v>
                </c:pt>
                <c:pt idx="1693">
                  <c:v>44124</c:v>
                </c:pt>
                <c:pt idx="1694">
                  <c:v>44125</c:v>
                </c:pt>
                <c:pt idx="1695">
                  <c:v>44126</c:v>
                </c:pt>
                <c:pt idx="1696">
                  <c:v>44127</c:v>
                </c:pt>
                <c:pt idx="1697">
                  <c:v>44128</c:v>
                </c:pt>
                <c:pt idx="1698">
                  <c:v>44129</c:v>
                </c:pt>
                <c:pt idx="1699">
                  <c:v>44130</c:v>
                </c:pt>
                <c:pt idx="1700">
                  <c:v>44131</c:v>
                </c:pt>
                <c:pt idx="1701">
                  <c:v>44132</c:v>
                </c:pt>
                <c:pt idx="1702">
                  <c:v>44133</c:v>
                </c:pt>
                <c:pt idx="1703">
                  <c:v>44134</c:v>
                </c:pt>
                <c:pt idx="1704">
                  <c:v>44135</c:v>
                </c:pt>
                <c:pt idx="1705">
                  <c:v>44136</c:v>
                </c:pt>
                <c:pt idx="1706">
                  <c:v>44137</c:v>
                </c:pt>
                <c:pt idx="1707">
                  <c:v>44138</c:v>
                </c:pt>
                <c:pt idx="1708">
                  <c:v>44139</c:v>
                </c:pt>
                <c:pt idx="1709">
                  <c:v>44140</c:v>
                </c:pt>
                <c:pt idx="1710">
                  <c:v>44141</c:v>
                </c:pt>
                <c:pt idx="1711">
                  <c:v>44142</c:v>
                </c:pt>
                <c:pt idx="1712">
                  <c:v>44143</c:v>
                </c:pt>
                <c:pt idx="1713">
                  <c:v>44144</c:v>
                </c:pt>
                <c:pt idx="1714">
                  <c:v>44145</c:v>
                </c:pt>
                <c:pt idx="1715">
                  <c:v>44146</c:v>
                </c:pt>
                <c:pt idx="1716">
                  <c:v>44147</c:v>
                </c:pt>
                <c:pt idx="1717">
                  <c:v>44148</c:v>
                </c:pt>
                <c:pt idx="1718">
                  <c:v>44149</c:v>
                </c:pt>
                <c:pt idx="1719">
                  <c:v>44150</c:v>
                </c:pt>
                <c:pt idx="1720">
                  <c:v>44151</c:v>
                </c:pt>
                <c:pt idx="1721">
                  <c:v>44152</c:v>
                </c:pt>
                <c:pt idx="1722">
                  <c:v>44153</c:v>
                </c:pt>
                <c:pt idx="1723">
                  <c:v>44154</c:v>
                </c:pt>
                <c:pt idx="1724">
                  <c:v>44155</c:v>
                </c:pt>
                <c:pt idx="1725">
                  <c:v>44156</c:v>
                </c:pt>
                <c:pt idx="1726">
                  <c:v>44157</c:v>
                </c:pt>
                <c:pt idx="1727">
                  <c:v>44158</c:v>
                </c:pt>
                <c:pt idx="1728">
                  <c:v>44159</c:v>
                </c:pt>
                <c:pt idx="1729">
                  <c:v>44160</c:v>
                </c:pt>
                <c:pt idx="1730">
                  <c:v>44161</c:v>
                </c:pt>
                <c:pt idx="1731">
                  <c:v>44162</c:v>
                </c:pt>
                <c:pt idx="1732">
                  <c:v>44163</c:v>
                </c:pt>
                <c:pt idx="1733">
                  <c:v>44164</c:v>
                </c:pt>
                <c:pt idx="1734">
                  <c:v>44165</c:v>
                </c:pt>
                <c:pt idx="1735">
                  <c:v>44166</c:v>
                </c:pt>
                <c:pt idx="1736">
                  <c:v>44167</c:v>
                </c:pt>
                <c:pt idx="1737">
                  <c:v>44168</c:v>
                </c:pt>
                <c:pt idx="1738">
                  <c:v>44169</c:v>
                </c:pt>
                <c:pt idx="1739">
                  <c:v>44170</c:v>
                </c:pt>
                <c:pt idx="1740">
                  <c:v>44171</c:v>
                </c:pt>
                <c:pt idx="1741">
                  <c:v>44172</c:v>
                </c:pt>
                <c:pt idx="1742">
                  <c:v>44173</c:v>
                </c:pt>
                <c:pt idx="1743">
                  <c:v>44174</c:v>
                </c:pt>
                <c:pt idx="1744">
                  <c:v>44175</c:v>
                </c:pt>
                <c:pt idx="1745">
                  <c:v>44176</c:v>
                </c:pt>
                <c:pt idx="1746">
                  <c:v>44177</c:v>
                </c:pt>
                <c:pt idx="1747">
                  <c:v>44178</c:v>
                </c:pt>
                <c:pt idx="1748">
                  <c:v>44179</c:v>
                </c:pt>
                <c:pt idx="1749">
                  <c:v>44180</c:v>
                </c:pt>
                <c:pt idx="1750">
                  <c:v>44181</c:v>
                </c:pt>
                <c:pt idx="1751">
                  <c:v>44182</c:v>
                </c:pt>
                <c:pt idx="1752">
                  <c:v>44183</c:v>
                </c:pt>
                <c:pt idx="1753">
                  <c:v>44184</c:v>
                </c:pt>
                <c:pt idx="1754">
                  <c:v>44185</c:v>
                </c:pt>
                <c:pt idx="1755">
                  <c:v>44186</c:v>
                </c:pt>
                <c:pt idx="1756">
                  <c:v>44187</c:v>
                </c:pt>
                <c:pt idx="1757">
                  <c:v>44188</c:v>
                </c:pt>
                <c:pt idx="1758">
                  <c:v>44189</c:v>
                </c:pt>
                <c:pt idx="1759">
                  <c:v>44190</c:v>
                </c:pt>
                <c:pt idx="1760">
                  <c:v>44191</c:v>
                </c:pt>
                <c:pt idx="1761">
                  <c:v>44192</c:v>
                </c:pt>
                <c:pt idx="1762">
                  <c:v>44193</c:v>
                </c:pt>
                <c:pt idx="1763">
                  <c:v>44194</c:v>
                </c:pt>
                <c:pt idx="1764">
                  <c:v>44195</c:v>
                </c:pt>
                <c:pt idx="1765">
                  <c:v>44196</c:v>
                </c:pt>
                <c:pt idx="1766">
                  <c:v>44197</c:v>
                </c:pt>
                <c:pt idx="1767">
                  <c:v>44198</c:v>
                </c:pt>
                <c:pt idx="1768">
                  <c:v>44199</c:v>
                </c:pt>
                <c:pt idx="1769">
                  <c:v>44200</c:v>
                </c:pt>
                <c:pt idx="1770">
                  <c:v>44201</c:v>
                </c:pt>
                <c:pt idx="1771">
                  <c:v>44202</c:v>
                </c:pt>
                <c:pt idx="1772">
                  <c:v>44203</c:v>
                </c:pt>
                <c:pt idx="1773">
                  <c:v>44204</c:v>
                </c:pt>
                <c:pt idx="1774">
                  <c:v>44205</c:v>
                </c:pt>
                <c:pt idx="1775">
                  <c:v>44206</c:v>
                </c:pt>
                <c:pt idx="1776">
                  <c:v>44207</c:v>
                </c:pt>
                <c:pt idx="1777">
                  <c:v>44208</c:v>
                </c:pt>
                <c:pt idx="1778">
                  <c:v>44209</c:v>
                </c:pt>
                <c:pt idx="1779">
                  <c:v>44210</c:v>
                </c:pt>
                <c:pt idx="1780">
                  <c:v>44211</c:v>
                </c:pt>
                <c:pt idx="1781">
                  <c:v>44212</c:v>
                </c:pt>
                <c:pt idx="1782">
                  <c:v>44213</c:v>
                </c:pt>
                <c:pt idx="1783">
                  <c:v>44214</c:v>
                </c:pt>
                <c:pt idx="1784">
                  <c:v>44215</c:v>
                </c:pt>
                <c:pt idx="1785">
                  <c:v>44216</c:v>
                </c:pt>
                <c:pt idx="1786">
                  <c:v>44217</c:v>
                </c:pt>
                <c:pt idx="1787">
                  <c:v>44218</c:v>
                </c:pt>
                <c:pt idx="1788">
                  <c:v>44219</c:v>
                </c:pt>
                <c:pt idx="1789">
                  <c:v>44220</c:v>
                </c:pt>
                <c:pt idx="1790">
                  <c:v>44221</c:v>
                </c:pt>
                <c:pt idx="1791">
                  <c:v>44222</c:v>
                </c:pt>
                <c:pt idx="1792">
                  <c:v>44223</c:v>
                </c:pt>
                <c:pt idx="1793">
                  <c:v>44224</c:v>
                </c:pt>
                <c:pt idx="1794">
                  <c:v>44225</c:v>
                </c:pt>
                <c:pt idx="1795">
                  <c:v>44226</c:v>
                </c:pt>
                <c:pt idx="1796">
                  <c:v>44227</c:v>
                </c:pt>
                <c:pt idx="1797">
                  <c:v>44228</c:v>
                </c:pt>
                <c:pt idx="1798">
                  <c:v>44229</c:v>
                </c:pt>
                <c:pt idx="1799">
                  <c:v>44230</c:v>
                </c:pt>
                <c:pt idx="1800">
                  <c:v>44231</c:v>
                </c:pt>
                <c:pt idx="1801">
                  <c:v>44232</c:v>
                </c:pt>
                <c:pt idx="1802">
                  <c:v>44233</c:v>
                </c:pt>
                <c:pt idx="1803">
                  <c:v>44234</c:v>
                </c:pt>
                <c:pt idx="1804">
                  <c:v>44235</c:v>
                </c:pt>
                <c:pt idx="1805">
                  <c:v>44236</c:v>
                </c:pt>
                <c:pt idx="1806">
                  <c:v>44237</c:v>
                </c:pt>
                <c:pt idx="1807">
                  <c:v>44238</c:v>
                </c:pt>
                <c:pt idx="1808">
                  <c:v>44239</c:v>
                </c:pt>
                <c:pt idx="1809">
                  <c:v>44240</c:v>
                </c:pt>
                <c:pt idx="1810">
                  <c:v>44241</c:v>
                </c:pt>
                <c:pt idx="1811">
                  <c:v>44242</c:v>
                </c:pt>
                <c:pt idx="1812">
                  <c:v>44243</c:v>
                </c:pt>
                <c:pt idx="1813">
                  <c:v>44244</c:v>
                </c:pt>
                <c:pt idx="1814">
                  <c:v>44245</c:v>
                </c:pt>
                <c:pt idx="1815">
                  <c:v>44246</c:v>
                </c:pt>
                <c:pt idx="1816">
                  <c:v>44247</c:v>
                </c:pt>
                <c:pt idx="1817">
                  <c:v>44248</c:v>
                </c:pt>
                <c:pt idx="1818">
                  <c:v>44249</c:v>
                </c:pt>
                <c:pt idx="1819">
                  <c:v>44250</c:v>
                </c:pt>
                <c:pt idx="1820">
                  <c:v>44251</c:v>
                </c:pt>
                <c:pt idx="1821">
                  <c:v>44252</c:v>
                </c:pt>
                <c:pt idx="1822">
                  <c:v>44253</c:v>
                </c:pt>
                <c:pt idx="1823">
                  <c:v>44254</c:v>
                </c:pt>
                <c:pt idx="1824">
                  <c:v>44255</c:v>
                </c:pt>
                <c:pt idx="1825">
                  <c:v>44256</c:v>
                </c:pt>
                <c:pt idx="1826">
                  <c:v>44257</c:v>
                </c:pt>
                <c:pt idx="1827">
                  <c:v>44258</c:v>
                </c:pt>
                <c:pt idx="1828">
                  <c:v>44259</c:v>
                </c:pt>
                <c:pt idx="1829">
                  <c:v>44260</c:v>
                </c:pt>
                <c:pt idx="1830">
                  <c:v>44261</c:v>
                </c:pt>
                <c:pt idx="1831">
                  <c:v>44262</c:v>
                </c:pt>
                <c:pt idx="1832">
                  <c:v>44263</c:v>
                </c:pt>
                <c:pt idx="1833">
                  <c:v>44264</c:v>
                </c:pt>
                <c:pt idx="1834">
                  <c:v>44265</c:v>
                </c:pt>
                <c:pt idx="1835">
                  <c:v>44266</c:v>
                </c:pt>
                <c:pt idx="1836">
                  <c:v>44267</c:v>
                </c:pt>
                <c:pt idx="1837">
                  <c:v>44268</c:v>
                </c:pt>
                <c:pt idx="1838">
                  <c:v>44269</c:v>
                </c:pt>
                <c:pt idx="1839">
                  <c:v>44270</c:v>
                </c:pt>
                <c:pt idx="1840">
                  <c:v>44271</c:v>
                </c:pt>
                <c:pt idx="1841">
                  <c:v>44272</c:v>
                </c:pt>
                <c:pt idx="1842">
                  <c:v>44273</c:v>
                </c:pt>
                <c:pt idx="1843">
                  <c:v>44274</c:v>
                </c:pt>
                <c:pt idx="1844">
                  <c:v>44275</c:v>
                </c:pt>
                <c:pt idx="1845">
                  <c:v>44276</c:v>
                </c:pt>
                <c:pt idx="1846">
                  <c:v>44277</c:v>
                </c:pt>
                <c:pt idx="1847">
                  <c:v>44278</c:v>
                </c:pt>
                <c:pt idx="1848">
                  <c:v>44279</c:v>
                </c:pt>
                <c:pt idx="1849">
                  <c:v>44280</c:v>
                </c:pt>
                <c:pt idx="1850">
                  <c:v>44281</c:v>
                </c:pt>
                <c:pt idx="1851">
                  <c:v>44282</c:v>
                </c:pt>
                <c:pt idx="1852">
                  <c:v>44283</c:v>
                </c:pt>
                <c:pt idx="1853">
                  <c:v>44284</c:v>
                </c:pt>
                <c:pt idx="1854">
                  <c:v>44285</c:v>
                </c:pt>
                <c:pt idx="1855">
                  <c:v>44286</c:v>
                </c:pt>
                <c:pt idx="1856">
                  <c:v>44287</c:v>
                </c:pt>
                <c:pt idx="1857">
                  <c:v>44288</c:v>
                </c:pt>
                <c:pt idx="1858">
                  <c:v>44289</c:v>
                </c:pt>
                <c:pt idx="1859">
                  <c:v>44290</c:v>
                </c:pt>
                <c:pt idx="1860">
                  <c:v>44291</c:v>
                </c:pt>
                <c:pt idx="1861">
                  <c:v>44292</c:v>
                </c:pt>
                <c:pt idx="1862">
                  <c:v>44293</c:v>
                </c:pt>
                <c:pt idx="1863">
                  <c:v>44294</c:v>
                </c:pt>
                <c:pt idx="1864">
                  <c:v>44295</c:v>
                </c:pt>
                <c:pt idx="1865">
                  <c:v>44296</c:v>
                </c:pt>
                <c:pt idx="1866">
                  <c:v>44297</c:v>
                </c:pt>
                <c:pt idx="1867">
                  <c:v>44298</c:v>
                </c:pt>
                <c:pt idx="1868">
                  <c:v>44299</c:v>
                </c:pt>
                <c:pt idx="1869">
                  <c:v>44300</c:v>
                </c:pt>
                <c:pt idx="1870">
                  <c:v>44301</c:v>
                </c:pt>
                <c:pt idx="1871">
                  <c:v>44302</c:v>
                </c:pt>
                <c:pt idx="1872">
                  <c:v>44303</c:v>
                </c:pt>
                <c:pt idx="1873">
                  <c:v>44304</c:v>
                </c:pt>
                <c:pt idx="1874">
                  <c:v>44305</c:v>
                </c:pt>
                <c:pt idx="1875">
                  <c:v>44306</c:v>
                </c:pt>
                <c:pt idx="1876">
                  <c:v>44307</c:v>
                </c:pt>
                <c:pt idx="1877">
                  <c:v>44308</c:v>
                </c:pt>
                <c:pt idx="1878">
                  <c:v>44309</c:v>
                </c:pt>
                <c:pt idx="1879">
                  <c:v>44310</c:v>
                </c:pt>
                <c:pt idx="1880">
                  <c:v>44311</c:v>
                </c:pt>
                <c:pt idx="1881">
                  <c:v>44312</c:v>
                </c:pt>
                <c:pt idx="1882">
                  <c:v>44313</c:v>
                </c:pt>
                <c:pt idx="1883">
                  <c:v>44314</c:v>
                </c:pt>
                <c:pt idx="1884">
                  <c:v>44315</c:v>
                </c:pt>
                <c:pt idx="1885">
                  <c:v>44316</c:v>
                </c:pt>
                <c:pt idx="1886">
                  <c:v>44317</c:v>
                </c:pt>
                <c:pt idx="1887">
                  <c:v>44318</c:v>
                </c:pt>
                <c:pt idx="1888">
                  <c:v>44319</c:v>
                </c:pt>
                <c:pt idx="1889">
                  <c:v>44320</c:v>
                </c:pt>
                <c:pt idx="1890">
                  <c:v>44321</c:v>
                </c:pt>
                <c:pt idx="1891">
                  <c:v>44322</c:v>
                </c:pt>
                <c:pt idx="1892">
                  <c:v>44323</c:v>
                </c:pt>
                <c:pt idx="1893">
                  <c:v>44324</c:v>
                </c:pt>
                <c:pt idx="1894">
                  <c:v>44325</c:v>
                </c:pt>
                <c:pt idx="1895">
                  <c:v>44326</c:v>
                </c:pt>
                <c:pt idx="1896">
                  <c:v>44327</c:v>
                </c:pt>
                <c:pt idx="1897">
                  <c:v>44328</c:v>
                </c:pt>
                <c:pt idx="1898">
                  <c:v>44329</c:v>
                </c:pt>
                <c:pt idx="1899">
                  <c:v>44330</c:v>
                </c:pt>
                <c:pt idx="1900">
                  <c:v>44331</c:v>
                </c:pt>
                <c:pt idx="1901">
                  <c:v>44332</c:v>
                </c:pt>
                <c:pt idx="1902">
                  <c:v>44333</c:v>
                </c:pt>
                <c:pt idx="1903">
                  <c:v>44334</c:v>
                </c:pt>
                <c:pt idx="1904">
                  <c:v>44335</c:v>
                </c:pt>
                <c:pt idx="1905">
                  <c:v>44336</c:v>
                </c:pt>
                <c:pt idx="1906">
                  <c:v>44337</c:v>
                </c:pt>
                <c:pt idx="1907">
                  <c:v>44338</c:v>
                </c:pt>
                <c:pt idx="1908">
                  <c:v>44339</c:v>
                </c:pt>
                <c:pt idx="1909">
                  <c:v>44340</c:v>
                </c:pt>
                <c:pt idx="1910">
                  <c:v>44341</c:v>
                </c:pt>
                <c:pt idx="1911">
                  <c:v>44342</c:v>
                </c:pt>
                <c:pt idx="1912">
                  <c:v>44343</c:v>
                </c:pt>
                <c:pt idx="1913">
                  <c:v>44344</c:v>
                </c:pt>
                <c:pt idx="1914">
                  <c:v>44345</c:v>
                </c:pt>
                <c:pt idx="1915">
                  <c:v>44346</c:v>
                </c:pt>
                <c:pt idx="1916">
                  <c:v>44347</c:v>
                </c:pt>
                <c:pt idx="1917">
                  <c:v>44348</c:v>
                </c:pt>
                <c:pt idx="1918">
                  <c:v>44349</c:v>
                </c:pt>
                <c:pt idx="1919">
                  <c:v>44350</c:v>
                </c:pt>
                <c:pt idx="1920">
                  <c:v>44351</c:v>
                </c:pt>
                <c:pt idx="1921">
                  <c:v>44352</c:v>
                </c:pt>
                <c:pt idx="1922">
                  <c:v>44353</c:v>
                </c:pt>
                <c:pt idx="1923">
                  <c:v>44354</c:v>
                </c:pt>
                <c:pt idx="1924">
                  <c:v>44355</c:v>
                </c:pt>
                <c:pt idx="1925">
                  <c:v>44356</c:v>
                </c:pt>
                <c:pt idx="1926">
                  <c:v>44357</c:v>
                </c:pt>
                <c:pt idx="1927">
                  <c:v>44358</c:v>
                </c:pt>
                <c:pt idx="1928">
                  <c:v>44359</c:v>
                </c:pt>
                <c:pt idx="1929">
                  <c:v>44360</c:v>
                </c:pt>
                <c:pt idx="1930">
                  <c:v>44361</c:v>
                </c:pt>
                <c:pt idx="1931">
                  <c:v>44362</c:v>
                </c:pt>
                <c:pt idx="1932">
                  <c:v>44363</c:v>
                </c:pt>
                <c:pt idx="1933">
                  <c:v>44364</c:v>
                </c:pt>
                <c:pt idx="1934">
                  <c:v>44365</c:v>
                </c:pt>
                <c:pt idx="1935">
                  <c:v>44366</c:v>
                </c:pt>
                <c:pt idx="1936">
                  <c:v>44367</c:v>
                </c:pt>
                <c:pt idx="1937">
                  <c:v>44368</c:v>
                </c:pt>
                <c:pt idx="1938">
                  <c:v>44369</c:v>
                </c:pt>
                <c:pt idx="1939">
                  <c:v>44370</c:v>
                </c:pt>
                <c:pt idx="1940">
                  <c:v>44371</c:v>
                </c:pt>
                <c:pt idx="1941">
                  <c:v>44372</c:v>
                </c:pt>
                <c:pt idx="1942">
                  <c:v>44373</c:v>
                </c:pt>
                <c:pt idx="1943">
                  <c:v>44374</c:v>
                </c:pt>
                <c:pt idx="1944">
                  <c:v>44375</c:v>
                </c:pt>
                <c:pt idx="1945">
                  <c:v>44376</c:v>
                </c:pt>
                <c:pt idx="1946">
                  <c:v>44377</c:v>
                </c:pt>
                <c:pt idx="1947">
                  <c:v>44378</c:v>
                </c:pt>
                <c:pt idx="1948">
                  <c:v>44379</c:v>
                </c:pt>
                <c:pt idx="1949">
                  <c:v>44380</c:v>
                </c:pt>
                <c:pt idx="1950">
                  <c:v>44381</c:v>
                </c:pt>
                <c:pt idx="1951">
                  <c:v>44382</c:v>
                </c:pt>
                <c:pt idx="1952">
                  <c:v>44383</c:v>
                </c:pt>
                <c:pt idx="1953">
                  <c:v>44384</c:v>
                </c:pt>
                <c:pt idx="1954">
                  <c:v>44385</c:v>
                </c:pt>
                <c:pt idx="1955">
                  <c:v>44386</c:v>
                </c:pt>
                <c:pt idx="1956">
                  <c:v>44387</c:v>
                </c:pt>
                <c:pt idx="1957">
                  <c:v>44388</c:v>
                </c:pt>
                <c:pt idx="1958">
                  <c:v>44389</c:v>
                </c:pt>
                <c:pt idx="1959">
                  <c:v>44390</c:v>
                </c:pt>
                <c:pt idx="1960">
                  <c:v>44391</c:v>
                </c:pt>
                <c:pt idx="1961">
                  <c:v>44392</c:v>
                </c:pt>
                <c:pt idx="1962">
                  <c:v>44393</c:v>
                </c:pt>
                <c:pt idx="1963">
                  <c:v>44394</c:v>
                </c:pt>
                <c:pt idx="1964">
                  <c:v>44395</c:v>
                </c:pt>
                <c:pt idx="1965">
                  <c:v>44396</c:v>
                </c:pt>
                <c:pt idx="1966">
                  <c:v>44397</c:v>
                </c:pt>
                <c:pt idx="1967">
                  <c:v>44398</c:v>
                </c:pt>
                <c:pt idx="1968">
                  <c:v>44399</c:v>
                </c:pt>
                <c:pt idx="1969">
                  <c:v>44400</c:v>
                </c:pt>
                <c:pt idx="1970">
                  <c:v>44401</c:v>
                </c:pt>
                <c:pt idx="1971">
                  <c:v>44402</c:v>
                </c:pt>
                <c:pt idx="1972">
                  <c:v>44403</c:v>
                </c:pt>
                <c:pt idx="1973">
                  <c:v>44404</c:v>
                </c:pt>
                <c:pt idx="1974">
                  <c:v>44405</c:v>
                </c:pt>
                <c:pt idx="1975">
                  <c:v>44406</c:v>
                </c:pt>
                <c:pt idx="1976">
                  <c:v>44407</c:v>
                </c:pt>
                <c:pt idx="1977">
                  <c:v>44408</c:v>
                </c:pt>
                <c:pt idx="1978">
                  <c:v>44409</c:v>
                </c:pt>
                <c:pt idx="1979">
                  <c:v>44410</c:v>
                </c:pt>
                <c:pt idx="1980">
                  <c:v>44411</c:v>
                </c:pt>
                <c:pt idx="1981">
                  <c:v>44412</c:v>
                </c:pt>
                <c:pt idx="1982">
                  <c:v>44413</c:v>
                </c:pt>
                <c:pt idx="1983">
                  <c:v>44414</c:v>
                </c:pt>
                <c:pt idx="1984">
                  <c:v>44415</c:v>
                </c:pt>
                <c:pt idx="1985">
                  <c:v>44416</c:v>
                </c:pt>
                <c:pt idx="1986">
                  <c:v>44417</c:v>
                </c:pt>
                <c:pt idx="1987">
                  <c:v>44418</c:v>
                </c:pt>
                <c:pt idx="1988">
                  <c:v>44419</c:v>
                </c:pt>
                <c:pt idx="1989">
                  <c:v>44420</c:v>
                </c:pt>
                <c:pt idx="1990">
                  <c:v>44421</c:v>
                </c:pt>
                <c:pt idx="1991">
                  <c:v>44422</c:v>
                </c:pt>
                <c:pt idx="1992">
                  <c:v>44423</c:v>
                </c:pt>
                <c:pt idx="1993">
                  <c:v>44424</c:v>
                </c:pt>
                <c:pt idx="1994">
                  <c:v>44425</c:v>
                </c:pt>
                <c:pt idx="1995">
                  <c:v>44426</c:v>
                </c:pt>
                <c:pt idx="1996">
                  <c:v>44427</c:v>
                </c:pt>
                <c:pt idx="1997">
                  <c:v>44428</c:v>
                </c:pt>
                <c:pt idx="1998">
                  <c:v>44429</c:v>
                </c:pt>
                <c:pt idx="1999">
                  <c:v>44430</c:v>
                </c:pt>
                <c:pt idx="2000">
                  <c:v>44431</c:v>
                </c:pt>
                <c:pt idx="2001">
                  <c:v>44432</c:v>
                </c:pt>
                <c:pt idx="2002">
                  <c:v>44433</c:v>
                </c:pt>
                <c:pt idx="2003">
                  <c:v>44434</c:v>
                </c:pt>
                <c:pt idx="2004">
                  <c:v>44435</c:v>
                </c:pt>
                <c:pt idx="2005">
                  <c:v>44436</c:v>
                </c:pt>
                <c:pt idx="2006">
                  <c:v>44437</c:v>
                </c:pt>
                <c:pt idx="2007">
                  <c:v>44438</c:v>
                </c:pt>
                <c:pt idx="2008">
                  <c:v>44439</c:v>
                </c:pt>
                <c:pt idx="2009">
                  <c:v>44440</c:v>
                </c:pt>
                <c:pt idx="2010">
                  <c:v>44441</c:v>
                </c:pt>
                <c:pt idx="2011">
                  <c:v>44442</c:v>
                </c:pt>
                <c:pt idx="2012">
                  <c:v>44443</c:v>
                </c:pt>
                <c:pt idx="2013">
                  <c:v>44444</c:v>
                </c:pt>
                <c:pt idx="2014">
                  <c:v>44445</c:v>
                </c:pt>
                <c:pt idx="2015">
                  <c:v>44446</c:v>
                </c:pt>
                <c:pt idx="2016">
                  <c:v>44447</c:v>
                </c:pt>
                <c:pt idx="2017">
                  <c:v>44448</c:v>
                </c:pt>
                <c:pt idx="2018">
                  <c:v>44449</c:v>
                </c:pt>
                <c:pt idx="2019">
                  <c:v>44450</c:v>
                </c:pt>
                <c:pt idx="2020">
                  <c:v>44451</c:v>
                </c:pt>
                <c:pt idx="2021">
                  <c:v>44452</c:v>
                </c:pt>
                <c:pt idx="2022">
                  <c:v>44453</c:v>
                </c:pt>
                <c:pt idx="2023">
                  <c:v>44454</c:v>
                </c:pt>
                <c:pt idx="2024">
                  <c:v>44455</c:v>
                </c:pt>
                <c:pt idx="2025">
                  <c:v>44456</c:v>
                </c:pt>
                <c:pt idx="2026">
                  <c:v>44457</c:v>
                </c:pt>
                <c:pt idx="2027">
                  <c:v>44458</c:v>
                </c:pt>
                <c:pt idx="2028">
                  <c:v>44459</c:v>
                </c:pt>
                <c:pt idx="2029">
                  <c:v>44460</c:v>
                </c:pt>
                <c:pt idx="2030">
                  <c:v>44461</c:v>
                </c:pt>
                <c:pt idx="2031">
                  <c:v>44462</c:v>
                </c:pt>
                <c:pt idx="2032">
                  <c:v>44463</c:v>
                </c:pt>
                <c:pt idx="2033">
                  <c:v>44464</c:v>
                </c:pt>
                <c:pt idx="2034">
                  <c:v>44465</c:v>
                </c:pt>
                <c:pt idx="2035">
                  <c:v>44466</c:v>
                </c:pt>
                <c:pt idx="2036">
                  <c:v>44467</c:v>
                </c:pt>
                <c:pt idx="2037">
                  <c:v>44468</c:v>
                </c:pt>
                <c:pt idx="2038">
                  <c:v>44469</c:v>
                </c:pt>
                <c:pt idx="2039">
                  <c:v>44470</c:v>
                </c:pt>
                <c:pt idx="2040">
                  <c:v>44471</c:v>
                </c:pt>
                <c:pt idx="2041">
                  <c:v>44472</c:v>
                </c:pt>
                <c:pt idx="2042">
                  <c:v>44473</c:v>
                </c:pt>
                <c:pt idx="2043">
                  <c:v>44474</c:v>
                </c:pt>
                <c:pt idx="2044">
                  <c:v>44475</c:v>
                </c:pt>
                <c:pt idx="2045">
                  <c:v>44476</c:v>
                </c:pt>
                <c:pt idx="2046">
                  <c:v>44477</c:v>
                </c:pt>
                <c:pt idx="2047">
                  <c:v>44478</c:v>
                </c:pt>
                <c:pt idx="2048">
                  <c:v>44479</c:v>
                </c:pt>
                <c:pt idx="2049">
                  <c:v>44480</c:v>
                </c:pt>
                <c:pt idx="2050">
                  <c:v>44481</c:v>
                </c:pt>
                <c:pt idx="2051">
                  <c:v>44482</c:v>
                </c:pt>
                <c:pt idx="2052">
                  <c:v>44483</c:v>
                </c:pt>
                <c:pt idx="2053">
                  <c:v>44484</c:v>
                </c:pt>
                <c:pt idx="2054">
                  <c:v>44485</c:v>
                </c:pt>
                <c:pt idx="2055">
                  <c:v>44486</c:v>
                </c:pt>
                <c:pt idx="2056">
                  <c:v>44487</c:v>
                </c:pt>
                <c:pt idx="2057">
                  <c:v>44488</c:v>
                </c:pt>
                <c:pt idx="2058">
                  <c:v>44489</c:v>
                </c:pt>
                <c:pt idx="2059">
                  <c:v>44490</c:v>
                </c:pt>
                <c:pt idx="2060">
                  <c:v>44491</c:v>
                </c:pt>
                <c:pt idx="2061">
                  <c:v>44492</c:v>
                </c:pt>
                <c:pt idx="2062">
                  <c:v>44493</c:v>
                </c:pt>
                <c:pt idx="2063">
                  <c:v>44494</c:v>
                </c:pt>
                <c:pt idx="2064">
                  <c:v>44495</c:v>
                </c:pt>
                <c:pt idx="2065">
                  <c:v>44496</c:v>
                </c:pt>
                <c:pt idx="2066">
                  <c:v>44497</c:v>
                </c:pt>
                <c:pt idx="2067">
                  <c:v>44498</c:v>
                </c:pt>
                <c:pt idx="2068">
                  <c:v>44499</c:v>
                </c:pt>
                <c:pt idx="2069">
                  <c:v>44500</c:v>
                </c:pt>
                <c:pt idx="2070">
                  <c:v>44501</c:v>
                </c:pt>
                <c:pt idx="2071">
                  <c:v>44502</c:v>
                </c:pt>
                <c:pt idx="2072">
                  <c:v>44503</c:v>
                </c:pt>
                <c:pt idx="2073">
                  <c:v>44504</c:v>
                </c:pt>
                <c:pt idx="2074">
                  <c:v>44505</c:v>
                </c:pt>
                <c:pt idx="2075">
                  <c:v>44506</c:v>
                </c:pt>
                <c:pt idx="2076">
                  <c:v>44507</c:v>
                </c:pt>
                <c:pt idx="2077">
                  <c:v>44508</c:v>
                </c:pt>
                <c:pt idx="2078">
                  <c:v>44509</c:v>
                </c:pt>
                <c:pt idx="2079">
                  <c:v>44510</c:v>
                </c:pt>
                <c:pt idx="2080">
                  <c:v>44511</c:v>
                </c:pt>
                <c:pt idx="2081">
                  <c:v>44512</c:v>
                </c:pt>
                <c:pt idx="2082">
                  <c:v>44513</c:v>
                </c:pt>
                <c:pt idx="2083">
                  <c:v>44514</c:v>
                </c:pt>
                <c:pt idx="2084">
                  <c:v>44515</c:v>
                </c:pt>
                <c:pt idx="2085">
                  <c:v>44516</c:v>
                </c:pt>
                <c:pt idx="2086">
                  <c:v>44517</c:v>
                </c:pt>
                <c:pt idx="2087">
                  <c:v>44518</c:v>
                </c:pt>
                <c:pt idx="2088">
                  <c:v>44519</c:v>
                </c:pt>
                <c:pt idx="2089">
                  <c:v>44520</c:v>
                </c:pt>
                <c:pt idx="2090">
                  <c:v>44521</c:v>
                </c:pt>
                <c:pt idx="2091">
                  <c:v>44522</c:v>
                </c:pt>
                <c:pt idx="2092">
                  <c:v>44523</c:v>
                </c:pt>
                <c:pt idx="2093">
                  <c:v>44524</c:v>
                </c:pt>
                <c:pt idx="2094">
                  <c:v>44525</c:v>
                </c:pt>
                <c:pt idx="2095">
                  <c:v>44526</c:v>
                </c:pt>
                <c:pt idx="2096">
                  <c:v>44527</c:v>
                </c:pt>
                <c:pt idx="2097">
                  <c:v>44528</c:v>
                </c:pt>
                <c:pt idx="2098">
                  <c:v>44529</c:v>
                </c:pt>
                <c:pt idx="2099">
                  <c:v>44530</c:v>
                </c:pt>
                <c:pt idx="2100">
                  <c:v>44531</c:v>
                </c:pt>
                <c:pt idx="2101">
                  <c:v>44532</c:v>
                </c:pt>
                <c:pt idx="2102">
                  <c:v>44533</c:v>
                </c:pt>
                <c:pt idx="2103">
                  <c:v>44534</c:v>
                </c:pt>
                <c:pt idx="2104">
                  <c:v>44535</c:v>
                </c:pt>
                <c:pt idx="2105">
                  <c:v>44536</c:v>
                </c:pt>
                <c:pt idx="2106">
                  <c:v>44537</c:v>
                </c:pt>
                <c:pt idx="2107">
                  <c:v>44538</c:v>
                </c:pt>
                <c:pt idx="2108">
                  <c:v>44539</c:v>
                </c:pt>
                <c:pt idx="2109">
                  <c:v>44540</c:v>
                </c:pt>
                <c:pt idx="2110">
                  <c:v>44541</c:v>
                </c:pt>
                <c:pt idx="2111">
                  <c:v>44542</c:v>
                </c:pt>
                <c:pt idx="2112">
                  <c:v>44543</c:v>
                </c:pt>
                <c:pt idx="2113">
                  <c:v>44544</c:v>
                </c:pt>
                <c:pt idx="2114">
                  <c:v>44545</c:v>
                </c:pt>
                <c:pt idx="2115">
                  <c:v>44546</c:v>
                </c:pt>
                <c:pt idx="2116">
                  <c:v>44547</c:v>
                </c:pt>
                <c:pt idx="2117">
                  <c:v>44548</c:v>
                </c:pt>
                <c:pt idx="2118">
                  <c:v>44549</c:v>
                </c:pt>
                <c:pt idx="2119">
                  <c:v>44550</c:v>
                </c:pt>
                <c:pt idx="2120">
                  <c:v>44551</c:v>
                </c:pt>
                <c:pt idx="2121">
                  <c:v>44552</c:v>
                </c:pt>
                <c:pt idx="2122">
                  <c:v>44553</c:v>
                </c:pt>
                <c:pt idx="2123">
                  <c:v>44554</c:v>
                </c:pt>
                <c:pt idx="2124">
                  <c:v>44555</c:v>
                </c:pt>
                <c:pt idx="2125">
                  <c:v>44556</c:v>
                </c:pt>
                <c:pt idx="2126">
                  <c:v>44557</c:v>
                </c:pt>
                <c:pt idx="2127">
                  <c:v>44558</c:v>
                </c:pt>
                <c:pt idx="2128">
                  <c:v>44559</c:v>
                </c:pt>
                <c:pt idx="2129">
                  <c:v>44560</c:v>
                </c:pt>
                <c:pt idx="2130">
                  <c:v>44561</c:v>
                </c:pt>
                <c:pt idx="2131">
                  <c:v>44562</c:v>
                </c:pt>
                <c:pt idx="2132">
                  <c:v>44563</c:v>
                </c:pt>
                <c:pt idx="2133">
                  <c:v>44564</c:v>
                </c:pt>
                <c:pt idx="2134">
                  <c:v>44565</c:v>
                </c:pt>
                <c:pt idx="2135">
                  <c:v>44566</c:v>
                </c:pt>
                <c:pt idx="2136">
                  <c:v>44567</c:v>
                </c:pt>
                <c:pt idx="2137">
                  <c:v>44568</c:v>
                </c:pt>
                <c:pt idx="2138">
                  <c:v>44569</c:v>
                </c:pt>
                <c:pt idx="2139">
                  <c:v>44570</c:v>
                </c:pt>
                <c:pt idx="2140">
                  <c:v>44571</c:v>
                </c:pt>
                <c:pt idx="2141">
                  <c:v>44572</c:v>
                </c:pt>
                <c:pt idx="2142">
                  <c:v>44573</c:v>
                </c:pt>
                <c:pt idx="2143">
                  <c:v>44574</c:v>
                </c:pt>
                <c:pt idx="2144">
                  <c:v>44575</c:v>
                </c:pt>
                <c:pt idx="2145">
                  <c:v>44576</c:v>
                </c:pt>
                <c:pt idx="2146">
                  <c:v>44577</c:v>
                </c:pt>
                <c:pt idx="2147">
                  <c:v>44578</c:v>
                </c:pt>
                <c:pt idx="2148">
                  <c:v>44579</c:v>
                </c:pt>
                <c:pt idx="2149">
                  <c:v>44580</c:v>
                </c:pt>
                <c:pt idx="2150">
                  <c:v>44581</c:v>
                </c:pt>
                <c:pt idx="2151">
                  <c:v>44582</c:v>
                </c:pt>
                <c:pt idx="2152">
                  <c:v>44583</c:v>
                </c:pt>
                <c:pt idx="2153">
                  <c:v>44584</c:v>
                </c:pt>
                <c:pt idx="2154">
                  <c:v>44585</c:v>
                </c:pt>
                <c:pt idx="2155">
                  <c:v>44586</c:v>
                </c:pt>
                <c:pt idx="2156">
                  <c:v>44587</c:v>
                </c:pt>
                <c:pt idx="2157">
                  <c:v>44588</c:v>
                </c:pt>
                <c:pt idx="2158">
                  <c:v>44589</c:v>
                </c:pt>
                <c:pt idx="2159">
                  <c:v>44590</c:v>
                </c:pt>
                <c:pt idx="2160">
                  <c:v>44591</c:v>
                </c:pt>
                <c:pt idx="2161">
                  <c:v>44592</c:v>
                </c:pt>
                <c:pt idx="2162">
                  <c:v>44593</c:v>
                </c:pt>
                <c:pt idx="2163">
                  <c:v>44594</c:v>
                </c:pt>
                <c:pt idx="2164">
                  <c:v>44595</c:v>
                </c:pt>
                <c:pt idx="2165">
                  <c:v>44596</c:v>
                </c:pt>
                <c:pt idx="2166">
                  <c:v>44597</c:v>
                </c:pt>
                <c:pt idx="2167">
                  <c:v>44598</c:v>
                </c:pt>
                <c:pt idx="2168">
                  <c:v>44599</c:v>
                </c:pt>
                <c:pt idx="2169">
                  <c:v>44600</c:v>
                </c:pt>
                <c:pt idx="2170">
                  <c:v>44601</c:v>
                </c:pt>
                <c:pt idx="2171">
                  <c:v>44602</c:v>
                </c:pt>
                <c:pt idx="2172">
                  <c:v>44603</c:v>
                </c:pt>
                <c:pt idx="2173">
                  <c:v>44604</c:v>
                </c:pt>
                <c:pt idx="2174">
                  <c:v>44605</c:v>
                </c:pt>
                <c:pt idx="2175">
                  <c:v>44606</c:v>
                </c:pt>
                <c:pt idx="2176">
                  <c:v>44607</c:v>
                </c:pt>
                <c:pt idx="2177">
                  <c:v>44608</c:v>
                </c:pt>
                <c:pt idx="2178">
                  <c:v>44609</c:v>
                </c:pt>
                <c:pt idx="2179">
                  <c:v>44610</c:v>
                </c:pt>
                <c:pt idx="2180">
                  <c:v>44611</c:v>
                </c:pt>
                <c:pt idx="2181">
                  <c:v>44612</c:v>
                </c:pt>
                <c:pt idx="2182">
                  <c:v>44613</c:v>
                </c:pt>
                <c:pt idx="2183">
                  <c:v>44614</c:v>
                </c:pt>
                <c:pt idx="2184">
                  <c:v>44615</c:v>
                </c:pt>
                <c:pt idx="2185">
                  <c:v>44616</c:v>
                </c:pt>
                <c:pt idx="2186">
                  <c:v>44617</c:v>
                </c:pt>
                <c:pt idx="2187">
                  <c:v>44618</c:v>
                </c:pt>
                <c:pt idx="2188">
                  <c:v>44619</c:v>
                </c:pt>
                <c:pt idx="2189">
                  <c:v>44620</c:v>
                </c:pt>
                <c:pt idx="2190">
                  <c:v>44621</c:v>
                </c:pt>
                <c:pt idx="2191">
                  <c:v>44622</c:v>
                </c:pt>
                <c:pt idx="2192">
                  <c:v>44623</c:v>
                </c:pt>
                <c:pt idx="2193">
                  <c:v>44624</c:v>
                </c:pt>
                <c:pt idx="2194">
                  <c:v>44625</c:v>
                </c:pt>
                <c:pt idx="2195">
                  <c:v>44626</c:v>
                </c:pt>
                <c:pt idx="2196">
                  <c:v>44627</c:v>
                </c:pt>
                <c:pt idx="2197">
                  <c:v>44628</c:v>
                </c:pt>
                <c:pt idx="2198">
                  <c:v>44629</c:v>
                </c:pt>
                <c:pt idx="2199">
                  <c:v>44630</c:v>
                </c:pt>
                <c:pt idx="2200">
                  <c:v>44631</c:v>
                </c:pt>
                <c:pt idx="2201">
                  <c:v>44632</c:v>
                </c:pt>
                <c:pt idx="2202">
                  <c:v>44633</c:v>
                </c:pt>
                <c:pt idx="2203">
                  <c:v>44634</c:v>
                </c:pt>
                <c:pt idx="2204">
                  <c:v>44635</c:v>
                </c:pt>
                <c:pt idx="2205">
                  <c:v>44636</c:v>
                </c:pt>
                <c:pt idx="2206">
                  <c:v>44637</c:v>
                </c:pt>
                <c:pt idx="2207">
                  <c:v>44638</c:v>
                </c:pt>
                <c:pt idx="2208">
                  <c:v>44639</c:v>
                </c:pt>
                <c:pt idx="2209">
                  <c:v>44640</c:v>
                </c:pt>
                <c:pt idx="2210">
                  <c:v>44641</c:v>
                </c:pt>
                <c:pt idx="2211">
                  <c:v>44642</c:v>
                </c:pt>
                <c:pt idx="2212">
                  <c:v>44643</c:v>
                </c:pt>
                <c:pt idx="2213">
                  <c:v>44644</c:v>
                </c:pt>
                <c:pt idx="2214">
                  <c:v>44645</c:v>
                </c:pt>
                <c:pt idx="2215">
                  <c:v>44646</c:v>
                </c:pt>
                <c:pt idx="2216">
                  <c:v>44647</c:v>
                </c:pt>
                <c:pt idx="2217">
                  <c:v>44648</c:v>
                </c:pt>
                <c:pt idx="2218">
                  <c:v>44649</c:v>
                </c:pt>
                <c:pt idx="2219">
                  <c:v>44650</c:v>
                </c:pt>
                <c:pt idx="2220">
                  <c:v>44651</c:v>
                </c:pt>
                <c:pt idx="2221">
                  <c:v>44652</c:v>
                </c:pt>
                <c:pt idx="2222">
                  <c:v>44653</c:v>
                </c:pt>
                <c:pt idx="2223">
                  <c:v>44654</c:v>
                </c:pt>
                <c:pt idx="2224">
                  <c:v>44655</c:v>
                </c:pt>
                <c:pt idx="2225">
                  <c:v>44656</c:v>
                </c:pt>
                <c:pt idx="2226">
                  <c:v>44657</c:v>
                </c:pt>
                <c:pt idx="2227">
                  <c:v>44658</c:v>
                </c:pt>
                <c:pt idx="2228">
                  <c:v>44659</c:v>
                </c:pt>
                <c:pt idx="2229">
                  <c:v>44660</c:v>
                </c:pt>
                <c:pt idx="2230">
                  <c:v>44661</c:v>
                </c:pt>
                <c:pt idx="2231">
                  <c:v>44662</c:v>
                </c:pt>
                <c:pt idx="2232">
                  <c:v>44663</c:v>
                </c:pt>
                <c:pt idx="2233">
                  <c:v>44664</c:v>
                </c:pt>
                <c:pt idx="2234">
                  <c:v>44665</c:v>
                </c:pt>
                <c:pt idx="2235">
                  <c:v>44666</c:v>
                </c:pt>
                <c:pt idx="2236">
                  <c:v>44667</c:v>
                </c:pt>
                <c:pt idx="2237">
                  <c:v>44668</c:v>
                </c:pt>
                <c:pt idx="2238">
                  <c:v>44669</c:v>
                </c:pt>
                <c:pt idx="2239">
                  <c:v>44670</c:v>
                </c:pt>
                <c:pt idx="2240">
                  <c:v>44671</c:v>
                </c:pt>
                <c:pt idx="2241">
                  <c:v>44672</c:v>
                </c:pt>
                <c:pt idx="2242">
                  <c:v>44673</c:v>
                </c:pt>
                <c:pt idx="2243">
                  <c:v>44674</c:v>
                </c:pt>
                <c:pt idx="2244">
                  <c:v>44675</c:v>
                </c:pt>
                <c:pt idx="2245">
                  <c:v>44676</c:v>
                </c:pt>
                <c:pt idx="2246">
                  <c:v>44677</c:v>
                </c:pt>
                <c:pt idx="2247">
                  <c:v>44678</c:v>
                </c:pt>
                <c:pt idx="2248">
                  <c:v>44679</c:v>
                </c:pt>
                <c:pt idx="2249">
                  <c:v>44680</c:v>
                </c:pt>
                <c:pt idx="2250">
                  <c:v>44681</c:v>
                </c:pt>
                <c:pt idx="2251">
                  <c:v>44682</c:v>
                </c:pt>
                <c:pt idx="2252">
                  <c:v>44683</c:v>
                </c:pt>
                <c:pt idx="2253">
                  <c:v>44684</c:v>
                </c:pt>
                <c:pt idx="2254">
                  <c:v>44685</c:v>
                </c:pt>
                <c:pt idx="2255">
                  <c:v>44686</c:v>
                </c:pt>
                <c:pt idx="2256">
                  <c:v>44687</c:v>
                </c:pt>
                <c:pt idx="2257">
                  <c:v>44688</c:v>
                </c:pt>
                <c:pt idx="2258">
                  <c:v>44689</c:v>
                </c:pt>
                <c:pt idx="2259">
                  <c:v>44690</c:v>
                </c:pt>
                <c:pt idx="2260">
                  <c:v>44691</c:v>
                </c:pt>
                <c:pt idx="2261">
                  <c:v>44692</c:v>
                </c:pt>
                <c:pt idx="2262">
                  <c:v>44693</c:v>
                </c:pt>
                <c:pt idx="2263">
                  <c:v>44694</c:v>
                </c:pt>
                <c:pt idx="2264">
                  <c:v>44695</c:v>
                </c:pt>
                <c:pt idx="2265">
                  <c:v>44696</c:v>
                </c:pt>
                <c:pt idx="2266">
                  <c:v>44697</c:v>
                </c:pt>
                <c:pt idx="2267">
                  <c:v>44698</c:v>
                </c:pt>
                <c:pt idx="2268">
                  <c:v>44699</c:v>
                </c:pt>
                <c:pt idx="2269">
                  <c:v>44700</c:v>
                </c:pt>
                <c:pt idx="2270">
                  <c:v>44701</c:v>
                </c:pt>
                <c:pt idx="2271">
                  <c:v>44702</c:v>
                </c:pt>
                <c:pt idx="2272">
                  <c:v>44703</c:v>
                </c:pt>
                <c:pt idx="2273">
                  <c:v>44704</c:v>
                </c:pt>
                <c:pt idx="2274">
                  <c:v>44705</c:v>
                </c:pt>
                <c:pt idx="2275">
                  <c:v>44706</c:v>
                </c:pt>
                <c:pt idx="2276">
                  <c:v>44707</c:v>
                </c:pt>
                <c:pt idx="2277">
                  <c:v>44708</c:v>
                </c:pt>
                <c:pt idx="2278">
                  <c:v>44709</c:v>
                </c:pt>
                <c:pt idx="2279">
                  <c:v>44710</c:v>
                </c:pt>
                <c:pt idx="2280">
                  <c:v>44711</c:v>
                </c:pt>
                <c:pt idx="2281">
                  <c:v>44712</c:v>
                </c:pt>
                <c:pt idx="2282">
                  <c:v>44713</c:v>
                </c:pt>
                <c:pt idx="2283">
                  <c:v>44714</c:v>
                </c:pt>
                <c:pt idx="2284">
                  <c:v>44715</c:v>
                </c:pt>
                <c:pt idx="2285">
                  <c:v>44716</c:v>
                </c:pt>
                <c:pt idx="2286">
                  <c:v>44717</c:v>
                </c:pt>
                <c:pt idx="2287">
                  <c:v>44718</c:v>
                </c:pt>
                <c:pt idx="2288">
                  <c:v>44719</c:v>
                </c:pt>
                <c:pt idx="2289">
                  <c:v>44720</c:v>
                </c:pt>
                <c:pt idx="2290">
                  <c:v>44721</c:v>
                </c:pt>
                <c:pt idx="2291">
                  <c:v>44722</c:v>
                </c:pt>
                <c:pt idx="2292">
                  <c:v>44723</c:v>
                </c:pt>
                <c:pt idx="2293">
                  <c:v>44724</c:v>
                </c:pt>
                <c:pt idx="2294">
                  <c:v>44725</c:v>
                </c:pt>
                <c:pt idx="2295">
                  <c:v>44726</c:v>
                </c:pt>
                <c:pt idx="2296">
                  <c:v>44727</c:v>
                </c:pt>
                <c:pt idx="2297">
                  <c:v>44728</c:v>
                </c:pt>
                <c:pt idx="2298">
                  <c:v>44729</c:v>
                </c:pt>
                <c:pt idx="2299">
                  <c:v>44730</c:v>
                </c:pt>
                <c:pt idx="2300">
                  <c:v>44731</c:v>
                </c:pt>
                <c:pt idx="2301">
                  <c:v>44732</c:v>
                </c:pt>
                <c:pt idx="2302">
                  <c:v>44733</c:v>
                </c:pt>
                <c:pt idx="2303">
                  <c:v>44734</c:v>
                </c:pt>
                <c:pt idx="2304">
                  <c:v>44735</c:v>
                </c:pt>
                <c:pt idx="2305">
                  <c:v>44736</c:v>
                </c:pt>
                <c:pt idx="2306">
                  <c:v>44737</c:v>
                </c:pt>
                <c:pt idx="2307">
                  <c:v>44738</c:v>
                </c:pt>
                <c:pt idx="2308">
                  <c:v>44739</c:v>
                </c:pt>
                <c:pt idx="2309">
                  <c:v>44740</c:v>
                </c:pt>
                <c:pt idx="2310">
                  <c:v>44741</c:v>
                </c:pt>
                <c:pt idx="2311">
                  <c:v>44742</c:v>
                </c:pt>
                <c:pt idx="2312">
                  <c:v>44743</c:v>
                </c:pt>
                <c:pt idx="2313">
                  <c:v>44744</c:v>
                </c:pt>
                <c:pt idx="2314">
                  <c:v>44745</c:v>
                </c:pt>
                <c:pt idx="2315">
                  <c:v>44746</c:v>
                </c:pt>
                <c:pt idx="2316">
                  <c:v>44747</c:v>
                </c:pt>
                <c:pt idx="2317">
                  <c:v>44748</c:v>
                </c:pt>
                <c:pt idx="2318">
                  <c:v>44749</c:v>
                </c:pt>
                <c:pt idx="2319">
                  <c:v>44750</c:v>
                </c:pt>
                <c:pt idx="2320">
                  <c:v>44751</c:v>
                </c:pt>
                <c:pt idx="2321">
                  <c:v>44752</c:v>
                </c:pt>
                <c:pt idx="2322">
                  <c:v>44753</c:v>
                </c:pt>
                <c:pt idx="2323">
                  <c:v>44754</c:v>
                </c:pt>
                <c:pt idx="2324">
                  <c:v>44755</c:v>
                </c:pt>
                <c:pt idx="2325">
                  <c:v>44756</c:v>
                </c:pt>
                <c:pt idx="2326">
                  <c:v>44757</c:v>
                </c:pt>
                <c:pt idx="2327">
                  <c:v>44758</c:v>
                </c:pt>
                <c:pt idx="2328">
                  <c:v>44759</c:v>
                </c:pt>
                <c:pt idx="2329">
                  <c:v>44760</c:v>
                </c:pt>
                <c:pt idx="2330">
                  <c:v>44761</c:v>
                </c:pt>
                <c:pt idx="2331">
                  <c:v>44762</c:v>
                </c:pt>
                <c:pt idx="2332">
                  <c:v>44763</c:v>
                </c:pt>
                <c:pt idx="2333">
                  <c:v>44764</c:v>
                </c:pt>
                <c:pt idx="2334">
                  <c:v>44765</c:v>
                </c:pt>
                <c:pt idx="2335">
                  <c:v>44766</c:v>
                </c:pt>
                <c:pt idx="2336">
                  <c:v>44767</c:v>
                </c:pt>
                <c:pt idx="2337">
                  <c:v>44768</c:v>
                </c:pt>
                <c:pt idx="2338">
                  <c:v>44769</c:v>
                </c:pt>
                <c:pt idx="2339">
                  <c:v>44770</c:v>
                </c:pt>
                <c:pt idx="2340">
                  <c:v>44771</c:v>
                </c:pt>
                <c:pt idx="2341">
                  <c:v>44772</c:v>
                </c:pt>
                <c:pt idx="2342">
                  <c:v>44773</c:v>
                </c:pt>
                <c:pt idx="2343">
                  <c:v>44774</c:v>
                </c:pt>
                <c:pt idx="2344">
                  <c:v>44775</c:v>
                </c:pt>
                <c:pt idx="2345">
                  <c:v>44776</c:v>
                </c:pt>
                <c:pt idx="2346">
                  <c:v>44777</c:v>
                </c:pt>
                <c:pt idx="2347">
                  <c:v>44778</c:v>
                </c:pt>
                <c:pt idx="2348">
                  <c:v>44779</c:v>
                </c:pt>
                <c:pt idx="2349">
                  <c:v>44780</c:v>
                </c:pt>
                <c:pt idx="2350">
                  <c:v>44781</c:v>
                </c:pt>
                <c:pt idx="2351">
                  <c:v>44782</c:v>
                </c:pt>
                <c:pt idx="2352">
                  <c:v>44783</c:v>
                </c:pt>
                <c:pt idx="2353">
                  <c:v>44784</c:v>
                </c:pt>
                <c:pt idx="2354">
                  <c:v>44785</c:v>
                </c:pt>
                <c:pt idx="2355">
                  <c:v>44786</c:v>
                </c:pt>
                <c:pt idx="2356">
                  <c:v>44787</c:v>
                </c:pt>
                <c:pt idx="2357">
                  <c:v>44788</c:v>
                </c:pt>
                <c:pt idx="2358">
                  <c:v>44789</c:v>
                </c:pt>
                <c:pt idx="2359">
                  <c:v>44790</c:v>
                </c:pt>
                <c:pt idx="2360">
                  <c:v>44791</c:v>
                </c:pt>
                <c:pt idx="2361">
                  <c:v>44792</c:v>
                </c:pt>
                <c:pt idx="2362">
                  <c:v>44793</c:v>
                </c:pt>
                <c:pt idx="2363">
                  <c:v>44794</c:v>
                </c:pt>
                <c:pt idx="2364">
                  <c:v>44795</c:v>
                </c:pt>
                <c:pt idx="2365">
                  <c:v>44796</c:v>
                </c:pt>
                <c:pt idx="2366">
                  <c:v>44797</c:v>
                </c:pt>
                <c:pt idx="2367">
                  <c:v>44798</c:v>
                </c:pt>
                <c:pt idx="2368">
                  <c:v>44799</c:v>
                </c:pt>
                <c:pt idx="2369">
                  <c:v>44800</c:v>
                </c:pt>
                <c:pt idx="2370">
                  <c:v>44801</c:v>
                </c:pt>
                <c:pt idx="2371">
                  <c:v>44802</c:v>
                </c:pt>
                <c:pt idx="2372">
                  <c:v>44803</c:v>
                </c:pt>
                <c:pt idx="2373">
                  <c:v>44804</c:v>
                </c:pt>
                <c:pt idx="2374">
                  <c:v>44805</c:v>
                </c:pt>
                <c:pt idx="2375">
                  <c:v>44806</c:v>
                </c:pt>
                <c:pt idx="2376">
                  <c:v>44807</c:v>
                </c:pt>
                <c:pt idx="2377">
                  <c:v>44808</c:v>
                </c:pt>
                <c:pt idx="2378">
                  <c:v>44809</c:v>
                </c:pt>
                <c:pt idx="2379">
                  <c:v>44810</c:v>
                </c:pt>
                <c:pt idx="2380">
                  <c:v>44811</c:v>
                </c:pt>
                <c:pt idx="2381">
                  <c:v>44812</c:v>
                </c:pt>
                <c:pt idx="2382">
                  <c:v>44813</c:v>
                </c:pt>
                <c:pt idx="2383">
                  <c:v>44814</c:v>
                </c:pt>
                <c:pt idx="2384">
                  <c:v>44815</c:v>
                </c:pt>
                <c:pt idx="2385">
                  <c:v>44816</c:v>
                </c:pt>
                <c:pt idx="2386">
                  <c:v>44817</c:v>
                </c:pt>
                <c:pt idx="2387">
                  <c:v>44818</c:v>
                </c:pt>
                <c:pt idx="2388">
                  <c:v>44819</c:v>
                </c:pt>
                <c:pt idx="2389">
                  <c:v>44820</c:v>
                </c:pt>
                <c:pt idx="2390">
                  <c:v>44821</c:v>
                </c:pt>
                <c:pt idx="2391">
                  <c:v>44822</c:v>
                </c:pt>
                <c:pt idx="2392">
                  <c:v>44823</c:v>
                </c:pt>
                <c:pt idx="2393">
                  <c:v>44824</c:v>
                </c:pt>
                <c:pt idx="2394">
                  <c:v>44825</c:v>
                </c:pt>
                <c:pt idx="2395">
                  <c:v>44826</c:v>
                </c:pt>
                <c:pt idx="2396">
                  <c:v>44827</c:v>
                </c:pt>
                <c:pt idx="2397">
                  <c:v>44828</c:v>
                </c:pt>
                <c:pt idx="2398">
                  <c:v>44829</c:v>
                </c:pt>
                <c:pt idx="2399">
                  <c:v>44830</c:v>
                </c:pt>
                <c:pt idx="2400">
                  <c:v>44831</c:v>
                </c:pt>
                <c:pt idx="2401">
                  <c:v>44832</c:v>
                </c:pt>
                <c:pt idx="2402">
                  <c:v>44833</c:v>
                </c:pt>
                <c:pt idx="2403">
                  <c:v>44834</c:v>
                </c:pt>
                <c:pt idx="2404">
                  <c:v>44835</c:v>
                </c:pt>
                <c:pt idx="2405">
                  <c:v>44836</c:v>
                </c:pt>
                <c:pt idx="2406">
                  <c:v>44837</c:v>
                </c:pt>
                <c:pt idx="2407">
                  <c:v>44838</c:v>
                </c:pt>
                <c:pt idx="2408">
                  <c:v>44839</c:v>
                </c:pt>
                <c:pt idx="2409">
                  <c:v>44840</c:v>
                </c:pt>
                <c:pt idx="2410">
                  <c:v>44841</c:v>
                </c:pt>
                <c:pt idx="2411">
                  <c:v>44842</c:v>
                </c:pt>
                <c:pt idx="2412">
                  <c:v>44843</c:v>
                </c:pt>
                <c:pt idx="2413">
                  <c:v>44844</c:v>
                </c:pt>
                <c:pt idx="2414">
                  <c:v>44845</c:v>
                </c:pt>
                <c:pt idx="2415">
                  <c:v>44846</c:v>
                </c:pt>
                <c:pt idx="2416">
                  <c:v>44847</c:v>
                </c:pt>
                <c:pt idx="2417">
                  <c:v>44848</c:v>
                </c:pt>
                <c:pt idx="2418">
                  <c:v>44849</c:v>
                </c:pt>
                <c:pt idx="2419">
                  <c:v>44850</c:v>
                </c:pt>
                <c:pt idx="2420">
                  <c:v>44851</c:v>
                </c:pt>
                <c:pt idx="2421">
                  <c:v>44852</c:v>
                </c:pt>
                <c:pt idx="2422">
                  <c:v>44853</c:v>
                </c:pt>
                <c:pt idx="2423">
                  <c:v>44854</c:v>
                </c:pt>
                <c:pt idx="2424">
                  <c:v>44855</c:v>
                </c:pt>
                <c:pt idx="2425">
                  <c:v>44856</c:v>
                </c:pt>
                <c:pt idx="2426">
                  <c:v>44857</c:v>
                </c:pt>
                <c:pt idx="2427">
                  <c:v>44858</c:v>
                </c:pt>
                <c:pt idx="2428">
                  <c:v>44859</c:v>
                </c:pt>
                <c:pt idx="2429">
                  <c:v>44860</c:v>
                </c:pt>
                <c:pt idx="2430">
                  <c:v>44861</c:v>
                </c:pt>
                <c:pt idx="2431">
                  <c:v>44862</c:v>
                </c:pt>
                <c:pt idx="2432">
                  <c:v>44863</c:v>
                </c:pt>
                <c:pt idx="2433">
                  <c:v>44864</c:v>
                </c:pt>
                <c:pt idx="2434">
                  <c:v>44865</c:v>
                </c:pt>
                <c:pt idx="2435">
                  <c:v>44866</c:v>
                </c:pt>
                <c:pt idx="2436">
                  <c:v>44867</c:v>
                </c:pt>
                <c:pt idx="2437">
                  <c:v>44868</c:v>
                </c:pt>
                <c:pt idx="2438">
                  <c:v>44869</c:v>
                </c:pt>
                <c:pt idx="2439">
                  <c:v>44870</c:v>
                </c:pt>
                <c:pt idx="2440">
                  <c:v>44871</c:v>
                </c:pt>
                <c:pt idx="2441">
                  <c:v>44872</c:v>
                </c:pt>
                <c:pt idx="2442">
                  <c:v>44873</c:v>
                </c:pt>
                <c:pt idx="2443">
                  <c:v>44874</c:v>
                </c:pt>
                <c:pt idx="2444">
                  <c:v>44875</c:v>
                </c:pt>
                <c:pt idx="2445">
                  <c:v>44876</c:v>
                </c:pt>
                <c:pt idx="2446">
                  <c:v>44877</c:v>
                </c:pt>
                <c:pt idx="2447">
                  <c:v>44878</c:v>
                </c:pt>
                <c:pt idx="2448">
                  <c:v>44879</c:v>
                </c:pt>
                <c:pt idx="2449">
                  <c:v>44880</c:v>
                </c:pt>
                <c:pt idx="2450">
                  <c:v>44881</c:v>
                </c:pt>
                <c:pt idx="2451">
                  <c:v>44882</c:v>
                </c:pt>
                <c:pt idx="2452">
                  <c:v>44883</c:v>
                </c:pt>
                <c:pt idx="2453">
                  <c:v>44884</c:v>
                </c:pt>
                <c:pt idx="2454">
                  <c:v>44885</c:v>
                </c:pt>
                <c:pt idx="2455">
                  <c:v>44886</c:v>
                </c:pt>
                <c:pt idx="2456">
                  <c:v>44887</c:v>
                </c:pt>
                <c:pt idx="2457">
                  <c:v>44888</c:v>
                </c:pt>
                <c:pt idx="2458">
                  <c:v>44889</c:v>
                </c:pt>
                <c:pt idx="2459">
                  <c:v>44890</c:v>
                </c:pt>
                <c:pt idx="2460">
                  <c:v>44891</c:v>
                </c:pt>
                <c:pt idx="2461">
                  <c:v>44892</c:v>
                </c:pt>
                <c:pt idx="2462">
                  <c:v>44893</c:v>
                </c:pt>
                <c:pt idx="2463">
                  <c:v>44894</c:v>
                </c:pt>
                <c:pt idx="2464">
                  <c:v>44895</c:v>
                </c:pt>
                <c:pt idx="2465">
                  <c:v>44896</c:v>
                </c:pt>
                <c:pt idx="2466">
                  <c:v>44897</c:v>
                </c:pt>
                <c:pt idx="2467">
                  <c:v>44898</c:v>
                </c:pt>
                <c:pt idx="2468">
                  <c:v>44899</c:v>
                </c:pt>
                <c:pt idx="2469">
                  <c:v>44900</c:v>
                </c:pt>
                <c:pt idx="2470">
                  <c:v>44901</c:v>
                </c:pt>
                <c:pt idx="2471">
                  <c:v>44902</c:v>
                </c:pt>
                <c:pt idx="2472">
                  <c:v>44903</c:v>
                </c:pt>
                <c:pt idx="2473">
                  <c:v>44904</c:v>
                </c:pt>
                <c:pt idx="2474">
                  <c:v>44905</c:v>
                </c:pt>
                <c:pt idx="2475">
                  <c:v>44906</c:v>
                </c:pt>
                <c:pt idx="2476">
                  <c:v>44907</c:v>
                </c:pt>
                <c:pt idx="2477">
                  <c:v>44908</c:v>
                </c:pt>
                <c:pt idx="2478">
                  <c:v>44909</c:v>
                </c:pt>
                <c:pt idx="2479">
                  <c:v>44910</c:v>
                </c:pt>
                <c:pt idx="2480">
                  <c:v>44911</c:v>
                </c:pt>
                <c:pt idx="2481">
                  <c:v>44912</c:v>
                </c:pt>
                <c:pt idx="2482">
                  <c:v>44913</c:v>
                </c:pt>
                <c:pt idx="2483">
                  <c:v>44914</c:v>
                </c:pt>
                <c:pt idx="2484">
                  <c:v>44915</c:v>
                </c:pt>
                <c:pt idx="2485">
                  <c:v>44916</c:v>
                </c:pt>
                <c:pt idx="2486">
                  <c:v>44917</c:v>
                </c:pt>
                <c:pt idx="2487">
                  <c:v>44918</c:v>
                </c:pt>
                <c:pt idx="2488">
                  <c:v>44919</c:v>
                </c:pt>
                <c:pt idx="2489">
                  <c:v>44920</c:v>
                </c:pt>
                <c:pt idx="2490">
                  <c:v>44921</c:v>
                </c:pt>
                <c:pt idx="2491">
                  <c:v>44922</c:v>
                </c:pt>
                <c:pt idx="2492">
                  <c:v>44923</c:v>
                </c:pt>
                <c:pt idx="2493">
                  <c:v>44924</c:v>
                </c:pt>
                <c:pt idx="2494">
                  <c:v>44925</c:v>
                </c:pt>
                <c:pt idx="2495">
                  <c:v>44926</c:v>
                </c:pt>
                <c:pt idx="2496">
                  <c:v>44927</c:v>
                </c:pt>
                <c:pt idx="2497">
                  <c:v>44928</c:v>
                </c:pt>
                <c:pt idx="2498">
                  <c:v>44929</c:v>
                </c:pt>
                <c:pt idx="2499">
                  <c:v>44930</c:v>
                </c:pt>
                <c:pt idx="2500">
                  <c:v>44931</c:v>
                </c:pt>
                <c:pt idx="2501">
                  <c:v>44932</c:v>
                </c:pt>
                <c:pt idx="2502">
                  <c:v>44933</c:v>
                </c:pt>
                <c:pt idx="2503">
                  <c:v>44934</c:v>
                </c:pt>
                <c:pt idx="2504">
                  <c:v>44935</c:v>
                </c:pt>
                <c:pt idx="2505">
                  <c:v>44936</c:v>
                </c:pt>
                <c:pt idx="2506">
                  <c:v>44937</c:v>
                </c:pt>
                <c:pt idx="2507">
                  <c:v>44938</c:v>
                </c:pt>
                <c:pt idx="2508">
                  <c:v>44939</c:v>
                </c:pt>
                <c:pt idx="2509">
                  <c:v>44940</c:v>
                </c:pt>
                <c:pt idx="2510">
                  <c:v>44941</c:v>
                </c:pt>
                <c:pt idx="2511">
                  <c:v>44942</c:v>
                </c:pt>
                <c:pt idx="2512">
                  <c:v>44943</c:v>
                </c:pt>
                <c:pt idx="2513">
                  <c:v>44944</c:v>
                </c:pt>
                <c:pt idx="2514">
                  <c:v>44945</c:v>
                </c:pt>
                <c:pt idx="2515">
                  <c:v>44946</c:v>
                </c:pt>
                <c:pt idx="2516">
                  <c:v>44947</c:v>
                </c:pt>
                <c:pt idx="2517">
                  <c:v>44948</c:v>
                </c:pt>
                <c:pt idx="2518">
                  <c:v>44949</c:v>
                </c:pt>
                <c:pt idx="2519">
                  <c:v>44950</c:v>
                </c:pt>
                <c:pt idx="2520">
                  <c:v>44951</c:v>
                </c:pt>
                <c:pt idx="2521">
                  <c:v>44952</c:v>
                </c:pt>
                <c:pt idx="2522">
                  <c:v>44953</c:v>
                </c:pt>
                <c:pt idx="2523">
                  <c:v>44954</c:v>
                </c:pt>
                <c:pt idx="2524">
                  <c:v>44955</c:v>
                </c:pt>
                <c:pt idx="2525">
                  <c:v>44956</c:v>
                </c:pt>
                <c:pt idx="2526">
                  <c:v>44957</c:v>
                </c:pt>
                <c:pt idx="2527">
                  <c:v>44958</c:v>
                </c:pt>
                <c:pt idx="2528">
                  <c:v>44959</c:v>
                </c:pt>
                <c:pt idx="2529">
                  <c:v>44960</c:v>
                </c:pt>
                <c:pt idx="2530">
                  <c:v>44961</c:v>
                </c:pt>
                <c:pt idx="2531">
                  <c:v>44962</c:v>
                </c:pt>
                <c:pt idx="2532">
                  <c:v>44963</c:v>
                </c:pt>
                <c:pt idx="2533">
                  <c:v>44964</c:v>
                </c:pt>
                <c:pt idx="2534">
                  <c:v>44965</c:v>
                </c:pt>
                <c:pt idx="2535">
                  <c:v>44966</c:v>
                </c:pt>
                <c:pt idx="2536">
                  <c:v>44967</c:v>
                </c:pt>
                <c:pt idx="2537">
                  <c:v>44968</c:v>
                </c:pt>
                <c:pt idx="2538">
                  <c:v>44969</c:v>
                </c:pt>
                <c:pt idx="2539">
                  <c:v>44970</c:v>
                </c:pt>
                <c:pt idx="2540">
                  <c:v>44971</c:v>
                </c:pt>
                <c:pt idx="2541">
                  <c:v>44972</c:v>
                </c:pt>
                <c:pt idx="2542">
                  <c:v>44973</c:v>
                </c:pt>
                <c:pt idx="2543">
                  <c:v>44974</c:v>
                </c:pt>
                <c:pt idx="2544">
                  <c:v>44975</c:v>
                </c:pt>
                <c:pt idx="2545">
                  <c:v>44976</c:v>
                </c:pt>
                <c:pt idx="2546">
                  <c:v>44977</c:v>
                </c:pt>
                <c:pt idx="2547">
                  <c:v>44978</c:v>
                </c:pt>
                <c:pt idx="2548">
                  <c:v>44979</c:v>
                </c:pt>
                <c:pt idx="2549">
                  <c:v>44980</c:v>
                </c:pt>
                <c:pt idx="2550">
                  <c:v>44981</c:v>
                </c:pt>
                <c:pt idx="2551">
                  <c:v>44982</c:v>
                </c:pt>
                <c:pt idx="2552">
                  <c:v>44983</c:v>
                </c:pt>
                <c:pt idx="2553">
                  <c:v>44984</c:v>
                </c:pt>
                <c:pt idx="2554">
                  <c:v>44985</c:v>
                </c:pt>
                <c:pt idx="2555">
                  <c:v>44986</c:v>
                </c:pt>
                <c:pt idx="2556">
                  <c:v>44987</c:v>
                </c:pt>
                <c:pt idx="2557">
                  <c:v>44988</c:v>
                </c:pt>
                <c:pt idx="2558">
                  <c:v>44989</c:v>
                </c:pt>
                <c:pt idx="2559">
                  <c:v>44990</c:v>
                </c:pt>
                <c:pt idx="2560">
                  <c:v>44991</c:v>
                </c:pt>
                <c:pt idx="2561">
                  <c:v>44992</c:v>
                </c:pt>
                <c:pt idx="2562">
                  <c:v>44993</c:v>
                </c:pt>
                <c:pt idx="2563">
                  <c:v>44994</c:v>
                </c:pt>
                <c:pt idx="2564">
                  <c:v>44995</c:v>
                </c:pt>
                <c:pt idx="2565">
                  <c:v>44996</c:v>
                </c:pt>
                <c:pt idx="2566">
                  <c:v>44997</c:v>
                </c:pt>
                <c:pt idx="2567">
                  <c:v>44998</c:v>
                </c:pt>
                <c:pt idx="2568">
                  <c:v>44999</c:v>
                </c:pt>
                <c:pt idx="2569">
                  <c:v>45000</c:v>
                </c:pt>
                <c:pt idx="2570">
                  <c:v>45001</c:v>
                </c:pt>
                <c:pt idx="2571">
                  <c:v>45002</c:v>
                </c:pt>
                <c:pt idx="2572">
                  <c:v>45003</c:v>
                </c:pt>
                <c:pt idx="2573">
                  <c:v>45004</c:v>
                </c:pt>
                <c:pt idx="2574">
                  <c:v>45005</c:v>
                </c:pt>
                <c:pt idx="2575">
                  <c:v>45006</c:v>
                </c:pt>
                <c:pt idx="2576">
                  <c:v>45007</c:v>
                </c:pt>
                <c:pt idx="2577">
                  <c:v>45008</c:v>
                </c:pt>
                <c:pt idx="2578">
                  <c:v>45009</c:v>
                </c:pt>
                <c:pt idx="2579">
                  <c:v>45010</c:v>
                </c:pt>
                <c:pt idx="2580">
                  <c:v>45011</c:v>
                </c:pt>
                <c:pt idx="2581">
                  <c:v>45012</c:v>
                </c:pt>
                <c:pt idx="2582">
                  <c:v>45013</c:v>
                </c:pt>
                <c:pt idx="2583">
                  <c:v>45014</c:v>
                </c:pt>
                <c:pt idx="2584">
                  <c:v>45015</c:v>
                </c:pt>
                <c:pt idx="2585">
                  <c:v>45016</c:v>
                </c:pt>
                <c:pt idx="2586">
                  <c:v>45017</c:v>
                </c:pt>
                <c:pt idx="2587">
                  <c:v>45018</c:v>
                </c:pt>
                <c:pt idx="2588">
                  <c:v>45019</c:v>
                </c:pt>
                <c:pt idx="2589">
                  <c:v>45020</c:v>
                </c:pt>
                <c:pt idx="2590">
                  <c:v>45021</c:v>
                </c:pt>
                <c:pt idx="2591">
                  <c:v>45022</c:v>
                </c:pt>
                <c:pt idx="2592">
                  <c:v>45023</c:v>
                </c:pt>
                <c:pt idx="2593">
                  <c:v>45024</c:v>
                </c:pt>
                <c:pt idx="2594">
                  <c:v>45025</c:v>
                </c:pt>
                <c:pt idx="2595">
                  <c:v>45026</c:v>
                </c:pt>
                <c:pt idx="2596">
                  <c:v>45027</c:v>
                </c:pt>
                <c:pt idx="2597">
                  <c:v>45028</c:v>
                </c:pt>
                <c:pt idx="2598">
                  <c:v>45029</c:v>
                </c:pt>
                <c:pt idx="2599">
                  <c:v>45030</c:v>
                </c:pt>
                <c:pt idx="2600">
                  <c:v>45031</c:v>
                </c:pt>
                <c:pt idx="2601">
                  <c:v>45032</c:v>
                </c:pt>
                <c:pt idx="2602">
                  <c:v>45033</c:v>
                </c:pt>
                <c:pt idx="2603">
                  <c:v>45034</c:v>
                </c:pt>
                <c:pt idx="2604">
                  <c:v>45035</c:v>
                </c:pt>
                <c:pt idx="2605">
                  <c:v>45036</c:v>
                </c:pt>
                <c:pt idx="2606">
                  <c:v>45037</c:v>
                </c:pt>
                <c:pt idx="2607">
                  <c:v>45038</c:v>
                </c:pt>
                <c:pt idx="2608">
                  <c:v>45039</c:v>
                </c:pt>
                <c:pt idx="2609">
                  <c:v>45040</c:v>
                </c:pt>
                <c:pt idx="2610">
                  <c:v>45041</c:v>
                </c:pt>
                <c:pt idx="2611">
                  <c:v>45042</c:v>
                </c:pt>
                <c:pt idx="2612">
                  <c:v>45043</c:v>
                </c:pt>
                <c:pt idx="2613">
                  <c:v>45044</c:v>
                </c:pt>
                <c:pt idx="2614">
                  <c:v>45045</c:v>
                </c:pt>
                <c:pt idx="2615">
                  <c:v>45046</c:v>
                </c:pt>
                <c:pt idx="2616">
                  <c:v>45047</c:v>
                </c:pt>
                <c:pt idx="2617">
                  <c:v>45048</c:v>
                </c:pt>
                <c:pt idx="2618">
                  <c:v>45049</c:v>
                </c:pt>
                <c:pt idx="2619">
                  <c:v>45050</c:v>
                </c:pt>
                <c:pt idx="2620">
                  <c:v>45051</c:v>
                </c:pt>
                <c:pt idx="2621">
                  <c:v>45052</c:v>
                </c:pt>
                <c:pt idx="2622">
                  <c:v>45053</c:v>
                </c:pt>
                <c:pt idx="2623">
                  <c:v>45054</c:v>
                </c:pt>
                <c:pt idx="2624">
                  <c:v>45055</c:v>
                </c:pt>
                <c:pt idx="2625">
                  <c:v>45056</c:v>
                </c:pt>
                <c:pt idx="2626">
                  <c:v>45057</c:v>
                </c:pt>
                <c:pt idx="2627">
                  <c:v>45058</c:v>
                </c:pt>
                <c:pt idx="2628">
                  <c:v>45059</c:v>
                </c:pt>
                <c:pt idx="2629">
                  <c:v>45060</c:v>
                </c:pt>
                <c:pt idx="2630">
                  <c:v>45061</c:v>
                </c:pt>
                <c:pt idx="2631">
                  <c:v>45062</c:v>
                </c:pt>
                <c:pt idx="2632">
                  <c:v>45063</c:v>
                </c:pt>
                <c:pt idx="2633">
                  <c:v>45064</c:v>
                </c:pt>
                <c:pt idx="2634">
                  <c:v>45065</c:v>
                </c:pt>
                <c:pt idx="2635">
                  <c:v>45066</c:v>
                </c:pt>
                <c:pt idx="2636">
                  <c:v>45067</c:v>
                </c:pt>
                <c:pt idx="2637">
                  <c:v>45068</c:v>
                </c:pt>
                <c:pt idx="2638">
                  <c:v>45069</c:v>
                </c:pt>
                <c:pt idx="2639">
                  <c:v>45070</c:v>
                </c:pt>
                <c:pt idx="2640">
                  <c:v>45071</c:v>
                </c:pt>
                <c:pt idx="2641">
                  <c:v>45072</c:v>
                </c:pt>
                <c:pt idx="2642">
                  <c:v>45073</c:v>
                </c:pt>
                <c:pt idx="2643">
                  <c:v>45074</c:v>
                </c:pt>
                <c:pt idx="2644">
                  <c:v>45075</c:v>
                </c:pt>
                <c:pt idx="2645">
                  <c:v>45076</c:v>
                </c:pt>
                <c:pt idx="2646">
                  <c:v>45077</c:v>
                </c:pt>
                <c:pt idx="2647">
                  <c:v>45078</c:v>
                </c:pt>
                <c:pt idx="2648">
                  <c:v>45079</c:v>
                </c:pt>
                <c:pt idx="2649">
                  <c:v>45080</c:v>
                </c:pt>
                <c:pt idx="2650">
                  <c:v>45081</c:v>
                </c:pt>
                <c:pt idx="2651">
                  <c:v>45082</c:v>
                </c:pt>
                <c:pt idx="2652">
                  <c:v>45083</c:v>
                </c:pt>
                <c:pt idx="2653">
                  <c:v>45084</c:v>
                </c:pt>
                <c:pt idx="2654">
                  <c:v>45085</c:v>
                </c:pt>
                <c:pt idx="2655">
                  <c:v>45086</c:v>
                </c:pt>
                <c:pt idx="2656">
                  <c:v>45087</c:v>
                </c:pt>
                <c:pt idx="2657">
                  <c:v>45088</c:v>
                </c:pt>
                <c:pt idx="2658">
                  <c:v>45089</c:v>
                </c:pt>
                <c:pt idx="2659">
                  <c:v>45090</c:v>
                </c:pt>
                <c:pt idx="2660">
                  <c:v>45091</c:v>
                </c:pt>
                <c:pt idx="2661">
                  <c:v>45092</c:v>
                </c:pt>
                <c:pt idx="2662">
                  <c:v>45093</c:v>
                </c:pt>
                <c:pt idx="2663">
                  <c:v>45094</c:v>
                </c:pt>
                <c:pt idx="2664">
                  <c:v>45095</c:v>
                </c:pt>
                <c:pt idx="2665">
                  <c:v>45096</c:v>
                </c:pt>
                <c:pt idx="2666">
                  <c:v>45097</c:v>
                </c:pt>
                <c:pt idx="2667">
                  <c:v>45098</c:v>
                </c:pt>
                <c:pt idx="2668">
                  <c:v>45099</c:v>
                </c:pt>
                <c:pt idx="2669">
                  <c:v>45100</c:v>
                </c:pt>
                <c:pt idx="2670">
                  <c:v>45101</c:v>
                </c:pt>
                <c:pt idx="2671">
                  <c:v>45102</c:v>
                </c:pt>
                <c:pt idx="2672">
                  <c:v>45103</c:v>
                </c:pt>
                <c:pt idx="2673">
                  <c:v>45104</c:v>
                </c:pt>
                <c:pt idx="2674">
                  <c:v>45105</c:v>
                </c:pt>
                <c:pt idx="2675">
                  <c:v>45106</c:v>
                </c:pt>
                <c:pt idx="2676">
                  <c:v>45107</c:v>
                </c:pt>
                <c:pt idx="2677">
                  <c:v>45108</c:v>
                </c:pt>
                <c:pt idx="2678">
                  <c:v>45109</c:v>
                </c:pt>
                <c:pt idx="2679">
                  <c:v>45110</c:v>
                </c:pt>
                <c:pt idx="2680">
                  <c:v>45111</c:v>
                </c:pt>
                <c:pt idx="2681">
                  <c:v>45112</c:v>
                </c:pt>
                <c:pt idx="2682">
                  <c:v>45113</c:v>
                </c:pt>
                <c:pt idx="2683">
                  <c:v>45114</c:v>
                </c:pt>
                <c:pt idx="2684">
                  <c:v>45115</c:v>
                </c:pt>
                <c:pt idx="2685">
                  <c:v>45116</c:v>
                </c:pt>
                <c:pt idx="2686">
                  <c:v>45117</c:v>
                </c:pt>
                <c:pt idx="2687">
                  <c:v>45118</c:v>
                </c:pt>
                <c:pt idx="2688">
                  <c:v>45119</c:v>
                </c:pt>
                <c:pt idx="2689">
                  <c:v>45120</c:v>
                </c:pt>
                <c:pt idx="2690">
                  <c:v>45121</c:v>
                </c:pt>
                <c:pt idx="2691">
                  <c:v>45122</c:v>
                </c:pt>
                <c:pt idx="2692">
                  <c:v>45123</c:v>
                </c:pt>
                <c:pt idx="2693">
                  <c:v>45124</c:v>
                </c:pt>
                <c:pt idx="2694">
                  <c:v>45125</c:v>
                </c:pt>
                <c:pt idx="2695">
                  <c:v>45126</c:v>
                </c:pt>
                <c:pt idx="2696">
                  <c:v>45127</c:v>
                </c:pt>
                <c:pt idx="2697">
                  <c:v>45128</c:v>
                </c:pt>
                <c:pt idx="2698">
                  <c:v>45129</c:v>
                </c:pt>
                <c:pt idx="2699">
                  <c:v>45130</c:v>
                </c:pt>
                <c:pt idx="2700">
                  <c:v>45131</c:v>
                </c:pt>
                <c:pt idx="2701">
                  <c:v>45132</c:v>
                </c:pt>
                <c:pt idx="2702">
                  <c:v>45133</c:v>
                </c:pt>
                <c:pt idx="2703">
                  <c:v>45134</c:v>
                </c:pt>
                <c:pt idx="2704">
                  <c:v>45135</c:v>
                </c:pt>
                <c:pt idx="2705">
                  <c:v>45136</c:v>
                </c:pt>
                <c:pt idx="2706">
                  <c:v>45137</c:v>
                </c:pt>
                <c:pt idx="2707">
                  <c:v>45138</c:v>
                </c:pt>
                <c:pt idx="2708">
                  <c:v>45139</c:v>
                </c:pt>
                <c:pt idx="2709">
                  <c:v>45140</c:v>
                </c:pt>
                <c:pt idx="2710">
                  <c:v>45141</c:v>
                </c:pt>
                <c:pt idx="2711">
                  <c:v>45142</c:v>
                </c:pt>
                <c:pt idx="2712">
                  <c:v>45143</c:v>
                </c:pt>
                <c:pt idx="2713">
                  <c:v>45144</c:v>
                </c:pt>
                <c:pt idx="2714">
                  <c:v>45145</c:v>
                </c:pt>
                <c:pt idx="2715">
                  <c:v>45146</c:v>
                </c:pt>
                <c:pt idx="2716">
                  <c:v>45147</c:v>
                </c:pt>
                <c:pt idx="2717">
                  <c:v>45148</c:v>
                </c:pt>
                <c:pt idx="2718">
                  <c:v>45149</c:v>
                </c:pt>
                <c:pt idx="2719">
                  <c:v>45150</c:v>
                </c:pt>
                <c:pt idx="2720">
                  <c:v>45151</c:v>
                </c:pt>
                <c:pt idx="2721">
                  <c:v>45152</c:v>
                </c:pt>
                <c:pt idx="2722">
                  <c:v>45153</c:v>
                </c:pt>
                <c:pt idx="2723">
                  <c:v>45154</c:v>
                </c:pt>
                <c:pt idx="2724">
                  <c:v>45155</c:v>
                </c:pt>
                <c:pt idx="2725">
                  <c:v>45156</c:v>
                </c:pt>
                <c:pt idx="2726">
                  <c:v>45157</c:v>
                </c:pt>
                <c:pt idx="2727">
                  <c:v>45158</c:v>
                </c:pt>
                <c:pt idx="2728">
                  <c:v>45159</c:v>
                </c:pt>
                <c:pt idx="2729">
                  <c:v>45160</c:v>
                </c:pt>
                <c:pt idx="2730">
                  <c:v>45161</c:v>
                </c:pt>
                <c:pt idx="2731">
                  <c:v>45162</c:v>
                </c:pt>
                <c:pt idx="2732">
                  <c:v>45163</c:v>
                </c:pt>
                <c:pt idx="2733">
                  <c:v>45164</c:v>
                </c:pt>
                <c:pt idx="2734">
                  <c:v>45165</c:v>
                </c:pt>
                <c:pt idx="2735">
                  <c:v>45166</c:v>
                </c:pt>
                <c:pt idx="2736">
                  <c:v>45167</c:v>
                </c:pt>
                <c:pt idx="2737">
                  <c:v>45168</c:v>
                </c:pt>
                <c:pt idx="2738">
                  <c:v>45169</c:v>
                </c:pt>
                <c:pt idx="2739">
                  <c:v>45170</c:v>
                </c:pt>
                <c:pt idx="2740">
                  <c:v>45171</c:v>
                </c:pt>
                <c:pt idx="2741">
                  <c:v>45172</c:v>
                </c:pt>
                <c:pt idx="2742">
                  <c:v>45173</c:v>
                </c:pt>
                <c:pt idx="2743">
                  <c:v>45174</c:v>
                </c:pt>
                <c:pt idx="2744">
                  <c:v>45175</c:v>
                </c:pt>
                <c:pt idx="2745">
                  <c:v>45176</c:v>
                </c:pt>
                <c:pt idx="2746">
                  <c:v>45177</c:v>
                </c:pt>
                <c:pt idx="2747">
                  <c:v>45178</c:v>
                </c:pt>
                <c:pt idx="2748">
                  <c:v>45179</c:v>
                </c:pt>
                <c:pt idx="2749">
                  <c:v>45180</c:v>
                </c:pt>
                <c:pt idx="2750">
                  <c:v>45181</c:v>
                </c:pt>
                <c:pt idx="2751">
                  <c:v>45182</c:v>
                </c:pt>
                <c:pt idx="2752">
                  <c:v>45183</c:v>
                </c:pt>
                <c:pt idx="2753">
                  <c:v>45184</c:v>
                </c:pt>
                <c:pt idx="2754">
                  <c:v>45185</c:v>
                </c:pt>
                <c:pt idx="2755">
                  <c:v>45186</c:v>
                </c:pt>
                <c:pt idx="2756">
                  <c:v>45187</c:v>
                </c:pt>
                <c:pt idx="2757">
                  <c:v>45188</c:v>
                </c:pt>
                <c:pt idx="2758">
                  <c:v>45189</c:v>
                </c:pt>
                <c:pt idx="2759">
                  <c:v>45190</c:v>
                </c:pt>
                <c:pt idx="2760">
                  <c:v>45191</c:v>
                </c:pt>
                <c:pt idx="2761">
                  <c:v>45192</c:v>
                </c:pt>
                <c:pt idx="2762">
                  <c:v>45193</c:v>
                </c:pt>
                <c:pt idx="2763">
                  <c:v>45194</c:v>
                </c:pt>
                <c:pt idx="2764">
                  <c:v>45195</c:v>
                </c:pt>
                <c:pt idx="2765">
                  <c:v>45196</c:v>
                </c:pt>
                <c:pt idx="2766">
                  <c:v>45197</c:v>
                </c:pt>
                <c:pt idx="2767">
                  <c:v>45198</c:v>
                </c:pt>
                <c:pt idx="2768">
                  <c:v>45199</c:v>
                </c:pt>
                <c:pt idx="2769">
                  <c:v>45200</c:v>
                </c:pt>
                <c:pt idx="2770">
                  <c:v>45201</c:v>
                </c:pt>
                <c:pt idx="2771">
                  <c:v>45202</c:v>
                </c:pt>
                <c:pt idx="2772">
                  <c:v>45203</c:v>
                </c:pt>
                <c:pt idx="2773">
                  <c:v>45204</c:v>
                </c:pt>
                <c:pt idx="2774">
                  <c:v>45205</c:v>
                </c:pt>
                <c:pt idx="2775">
                  <c:v>45206</c:v>
                </c:pt>
                <c:pt idx="2776">
                  <c:v>45207</c:v>
                </c:pt>
                <c:pt idx="2777">
                  <c:v>45208</c:v>
                </c:pt>
                <c:pt idx="2778">
                  <c:v>45209</c:v>
                </c:pt>
                <c:pt idx="2779">
                  <c:v>45210</c:v>
                </c:pt>
                <c:pt idx="2780">
                  <c:v>45211</c:v>
                </c:pt>
                <c:pt idx="2781">
                  <c:v>45212</c:v>
                </c:pt>
                <c:pt idx="2782">
                  <c:v>45213</c:v>
                </c:pt>
                <c:pt idx="2783">
                  <c:v>45214</c:v>
                </c:pt>
                <c:pt idx="2784">
                  <c:v>45215</c:v>
                </c:pt>
                <c:pt idx="2785">
                  <c:v>45216</c:v>
                </c:pt>
                <c:pt idx="2786">
                  <c:v>45217</c:v>
                </c:pt>
                <c:pt idx="2787">
                  <c:v>45218</c:v>
                </c:pt>
                <c:pt idx="2788">
                  <c:v>45219</c:v>
                </c:pt>
                <c:pt idx="2789">
                  <c:v>45220</c:v>
                </c:pt>
                <c:pt idx="2790">
                  <c:v>45221</c:v>
                </c:pt>
                <c:pt idx="2791">
                  <c:v>45222</c:v>
                </c:pt>
                <c:pt idx="2792">
                  <c:v>45223</c:v>
                </c:pt>
                <c:pt idx="2793">
                  <c:v>45224</c:v>
                </c:pt>
                <c:pt idx="2794">
                  <c:v>45225</c:v>
                </c:pt>
                <c:pt idx="2795">
                  <c:v>45226</c:v>
                </c:pt>
                <c:pt idx="2796">
                  <c:v>45227</c:v>
                </c:pt>
                <c:pt idx="2797">
                  <c:v>45228</c:v>
                </c:pt>
                <c:pt idx="2798">
                  <c:v>45229</c:v>
                </c:pt>
                <c:pt idx="2799">
                  <c:v>45230</c:v>
                </c:pt>
                <c:pt idx="2800">
                  <c:v>45231</c:v>
                </c:pt>
                <c:pt idx="2801">
                  <c:v>45232</c:v>
                </c:pt>
                <c:pt idx="2802">
                  <c:v>45233</c:v>
                </c:pt>
                <c:pt idx="2803">
                  <c:v>45234</c:v>
                </c:pt>
                <c:pt idx="2804">
                  <c:v>45235</c:v>
                </c:pt>
                <c:pt idx="2805">
                  <c:v>45236</c:v>
                </c:pt>
                <c:pt idx="2806">
                  <c:v>45237</c:v>
                </c:pt>
                <c:pt idx="2807">
                  <c:v>45238</c:v>
                </c:pt>
                <c:pt idx="2808">
                  <c:v>45239</c:v>
                </c:pt>
                <c:pt idx="2809">
                  <c:v>45240</c:v>
                </c:pt>
                <c:pt idx="2810">
                  <c:v>45241</c:v>
                </c:pt>
                <c:pt idx="2811">
                  <c:v>45242</c:v>
                </c:pt>
                <c:pt idx="2812">
                  <c:v>45243</c:v>
                </c:pt>
                <c:pt idx="2813">
                  <c:v>45244</c:v>
                </c:pt>
                <c:pt idx="2814">
                  <c:v>45245</c:v>
                </c:pt>
                <c:pt idx="2815">
                  <c:v>45246</c:v>
                </c:pt>
                <c:pt idx="2816">
                  <c:v>45247</c:v>
                </c:pt>
                <c:pt idx="2817">
                  <c:v>45248</c:v>
                </c:pt>
                <c:pt idx="2818">
                  <c:v>45249</c:v>
                </c:pt>
                <c:pt idx="2819">
                  <c:v>45250</c:v>
                </c:pt>
                <c:pt idx="2820">
                  <c:v>45251</c:v>
                </c:pt>
                <c:pt idx="2821">
                  <c:v>45252</c:v>
                </c:pt>
                <c:pt idx="2822">
                  <c:v>45253</c:v>
                </c:pt>
                <c:pt idx="2823">
                  <c:v>45254</c:v>
                </c:pt>
                <c:pt idx="2824">
                  <c:v>45255</c:v>
                </c:pt>
                <c:pt idx="2825">
                  <c:v>45256</c:v>
                </c:pt>
                <c:pt idx="2826">
                  <c:v>45257</c:v>
                </c:pt>
                <c:pt idx="2827">
                  <c:v>45258</c:v>
                </c:pt>
                <c:pt idx="2828">
                  <c:v>45259</c:v>
                </c:pt>
                <c:pt idx="2829">
                  <c:v>45260</c:v>
                </c:pt>
                <c:pt idx="2830">
                  <c:v>45261</c:v>
                </c:pt>
                <c:pt idx="2831">
                  <c:v>45262</c:v>
                </c:pt>
                <c:pt idx="2832">
                  <c:v>45263</c:v>
                </c:pt>
                <c:pt idx="2833">
                  <c:v>45264</c:v>
                </c:pt>
                <c:pt idx="2834">
                  <c:v>45265</c:v>
                </c:pt>
                <c:pt idx="2835">
                  <c:v>45266</c:v>
                </c:pt>
                <c:pt idx="2836">
                  <c:v>45267</c:v>
                </c:pt>
                <c:pt idx="2837">
                  <c:v>45268</c:v>
                </c:pt>
                <c:pt idx="2838">
                  <c:v>45269</c:v>
                </c:pt>
                <c:pt idx="2839">
                  <c:v>45270</c:v>
                </c:pt>
                <c:pt idx="2840">
                  <c:v>45271</c:v>
                </c:pt>
                <c:pt idx="2841">
                  <c:v>45272</c:v>
                </c:pt>
                <c:pt idx="2842">
                  <c:v>45273</c:v>
                </c:pt>
                <c:pt idx="2843">
                  <c:v>45274</c:v>
                </c:pt>
                <c:pt idx="2844">
                  <c:v>45275</c:v>
                </c:pt>
                <c:pt idx="2845">
                  <c:v>45276</c:v>
                </c:pt>
                <c:pt idx="2846">
                  <c:v>45277</c:v>
                </c:pt>
                <c:pt idx="2847">
                  <c:v>45278</c:v>
                </c:pt>
                <c:pt idx="2848">
                  <c:v>45279</c:v>
                </c:pt>
                <c:pt idx="2849">
                  <c:v>45280</c:v>
                </c:pt>
                <c:pt idx="2850">
                  <c:v>45281</c:v>
                </c:pt>
                <c:pt idx="2851">
                  <c:v>45282</c:v>
                </c:pt>
                <c:pt idx="2852">
                  <c:v>45283</c:v>
                </c:pt>
                <c:pt idx="2853">
                  <c:v>45284</c:v>
                </c:pt>
                <c:pt idx="2854">
                  <c:v>45285</c:v>
                </c:pt>
                <c:pt idx="2855">
                  <c:v>45286</c:v>
                </c:pt>
                <c:pt idx="2856">
                  <c:v>45287</c:v>
                </c:pt>
                <c:pt idx="2857">
                  <c:v>45288</c:v>
                </c:pt>
                <c:pt idx="2858">
                  <c:v>45289</c:v>
                </c:pt>
                <c:pt idx="2859">
                  <c:v>45290</c:v>
                </c:pt>
                <c:pt idx="2860">
                  <c:v>45291</c:v>
                </c:pt>
                <c:pt idx="2861">
                  <c:v>45292</c:v>
                </c:pt>
                <c:pt idx="2862">
                  <c:v>45293</c:v>
                </c:pt>
                <c:pt idx="2863">
                  <c:v>45294</c:v>
                </c:pt>
                <c:pt idx="2864">
                  <c:v>45295</c:v>
                </c:pt>
                <c:pt idx="2865">
                  <c:v>45296</c:v>
                </c:pt>
                <c:pt idx="2866">
                  <c:v>45297</c:v>
                </c:pt>
                <c:pt idx="2867">
                  <c:v>45298</c:v>
                </c:pt>
                <c:pt idx="2868">
                  <c:v>45299</c:v>
                </c:pt>
                <c:pt idx="2869">
                  <c:v>45300</c:v>
                </c:pt>
                <c:pt idx="2870">
                  <c:v>45301</c:v>
                </c:pt>
                <c:pt idx="2871">
                  <c:v>45302</c:v>
                </c:pt>
                <c:pt idx="2872">
                  <c:v>45303</c:v>
                </c:pt>
                <c:pt idx="2873">
                  <c:v>45304</c:v>
                </c:pt>
                <c:pt idx="2874">
                  <c:v>45305</c:v>
                </c:pt>
                <c:pt idx="2875">
                  <c:v>45306</c:v>
                </c:pt>
                <c:pt idx="2876">
                  <c:v>45307</c:v>
                </c:pt>
                <c:pt idx="2877">
                  <c:v>45308</c:v>
                </c:pt>
              </c:numCache>
            </c:numRef>
          </c:cat>
          <c:val>
            <c:numRef>
              <c:f>Baserate_FRA!$J$3:$J$2880</c:f>
              <c:numCache>
                <c:formatCode>General</c:formatCode>
                <c:ptCount val="2878"/>
                <c:pt idx="0">
                  <c:v>1.36</c:v>
                </c:pt>
                <c:pt idx="1">
                  <c:v>1.36</c:v>
                </c:pt>
                <c:pt idx="2">
                  <c:v>1.36</c:v>
                </c:pt>
                <c:pt idx="3">
                  <c:v>1.36</c:v>
                </c:pt>
                <c:pt idx="4">
                  <c:v>1.36</c:v>
                </c:pt>
                <c:pt idx="5">
                  <c:v>1.36</c:v>
                </c:pt>
                <c:pt idx="6">
                  <c:v>1.36</c:v>
                </c:pt>
                <c:pt idx="7">
                  <c:v>1.36</c:v>
                </c:pt>
                <c:pt idx="8">
                  <c:v>1.36</c:v>
                </c:pt>
                <c:pt idx="9">
                  <c:v>1.36</c:v>
                </c:pt>
                <c:pt idx="10">
                  <c:v>1.36</c:v>
                </c:pt>
                <c:pt idx="11">
                  <c:v>1.36</c:v>
                </c:pt>
                <c:pt idx="12">
                  <c:v>1.36</c:v>
                </c:pt>
                <c:pt idx="13">
                  <c:v>1.36</c:v>
                </c:pt>
                <c:pt idx="14">
                  <c:v>1.36</c:v>
                </c:pt>
                <c:pt idx="15">
                  <c:v>1.36</c:v>
                </c:pt>
                <c:pt idx="16">
                  <c:v>1.36</c:v>
                </c:pt>
                <c:pt idx="17">
                  <c:v>1.36</c:v>
                </c:pt>
                <c:pt idx="18">
                  <c:v>1.35</c:v>
                </c:pt>
                <c:pt idx="19">
                  <c:v>1.35</c:v>
                </c:pt>
                <c:pt idx="20">
                  <c:v>1.35</c:v>
                </c:pt>
                <c:pt idx="21">
                  <c:v>1.35</c:v>
                </c:pt>
                <c:pt idx="22">
                  <c:v>1.35</c:v>
                </c:pt>
                <c:pt idx="23">
                  <c:v>1.35</c:v>
                </c:pt>
                <c:pt idx="24">
                  <c:v>1.35</c:v>
                </c:pt>
                <c:pt idx="25">
                  <c:v>1.35</c:v>
                </c:pt>
                <c:pt idx="26">
                  <c:v>1.35</c:v>
                </c:pt>
                <c:pt idx="27">
                  <c:v>1.35</c:v>
                </c:pt>
                <c:pt idx="28">
                  <c:v>1.35</c:v>
                </c:pt>
                <c:pt idx="29">
                  <c:v>1.35</c:v>
                </c:pt>
                <c:pt idx="30">
                  <c:v>1.35</c:v>
                </c:pt>
                <c:pt idx="31">
                  <c:v>1.35</c:v>
                </c:pt>
                <c:pt idx="32">
                  <c:v>1.35</c:v>
                </c:pt>
                <c:pt idx="33">
                  <c:v>1.35</c:v>
                </c:pt>
                <c:pt idx="34">
                  <c:v>1.35</c:v>
                </c:pt>
                <c:pt idx="35">
                  <c:v>1.35</c:v>
                </c:pt>
                <c:pt idx="36">
                  <c:v>1.35</c:v>
                </c:pt>
                <c:pt idx="37">
                  <c:v>1.35</c:v>
                </c:pt>
                <c:pt idx="38">
                  <c:v>1.35</c:v>
                </c:pt>
                <c:pt idx="39">
                  <c:v>1.35</c:v>
                </c:pt>
                <c:pt idx="40">
                  <c:v>1.35</c:v>
                </c:pt>
                <c:pt idx="41">
                  <c:v>1.35</c:v>
                </c:pt>
                <c:pt idx="42">
                  <c:v>1.35</c:v>
                </c:pt>
                <c:pt idx="43">
                  <c:v>1.35</c:v>
                </c:pt>
                <c:pt idx="44">
                  <c:v>1.35</c:v>
                </c:pt>
                <c:pt idx="45">
                  <c:v>1.35</c:v>
                </c:pt>
                <c:pt idx="46">
                  <c:v>1.35</c:v>
                </c:pt>
                <c:pt idx="47">
                  <c:v>1.35</c:v>
                </c:pt>
                <c:pt idx="48">
                  <c:v>1.35</c:v>
                </c:pt>
                <c:pt idx="49">
                  <c:v>1.35</c:v>
                </c:pt>
                <c:pt idx="50">
                  <c:v>1.35</c:v>
                </c:pt>
                <c:pt idx="51">
                  <c:v>1.35</c:v>
                </c:pt>
                <c:pt idx="52">
                  <c:v>1.35</c:v>
                </c:pt>
                <c:pt idx="53">
                  <c:v>1.35</c:v>
                </c:pt>
                <c:pt idx="54">
                  <c:v>1.35</c:v>
                </c:pt>
                <c:pt idx="55">
                  <c:v>1.35</c:v>
                </c:pt>
                <c:pt idx="56">
                  <c:v>1.35</c:v>
                </c:pt>
                <c:pt idx="57">
                  <c:v>1.35</c:v>
                </c:pt>
                <c:pt idx="58">
                  <c:v>1.35</c:v>
                </c:pt>
                <c:pt idx="59">
                  <c:v>1.35</c:v>
                </c:pt>
                <c:pt idx="60">
                  <c:v>1.35</c:v>
                </c:pt>
                <c:pt idx="61">
                  <c:v>1.35</c:v>
                </c:pt>
                <c:pt idx="62">
                  <c:v>1.35</c:v>
                </c:pt>
                <c:pt idx="63">
                  <c:v>1.35</c:v>
                </c:pt>
                <c:pt idx="64">
                  <c:v>1.35</c:v>
                </c:pt>
                <c:pt idx="65">
                  <c:v>1.35</c:v>
                </c:pt>
                <c:pt idx="66">
                  <c:v>1.35</c:v>
                </c:pt>
                <c:pt idx="67">
                  <c:v>1.35</c:v>
                </c:pt>
                <c:pt idx="68">
                  <c:v>1.35</c:v>
                </c:pt>
                <c:pt idx="69">
                  <c:v>1.35</c:v>
                </c:pt>
                <c:pt idx="70">
                  <c:v>1.35</c:v>
                </c:pt>
                <c:pt idx="71">
                  <c:v>1.35</c:v>
                </c:pt>
                <c:pt idx="72">
                  <c:v>1.35</c:v>
                </c:pt>
                <c:pt idx="73">
                  <c:v>1.35</c:v>
                </c:pt>
                <c:pt idx="74">
                  <c:v>1.35</c:v>
                </c:pt>
                <c:pt idx="75">
                  <c:v>1.35</c:v>
                </c:pt>
                <c:pt idx="76">
                  <c:v>1.35</c:v>
                </c:pt>
                <c:pt idx="77">
                  <c:v>1.35</c:v>
                </c:pt>
                <c:pt idx="78">
                  <c:v>1.35</c:v>
                </c:pt>
                <c:pt idx="79">
                  <c:v>1.35</c:v>
                </c:pt>
                <c:pt idx="80">
                  <c:v>1.35</c:v>
                </c:pt>
                <c:pt idx="81">
                  <c:v>1.35</c:v>
                </c:pt>
                <c:pt idx="82">
                  <c:v>1.35</c:v>
                </c:pt>
                <c:pt idx="83">
                  <c:v>1.35</c:v>
                </c:pt>
                <c:pt idx="84">
                  <c:v>1.35</c:v>
                </c:pt>
                <c:pt idx="85">
                  <c:v>1.35</c:v>
                </c:pt>
                <c:pt idx="86">
                  <c:v>1.35</c:v>
                </c:pt>
                <c:pt idx="87" formatCode="0.00">
                  <c:v>1.35</c:v>
                </c:pt>
                <c:pt idx="88" formatCode="0.00">
                  <c:v>1.35</c:v>
                </c:pt>
                <c:pt idx="89" formatCode="0.00">
                  <c:v>1.35</c:v>
                </c:pt>
                <c:pt idx="90" formatCode="0.00">
                  <c:v>1.35</c:v>
                </c:pt>
                <c:pt idx="91" formatCode="0.00">
                  <c:v>1.35</c:v>
                </c:pt>
                <c:pt idx="92" formatCode="0.00">
                  <c:v>1.35</c:v>
                </c:pt>
                <c:pt idx="93" formatCode="0.00">
                  <c:v>1.35</c:v>
                </c:pt>
                <c:pt idx="94" formatCode="0.00">
                  <c:v>1.35</c:v>
                </c:pt>
                <c:pt idx="95" formatCode="0.00">
                  <c:v>1.35</c:v>
                </c:pt>
                <c:pt idx="96" formatCode="0.00">
                  <c:v>1.35</c:v>
                </c:pt>
                <c:pt idx="97" formatCode="0.00">
                  <c:v>1.35</c:v>
                </c:pt>
                <c:pt idx="98" formatCode="0.00">
                  <c:v>1.35</c:v>
                </c:pt>
                <c:pt idx="99" formatCode="0.00">
                  <c:v>1.35</c:v>
                </c:pt>
                <c:pt idx="100" formatCode="0.00">
                  <c:v>1.35</c:v>
                </c:pt>
                <c:pt idx="101" formatCode="0.00">
                  <c:v>1.35</c:v>
                </c:pt>
                <c:pt idx="102" formatCode="0.00">
                  <c:v>1.35</c:v>
                </c:pt>
                <c:pt idx="103" formatCode="0.00">
                  <c:v>1.35</c:v>
                </c:pt>
                <c:pt idx="104" formatCode="0.00">
                  <c:v>1.35</c:v>
                </c:pt>
                <c:pt idx="105" formatCode="0.00">
                  <c:v>1.35</c:v>
                </c:pt>
                <c:pt idx="106" formatCode="0.00">
                  <c:v>1.35</c:v>
                </c:pt>
                <c:pt idx="107" formatCode="0.00">
                  <c:v>1.35</c:v>
                </c:pt>
                <c:pt idx="108" formatCode="0.00">
                  <c:v>1.35</c:v>
                </c:pt>
                <c:pt idx="109" formatCode="0.00">
                  <c:v>1.35</c:v>
                </c:pt>
                <c:pt idx="110" formatCode="0.00">
                  <c:v>1.35</c:v>
                </c:pt>
                <c:pt idx="111" formatCode="0.00">
                  <c:v>1.35</c:v>
                </c:pt>
                <c:pt idx="112" formatCode="0.00">
                  <c:v>1.35</c:v>
                </c:pt>
                <c:pt idx="113" formatCode="0.00">
                  <c:v>1.35</c:v>
                </c:pt>
                <c:pt idx="114" formatCode="0.00">
                  <c:v>1.35</c:v>
                </c:pt>
                <c:pt idx="115" formatCode="0.00">
                  <c:v>1.35</c:v>
                </c:pt>
                <c:pt idx="116" formatCode="0.00">
                  <c:v>1.35</c:v>
                </c:pt>
                <c:pt idx="117" formatCode="0.00">
                  <c:v>1.35</c:v>
                </c:pt>
                <c:pt idx="118" formatCode="0.00">
                  <c:v>1.35</c:v>
                </c:pt>
                <c:pt idx="119" formatCode="0.00">
                  <c:v>1.35</c:v>
                </c:pt>
                <c:pt idx="120" formatCode="0.00">
                  <c:v>1.35</c:v>
                </c:pt>
                <c:pt idx="121" formatCode="0.00">
                  <c:v>1.35</c:v>
                </c:pt>
                <c:pt idx="122" formatCode="0.00">
                  <c:v>1.35</c:v>
                </c:pt>
                <c:pt idx="123" formatCode="0.00">
                  <c:v>1.35</c:v>
                </c:pt>
                <c:pt idx="124" formatCode="0.00">
                  <c:v>1.35</c:v>
                </c:pt>
                <c:pt idx="125" formatCode="0.00">
                  <c:v>1.35</c:v>
                </c:pt>
                <c:pt idx="126" formatCode="0.00">
                  <c:v>1.34</c:v>
                </c:pt>
                <c:pt idx="127" formatCode="0.00">
                  <c:v>1.34</c:v>
                </c:pt>
                <c:pt idx="128" formatCode="0.00">
                  <c:v>1.34</c:v>
                </c:pt>
                <c:pt idx="129" formatCode="0.00">
                  <c:v>1.34</c:v>
                </c:pt>
                <c:pt idx="130" formatCode="0.00">
                  <c:v>1.34</c:v>
                </c:pt>
                <c:pt idx="131" formatCode="0.00">
                  <c:v>1.34</c:v>
                </c:pt>
                <c:pt idx="132" formatCode="0.00">
                  <c:v>1.34</c:v>
                </c:pt>
                <c:pt idx="133" formatCode="0.00">
                  <c:v>1.34</c:v>
                </c:pt>
                <c:pt idx="134" formatCode="0.00">
                  <c:v>1.34</c:v>
                </c:pt>
                <c:pt idx="135" formatCode="0.00">
                  <c:v>1.34</c:v>
                </c:pt>
                <c:pt idx="136" formatCode="0.00">
                  <c:v>1.34</c:v>
                </c:pt>
                <c:pt idx="137" formatCode="0.00">
                  <c:v>1.34</c:v>
                </c:pt>
                <c:pt idx="138" formatCode="0.00">
                  <c:v>1.34</c:v>
                </c:pt>
                <c:pt idx="139" formatCode="0.00">
                  <c:v>1.34</c:v>
                </c:pt>
                <c:pt idx="140" formatCode="0.00">
                  <c:v>1.34</c:v>
                </c:pt>
                <c:pt idx="141" formatCode="0.00">
                  <c:v>1.33</c:v>
                </c:pt>
                <c:pt idx="142" formatCode="0.00">
                  <c:v>1.2</c:v>
                </c:pt>
                <c:pt idx="143" formatCode="0.00">
                  <c:v>1.2</c:v>
                </c:pt>
                <c:pt idx="144" formatCode="0.00">
                  <c:v>1.2</c:v>
                </c:pt>
                <c:pt idx="145" formatCode="0.00">
                  <c:v>1.2</c:v>
                </c:pt>
                <c:pt idx="146" formatCode="0.00">
                  <c:v>1.2</c:v>
                </c:pt>
                <c:pt idx="147" formatCode="0.00">
                  <c:v>1.2</c:v>
                </c:pt>
                <c:pt idx="148" formatCode="0.00">
                  <c:v>1.2</c:v>
                </c:pt>
                <c:pt idx="149" formatCode="0.00">
                  <c:v>1.2</c:v>
                </c:pt>
                <c:pt idx="150" formatCode="0.00">
                  <c:v>1.2</c:v>
                </c:pt>
                <c:pt idx="151" formatCode="0.00">
                  <c:v>1.2</c:v>
                </c:pt>
                <c:pt idx="152" formatCode="0.00">
                  <c:v>1.2</c:v>
                </c:pt>
                <c:pt idx="153" formatCode="0.00">
                  <c:v>1.2</c:v>
                </c:pt>
                <c:pt idx="154" formatCode="0.00">
                  <c:v>1.2</c:v>
                </c:pt>
                <c:pt idx="155" formatCode="0.00">
                  <c:v>1.2</c:v>
                </c:pt>
                <c:pt idx="156" formatCode="0.00">
                  <c:v>1.2</c:v>
                </c:pt>
                <c:pt idx="157" formatCode="0.00">
                  <c:v>1.2</c:v>
                </c:pt>
                <c:pt idx="158" formatCode="0.00">
                  <c:v>1.2</c:v>
                </c:pt>
                <c:pt idx="159" formatCode="0.00">
                  <c:v>1.2</c:v>
                </c:pt>
                <c:pt idx="160" formatCode="0.00">
                  <c:v>1.2</c:v>
                </c:pt>
                <c:pt idx="161" formatCode="0.00">
                  <c:v>1.2</c:v>
                </c:pt>
                <c:pt idx="162" formatCode="0.00">
                  <c:v>1.19</c:v>
                </c:pt>
                <c:pt idx="163" formatCode="0.00">
                  <c:v>1.19</c:v>
                </c:pt>
                <c:pt idx="164" formatCode="0.00">
                  <c:v>1.1399999999999999</c:v>
                </c:pt>
                <c:pt idx="165" formatCode="0.00">
                  <c:v>1.1399999999999999</c:v>
                </c:pt>
                <c:pt idx="166" formatCode="0.00">
                  <c:v>1.05</c:v>
                </c:pt>
                <c:pt idx="167" formatCode="0.00">
                  <c:v>1.05</c:v>
                </c:pt>
                <c:pt idx="168" formatCode="0.00">
                  <c:v>1.05</c:v>
                </c:pt>
                <c:pt idx="169" formatCode="0.00">
                  <c:v>1.08</c:v>
                </c:pt>
                <c:pt idx="170" formatCode="0.00">
                  <c:v>1.1000000000000001</c:v>
                </c:pt>
                <c:pt idx="171" formatCode="0.00">
                  <c:v>1.1000000000000001</c:v>
                </c:pt>
                <c:pt idx="172" formatCode="0.00">
                  <c:v>1.1000000000000001</c:v>
                </c:pt>
                <c:pt idx="173" formatCode="0.00">
                  <c:v>1.1000000000000001</c:v>
                </c:pt>
                <c:pt idx="174" formatCode="0.00">
                  <c:v>1.1000000000000001</c:v>
                </c:pt>
                <c:pt idx="175" formatCode="0.00">
                  <c:v>1.1000000000000001</c:v>
                </c:pt>
                <c:pt idx="176" formatCode="0.00">
                  <c:v>1.1000000000000001</c:v>
                </c:pt>
                <c:pt idx="177" formatCode="0.00">
                  <c:v>1.0900000000000001</c:v>
                </c:pt>
                <c:pt idx="178" formatCode="0.00">
                  <c:v>1.0900000000000001</c:v>
                </c:pt>
                <c:pt idx="179" formatCode="0.00">
                  <c:v>1.0900000000000001</c:v>
                </c:pt>
                <c:pt idx="180" formatCode="0.00">
                  <c:v>1.0900000000000001</c:v>
                </c:pt>
                <c:pt idx="181" formatCode="0.00">
                  <c:v>1.08</c:v>
                </c:pt>
                <c:pt idx="182" formatCode="0.00">
                  <c:v>1.08</c:v>
                </c:pt>
                <c:pt idx="183" formatCode="0.00">
                  <c:v>1.08</c:v>
                </c:pt>
                <c:pt idx="184" formatCode="0.00">
                  <c:v>1.07</c:v>
                </c:pt>
                <c:pt idx="185" formatCode="0.00">
                  <c:v>1</c:v>
                </c:pt>
                <c:pt idx="186" formatCode="0.00">
                  <c:v>1</c:v>
                </c:pt>
                <c:pt idx="187" formatCode="0.00">
                  <c:v>1</c:v>
                </c:pt>
                <c:pt idx="188" formatCode="0.00">
                  <c:v>1</c:v>
                </c:pt>
                <c:pt idx="189" formatCode="0.00">
                  <c:v>1.01</c:v>
                </c:pt>
                <c:pt idx="190" formatCode="0.00">
                  <c:v>1.03</c:v>
                </c:pt>
                <c:pt idx="191" formatCode="0.00">
                  <c:v>1.03</c:v>
                </c:pt>
                <c:pt idx="192" formatCode="0.00">
                  <c:v>1.02</c:v>
                </c:pt>
                <c:pt idx="193" formatCode="0.00">
                  <c:v>1.02</c:v>
                </c:pt>
                <c:pt idx="194" formatCode="0.00">
                  <c:v>1.01</c:v>
                </c:pt>
                <c:pt idx="195" formatCode="0.00">
                  <c:v>1.01</c:v>
                </c:pt>
                <c:pt idx="196" formatCode="0.00">
                  <c:v>1</c:v>
                </c:pt>
                <c:pt idx="197" formatCode="0.00">
                  <c:v>1</c:v>
                </c:pt>
                <c:pt idx="198" formatCode="0.00">
                  <c:v>0.99</c:v>
                </c:pt>
                <c:pt idx="199" formatCode="0.00">
                  <c:v>0.99</c:v>
                </c:pt>
                <c:pt idx="200" formatCode="0.00">
                  <c:v>0.99</c:v>
                </c:pt>
                <c:pt idx="201" formatCode="0.00">
                  <c:v>0.99</c:v>
                </c:pt>
                <c:pt idx="202" formatCode="0.00">
                  <c:v>0.99</c:v>
                </c:pt>
                <c:pt idx="203" formatCode="0.00">
                  <c:v>1</c:v>
                </c:pt>
                <c:pt idx="204" formatCode="0.00">
                  <c:v>1</c:v>
                </c:pt>
                <c:pt idx="205" formatCode="0.00">
                  <c:v>1</c:v>
                </c:pt>
                <c:pt idx="206" formatCode="0.00">
                  <c:v>1.01</c:v>
                </c:pt>
                <c:pt idx="207" formatCode="0.00">
                  <c:v>1.02</c:v>
                </c:pt>
                <c:pt idx="208" formatCode="0.00">
                  <c:v>1.01</c:v>
                </c:pt>
                <c:pt idx="209" formatCode="0.00">
                  <c:v>1.01</c:v>
                </c:pt>
                <c:pt idx="210" formatCode="0.00">
                  <c:v>1.01</c:v>
                </c:pt>
                <c:pt idx="211" formatCode="0.00">
                  <c:v>1.01</c:v>
                </c:pt>
                <c:pt idx="212" formatCode="0.00">
                  <c:v>1.02</c:v>
                </c:pt>
                <c:pt idx="213" formatCode="0.00">
                  <c:v>1.02</c:v>
                </c:pt>
                <c:pt idx="214" formatCode="0.00">
                  <c:v>1.02</c:v>
                </c:pt>
                <c:pt idx="215" formatCode="0.00">
                  <c:v>1.02</c:v>
                </c:pt>
                <c:pt idx="216" formatCode="0.00">
                  <c:v>1.02</c:v>
                </c:pt>
                <c:pt idx="217" formatCode="0.00">
                  <c:v>1.02</c:v>
                </c:pt>
                <c:pt idx="218" formatCode="0.00">
                  <c:v>1.02</c:v>
                </c:pt>
                <c:pt idx="219" formatCode="0.00">
                  <c:v>1.01</c:v>
                </c:pt>
                <c:pt idx="220" formatCode="0.00">
                  <c:v>1</c:v>
                </c:pt>
                <c:pt idx="221" formatCode="0.00">
                  <c:v>0.97</c:v>
                </c:pt>
                <c:pt idx="222" formatCode="0.00">
                  <c:v>0.95</c:v>
                </c:pt>
                <c:pt idx="223" formatCode="0.00">
                  <c:v>0.95</c:v>
                </c:pt>
                <c:pt idx="224" formatCode="0.00">
                  <c:v>0.95</c:v>
                </c:pt>
                <c:pt idx="225" formatCode="0.00">
                  <c:v>0.95</c:v>
                </c:pt>
                <c:pt idx="226" formatCode="0.00">
                  <c:v>0.94</c:v>
                </c:pt>
                <c:pt idx="227" formatCode="0.00">
                  <c:v>0.94</c:v>
                </c:pt>
                <c:pt idx="228" formatCode="0.00">
                  <c:v>0.94</c:v>
                </c:pt>
                <c:pt idx="229" formatCode="0.00">
                  <c:v>0.94</c:v>
                </c:pt>
                <c:pt idx="230" formatCode="0.00">
                  <c:v>0.93</c:v>
                </c:pt>
                <c:pt idx="231" formatCode="0.00">
                  <c:v>0.93</c:v>
                </c:pt>
                <c:pt idx="232" formatCode="0.00">
                  <c:v>0.93</c:v>
                </c:pt>
                <c:pt idx="233" formatCode="0.00">
                  <c:v>0.93</c:v>
                </c:pt>
                <c:pt idx="234" formatCode="0.00">
                  <c:v>0.93</c:v>
                </c:pt>
                <c:pt idx="235" formatCode="0.00">
                  <c:v>0.93</c:v>
                </c:pt>
                <c:pt idx="236" formatCode="0.00">
                  <c:v>0.91</c:v>
                </c:pt>
                <c:pt idx="237" formatCode="0.00">
                  <c:v>0.9</c:v>
                </c:pt>
                <c:pt idx="238" formatCode="0.00">
                  <c:v>0.9</c:v>
                </c:pt>
                <c:pt idx="239" formatCode="0.00">
                  <c:v>0.9</c:v>
                </c:pt>
                <c:pt idx="240" formatCode="0.00">
                  <c:v>0.88</c:v>
                </c:pt>
                <c:pt idx="241" formatCode="0.00">
                  <c:v>0.87</c:v>
                </c:pt>
                <c:pt idx="242" formatCode="0.00">
                  <c:v>0.86</c:v>
                </c:pt>
                <c:pt idx="243" formatCode="0.00">
                  <c:v>0.85</c:v>
                </c:pt>
                <c:pt idx="244" formatCode="0.00">
                  <c:v>0.85</c:v>
                </c:pt>
                <c:pt idx="245" formatCode="0.00">
                  <c:v>0.84</c:v>
                </c:pt>
                <c:pt idx="246" formatCode="0.00">
                  <c:v>0.84</c:v>
                </c:pt>
                <c:pt idx="247" formatCode="0.00">
                  <c:v>0.84</c:v>
                </c:pt>
                <c:pt idx="248" formatCode="0.00">
                  <c:v>0.85</c:v>
                </c:pt>
                <c:pt idx="249" formatCode="0.00">
                  <c:v>0.86</c:v>
                </c:pt>
                <c:pt idx="250" formatCode="0.00">
                  <c:v>0.88</c:v>
                </c:pt>
                <c:pt idx="251" formatCode="0.00">
                  <c:v>0.88</c:v>
                </c:pt>
                <c:pt idx="252" formatCode="0.00">
                  <c:v>0.88</c:v>
                </c:pt>
                <c:pt idx="253" formatCode="0.00">
                  <c:v>0.88</c:v>
                </c:pt>
                <c:pt idx="254" formatCode="0.00">
                  <c:v>0.88</c:v>
                </c:pt>
                <c:pt idx="255" formatCode="0.00">
                  <c:v>0.88</c:v>
                </c:pt>
                <c:pt idx="256" formatCode="0.00">
                  <c:v>0.88</c:v>
                </c:pt>
                <c:pt idx="257" formatCode="0.00">
                  <c:v>0.88</c:v>
                </c:pt>
                <c:pt idx="258" formatCode="0.00">
                  <c:v>0.88</c:v>
                </c:pt>
                <c:pt idx="259" formatCode="0.00">
                  <c:v>0.88</c:v>
                </c:pt>
                <c:pt idx="260" formatCode="0.00">
                  <c:v>0.88</c:v>
                </c:pt>
                <c:pt idx="261" formatCode="0.00">
                  <c:v>0.88</c:v>
                </c:pt>
                <c:pt idx="262" formatCode="0.00">
                  <c:v>0.88</c:v>
                </c:pt>
                <c:pt idx="263" formatCode="0.00">
                  <c:v>0.88</c:v>
                </c:pt>
                <c:pt idx="264" formatCode="0.00">
                  <c:v>0.88</c:v>
                </c:pt>
                <c:pt idx="265" formatCode="0.00">
                  <c:v>0.88</c:v>
                </c:pt>
                <c:pt idx="266" formatCode="0.00">
                  <c:v>0.88</c:v>
                </c:pt>
                <c:pt idx="267" formatCode="0.00">
                  <c:v>0.88</c:v>
                </c:pt>
                <c:pt idx="268" formatCode="0.00">
                  <c:v>0.88</c:v>
                </c:pt>
                <c:pt idx="269" formatCode="0.00">
                  <c:v>0.88</c:v>
                </c:pt>
                <c:pt idx="270" formatCode="0.00">
                  <c:v>0.89</c:v>
                </c:pt>
                <c:pt idx="271" formatCode="0.00">
                  <c:v>0.89</c:v>
                </c:pt>
                <c:pt idx="272" formatCode="0.00">
                  <c:v>0.89</c:v>
                </c:pt>
                <c:pt idx="273" formatCode="0.00">
                  <c:v>0.89</c:v>
                </c:pt>
                <c:pt idx="274" formatCode="0.00">
                  <c:v>0.89</c:v>
                </c:pt>
                <c:pt idx="275" formatCode="0.00">
                  <c:v>0.88</c:v>
                </c:pt>
                <c:pt idx="276" formatCode="0.00">
                  <c:v>0.88</c:v>
                </c:pt>
                <c:pt idx="277" formatCode="0.00">
                  <c:v>0.88</c:v>
                </c:pt>
                <c:pt idx="278" formatCode="0.00">
                  <c:v>0.88</c:v>
                </c:pt>
                <c:pt idx="279" formatCode="0.00">
                  <c:v>0.88</c:v>
                </c:pt>
                <c:pt idx="280" formatCode="0.00">
                  <c:v>0.88</c:v>
                </c:pt>
                <c:pt idx="281" formatCode="0.00">
                  <c:v>0.88</c:v>
                </c:pt>
                <c:pt idx="282" formatCode="0.00">
                  <c:v>0.87</c:v>
                </c:pt>
                <c:pt idx="283" formatCode="0.00">
                  <c:v>0.87</c:v>
                </c:pt>
                <c:pt idx="284" formatCode="0.00">
                  <c:v>0.87</c:v>
                </c:pt>
                <c:pt idx="285" formatCode="0.00">
                  <c:v>0.87</c:v>
                </c:pt>
                <c:pt idx="286" formatCode="0.00">
                  <c:v>0.87</c:v>
                </c:pt>
                <c:pt idx="287" formatCode="0.00">
                  <c:v>0.87</c:v>
                </c:pt>
                <c:pt idx="288" formatCode="0.00">
                  <c:v>0.87</c:v>
                </c:pt>
                <c:pt idx="289" formatCode="0.00">
                  <c:v>0.85</c:v>
                </c:pt>
                <c:pt idx="290" formatCode="0.00">
                  <c:v>0.82</c:v>
                </c:pt>
                <c:pt idx="291" formatCode="0.00">
                  <c:v>0.81</c:v>
                </c:pt>
                <c:pt idx="292" formatCode="0.00">
                  <c:v>0.81</c:v>
                </c:pt>
                <c:pt idx="293" formatCode="0.00">
                  <c:v>0.81</c:v>
                </c:pt>
                <c:pt idx="294" formatCode="0.00">
                  <c:v>0.81</c:v>
                </c:pt>
                <c:pt idx="295" formatCode="0.00">
                  <c:v>0.81</c:v>
                </c:pt>
                <c:pt idx="296" formatCode="0.00">
                  <c:v>0.79</c:v>
                </c:pt>
                <c:pt idx="297" formatCode="0.00">
                  <c:v>0.78</c:v>
                </c:pt>
                <c:pt idx="298" formatCode="0.00">
                  <c:v>0.78</c:v>
                </c:pt>
                <c:pt idx="299" formatCode="0.00">
                  <c:v>0.78</c:v>
                </c:pt>
                <c:pt idx="300" formatCode="0.00">
                  <c:v>0.78</c:v>
                </c:pt>
                <c:pt idx="301" formatCode="0.00">
                  <c:v>0.77</c:v>
                </c:pt>
                <c:pt idx="302" formatCode="0.00">
                  <c:v>0.77</c:v>
                </c:pt>
                <c:pt idx="303" formatCode="0.00">
                  <c:v>0.75</c:v>
                </c:pt>
                <c:pt idx="304" formatCode="0.00">
                  <c:v>0.73</c:v>
                </c:pt>
                <c:pt idx="305" formatCode="0.00">
                  <c:v>0.72</c:v>
                </c:pt>
                <c:pt idx="306" formatCode="0.00">
                  <c:v>0.72</c:v>
                </c:pt>
                <c:pt idx="307" formatCode="0.00">
                  <c:v>0.71</c:v>
                </c:pt>
                <c:pt idx="308" formatCode="0.00">
                  <c:v>0.7</c:v>
                </c:pt>
                <c:pt idx="309" formatCode="0.00">
                  <c:v>0.7</c:v>
                </c:pt>
                <c:pt idx="310" formatCode="0.00">
                  <c:v>0.69</c:v>
                </c:pt>
                <c:pt idx="311" formatCode="0.00">
                  <c:v>0.68</c:v>
                </c:pt>
                <c:pt idx="312" formatCode="0.00">
                  <c:v>0.66</c:v>
                </c:pt>
                <c:pt idx="313" formatCode="0.00">
                  <c:v>0.66</c:v>
                </c:pt>
                <c:pt idx="314" formatCode="0.00">
                  <c:v>0.64</c:v>
                </c:pt>
                <c:pt idx="315" formatCode="0.00">
                  <c:v>0.61</c:v>
                </c:pt>
                <c:pt idx="316" formatCode="0.00">
                  <c:v>0.57999999999999996</c:v>
                </c:pt>
                <c:pt idx="317" formatCode="0.00">
                  <c:v>0.56999999999999995</c:v>
                </c:pt>
                <c:pt idx="318" formatCode="0.00">
                  <c:v>0.56000000000000005</c:v>
                </c:pt>
                <c:pt idx="319" formatCode="0.00">
                  <c:v>0.55000000000000004</c:v>
                </c:pt>
                <c:pt idx="320" formatCode="0.00">
                  <c:v>0.54</c:v>
                </c:pt>
                <c:pt idx="321" formatCode="0.00">
                  <c:v>0.51</c:v>
                </c:pt>
                <c:pt idx="322" formatCode="0.00">
                  <c:v>0.47</c:v>
                </c:pt>
                <c:pt idx="323" formatCode="0.00">
                  <c:v>0.45</c:v>
                </c:pt>
                <c:pt idx="324" formatCode="0.00">
                  <c:v>0.43</c:v>
                </c:pt>
                <c:pt idx="325" formatCode="0.00">
                  <c:v>0.41</c:v>
                </c:pt>
                <c:pt idx="326" formatCode="0.00">
                  <c:v>0.4</c:v>
                </c:pt>
                <c:pt idx="327" formatCode="0.00">
                  <c:v>0.39</c:v>
                </c:pt>
                <c:pt idx="328" formatCode="0.00">
                  <c:v>0.39</c:v>
                </c:pt>
                <c:pt idx="329" formatCode="0.00">
                  <c:v>0.39</c:v>
                </c:pt>
                <c:pt idx="330" formatCode="0.00">
                  <c:v>0.39</c:v>
                </c:pt>
                <c:pt idx="331" formatCode="0.00">
                  <c:v>0.39</c:v>
                </c:pt>
                <c:pt idx="332" formatCode="0.00">
                  <c:v>0.39</c:v>
                </c:pt>
                <c:pt idx="333" formatCode="0.00">
                  <c:v>0.39</c:v>
                </c:pt>
                <c:pt idx="334" formatCode="0.00">
                  <c:v>0.39</c:v>
                </c:pt>
                <c:pt idx="335" formatCode="0.00">
                  <c:v>0.39</c:v>
                </c:pt>
                <c:pt idx="336" formatCode="0.00">
                  <c:v>0.38</c:v>
                </c:pt>
                <c:pt idx="337" formatCode="0.00">
                  <c:v>0.38</c:v>
                </c:pt>
                <c:pt idx="338" formatCode="0.00">
                  <c:v>0.38</c:v>
                </c:pt>
                <c:pt idx="339" formatCode="0.00">
                  <c:v>0.37</c:v>
                </c:pt>
                <c:pt idx="340" formatCode="0.00">
                  <c:v>0.37</c:v>
                </c:pt>
                <c:pt idx="341" formatCode="0.00">
                  <c:v>0.37</c:v>
                </c:pt>
                <c:pt idx="342" formatCode="0.00">
                  <c:v>0.36</c:v>
                </c:pt>
                <c:pt idx="343" formatCode="0.00">
                  <c:v>0.35</c:v>
                </c:pt>
                <c:pt idx="344" formatCode="0.00">
                  <c:v>0.35</c:v>
                </c:pt>
                <c:pt idx="345" formatCode="0.00">
                  <c:v>0.34</c:v>
                </c:pt>
                <c:pt idx="346" formatCode="0.00">
                  <c:v>0.34</c:v>
                </c:pt>
                <c:pt idx="347" formatCode="0.00">
                  <c:v>0.33</c:v>
                </c:pt>
                <c:pt idx="348" formatCode="0.00">
                  <c:v>0.31</c:v>
                </c:pt>
                <c:pt idx="349" formatCode="0.00">
                  <c:v>0.3</c:v>
                </c:pt>
                <c:pt idx="350" formatCode="0.00">
                  <c:v>0.3</c:v>
                </c:pt>
                <c:pt idx="351" formatCode="0.00">
                  <c:v>0.3</c:v>
                </c:pt>
                <c:pt idx="352" formatCode="0.00">
                  <c:v>0.3</c:v>
                </c:pt>
                <c:pt idx="353" formatCode="0.00">
                  <c:v>0.3</c:v>
                </c:pt>
                <c:pt idx="354" formatCode="0.00">
                  <c:v>0.28999999999999998</c:v>
                </c:pt>
                <c:pt idx="355" formatCode="0.00">
                  <c:v>0.28000000000000003</c:v>
                </c:pt>
                <c:pt idx="356" formatCode="0.00">
                  <c:v>0.27</c:v>
                </c:pt>
                <c:pt idx="357" formatCode="0.00">
                  <c:v>0.27</c:v>
                </c:pt>
                <c:pt idx="358" formatCode="0.00">
                  <c:v>0.26</c:v>
                </c:pt>
                <c:pt idx="359" formatCode="0.00">
                  <c:v>0.25</c:v>
                </c:pt>
                <c:pt idx="360" formatCode="0.00">
                  <c:v>0.25</c:v>
                </c:pt>
                <c:pt idx="361" formatCode="0.00">
                  <c:v>0.25</c:v>
                </c:pt>
                <c:pt idx="362" formatCode="0.00">
                  <c:v>0.25</c:v>
                </c:pt>
                <c:pt idx="363" formatCode="0.00">
                  <c:v>0.25</c:v>
                </c:pt>
                <c:pt idx="364" formatCode="0.00">
                  <c:v>0.25</c:v>
                </c:pt>
                <c:pt idx="365" formatCode="0.00">
                  <c:v>0.25</c:v>
                </c:pt>
                <c:pt idx="366" formatCode="0.00">
                  <c:v>0.25</c:v>
                </c:pt>
                <c:pt idx="367" formatCode="0.00">
                  <c:v>0.25</c:v>
                </c:pt>
                <c:pt idx="368" formatCode="0.00">
                  <c:v>0.25</c:v>
                </c:pt>
                <c:pt idx="369" formatCode="0.00">
                  <c:v>0.25</c:v>
                </c:pt>
                <c:pt idx="370" formatCode="0.00">
                  <c:v>0.24</c:v>
                </c:pt>
                <c:pt idx="371" formatCode="0.00">
                  <c:v>0.24</c:v>
                </c:pt>
                <c:pt idx="372" formatCode="0.00">
                  <c:v>0.24</c:v>
                </c:pt>
                <c:pt idx="373" formatCode="0.00">
                  <c:v>0.24</c:v>
                </c:pt>
                <c:pt idx="374" formatCode="0.00">
                  <c:v>0.24</c:v>
                </c:pt>
                <c:pt idx="375" formatCode="0.00">
                  <c:v>0.24</c:v>
                </c:pt>
                <c:pt idx="376" formatCode="0.00">
                  <c:v>0.24</c:v>
                </c:pt>
                <c:pt idx="377" formatCode="0.00">
                  <c:v>0.23</c:v>
                </c:pt>
                <c:pt idx="378" formatCode="0.00">
                  <c:v>0.24</c:v>
                </c:pt>
                <c:pt idx="379" formatCode="0.00">
                  <c:v>0.24</c:v>
                </c:pt>
                <c:pt idx="380" formatCode="0.00">
                  <c:v>0.23</c:v>
                </c:pt>
                <c:pt idx="381" formatCode="0.00">
                  <c:v>0.23</c:v>
                </c:pt>
                <c:pt idx="382" formatCode="0.00">
                  <c:v>0.23</c:v>
                </c:pt>
                <c:pt idx="383" formatCode="0.00">
                  <c:v>0.23</c:v>
                </c:pt>
                <c:pt idx="384" formatCode="0.00">
                  <c:v>0.23</c:v>
                </c:pt>
                <c:pt idx="385" formatCode="0.00">
                  <c:v>0.23</c:v>
                </c:pt>
                <c:pt idx="386" formatCode="0.00">
                  <c:v>0.23</c:v>
                </c:pt>
                <c:pt idx="387" formatCode="0.00">
                  <c:v>0.23</c:v>
                </c:pt>
                <c:pt idx="388" formatCode="0.00">
                  <c:v>0.23</c:v>
                </c:pt>
                <c:pt idx="389" formatCode="0.00">
                  <c:v>0.23</c:v>
                </c:pt>
                <c:pt idx="390" formatCode="0.00">
                  <c:v>0.23</c:v>
                </c:pt>
                <c:pt idx="391" formatCode="0.00">
                  <c:v>0.23</c:v>
                </c:pt>
                <c:pt idx="392" formatCode="0.00">
                  <c:v>0.23</c:v>
                </c:pt>
                <c:pt idx="393" formatCode="0.00">
                  <c:v>0.23</c:v>
                </c:pt>
                <c:pt idx="394" formatCode="0.00">
                  <c:v>0.23</c:v>
                </c:pt>
                <c:pt idx="395" formatCode="0.00">
                  <c:v>0.23</c:v>
                </c:pt>
                <c:pt idx="396" formatCode="0.00">
                  <c:v>0.22</c:v>
                </c:pt>
                <c:pt idx="397" formatCode="0.00">
                  <c:v>0.22</c:v>
                </c:pt>
                <c:pt idx="398" formatCode="0.00">
                  <c:v>0.22</c:v>
                </c:pt>
                <c:pt idx="399" formatCode="0.00">
                  <c:v>0.21</c:v>
                </c:pt>
                <c:pt idx="400" formatCode="0.00">
                  <c:v>0.21</c:v>
                </c:pt>
                <c:pt idx="401" formatCode="0.00">
                  <c:v>0.21</c:v>
                </c:pt>
                <c:pt idx="402" formatCode="0.00">
                  <c:v>0.2</c:v>
                </c:pt>
                <c:pt idx="403" formatCode="0.00">
                  <c:v>0.18</c:v>
                </c:pt>
                <c:pt idx="404" formatCode="0.00">
                  <c:v>0.18</c:v>
                </c:pt>
                <c:pt idx="405" formatCode="0.00">
                  <c:v>0.18</c:v>
                </c:pt>
                <c:pt idx="406" formatCode="0.00">
                  <c:v>0.18</c:v>
                </c:pt>
                <c:pt idx="407" formatCode="0.00">
                  <c:v>0.18</c:v>
                </c:pt>
                <c:pt idx="408" formatCode="0.00">
                  <c:v>0.17</c:v>
                </c:pt>
                <c:pt idx="409" formatCode="0.00">
                  <c:v>0.17</c:v>
                </c:pt>
                <c:pt idx="410" formatCode="0.00">
                  <c:v>0.16</c:v>
                </c:pt>
                <c:pt idx="411" formatCode="0.00">
                  <c:v>0.16</c:v>
                </c:pt>
                <c:pt idx="412" formatCode="0.00">
                  <c:v>0.16</c:v>
                </c:pt>
                <c:pt idx="413" formatCode="0.00">
                  <c:v>0.16</c:v>
                </c:pt>
                <c:pt idx="414" formatCode="0.00">
                  <c:v>0.16</c:v>
                </c:pt>
                <c:pt idx="415" formatCode="0.00">
                  <c:v>0.16</c:v>
                </c:pt>
                <c:pt idx="416" formatCode="0.00">
                  <c:v>0.16</c:v>
                </c:pt>
                <c:pt idx="417" formatCode="0.00">
                  <c:v>0.16</c:v>
                </c:pt>
                <c:pt idx="418" formatCode="0.00">
                  <c:v>0.16</c:v>
                </c:pt>
                <c:pt idx="419" formatCode="0.00">
                  <c:v>0.16</c:v>
                </c:pt>
                <c:pt idx="420" formatCode="0.00">
                  <c:v>0.16</c:v>
                </c:pt>
                <c:pt idx="421">
                  <c:v>0.16</c:v>
                </c:pt>
                <c:pt idx="422">
                  <c:v>0.16</c:v>
                </c:pt>
                <c:pt idx="423">
                  <c:v>0.16</c:v>
                </c:pt>
                <c:pt idx="424">
                  <c:v>0.16</c:v>
                </c:pt>
                <c:pt idx="425">
                  <c:v>0.16</c:v>
                </c:pt>
                <c:pt idx="426">
                  <c:v>0.16</c:v>
                </c:pt>
                <c:pt idx="427">
                  <c:v>0.16</c:v>
                </c:pt>
                <c:pt idx="428">
                  <c:v>0.16</c:v>
                </c:pt>
                <c:pt idx="429">
                  <c:v>0.16</c:v>
                </c:pt>
                <c:pt idx="430">
                  <c:v>0.16</c:v>
                </c:pt>
                <c:pt idx="431">
                  <c:v>0.16</c:v>
                </c:pt>
                <c:pt idx="432">
                  <c:v>0.16</c:v>
                </c:pt>
                <c:pt idx="433">
                  <c:v>0.16</c:v>
                </c:pt>
                <c:pt idx="434">
                  <c:v>0.16</c:v>
                </c:pt>
                <c:pt idx="435">
                  <c:v>0.16</c:v>
                </c:pt>
                <c:pt idx="436">
                  <c:v>0.16</c:v>
                </c:pt>
                <c:pt idx="437">
                  <c:v>0.16</c:v>
                </c:pt>
                <c:pt idx="438">
                  <c:v>0.16</c:v>
                </c:pt>
                <c:pt idx="439">
                  <c:v>0.16</c:v>
                </c:pt>
                <c:pt idx="440">
                  <c:v>0.16</c:v>
                </c:pt>
                <c:pt idx="441">
                  <c:v>0.16</c:v>
                </c:pt>
                <c:pt idx="442">
                  <c:v>0.15</c:v>
                </c:pt>
                <c:pt idx="443">
                  <c:v>0.15</c:v>
                </c:pt>
                <c:pt idx="444">
                  <c:v>0.15</c:v>
                </c:pt>
                <c:pt idx="445">
                  <c:v>0.15</c:v>
                </c:pt>
                <c:pt idx="446">
                  <c:v>0.15</c:v>
                </c:pt>
                <c:pt idx="447">
                  <c:v>0.15</c:v>
                </c:pt>
                <c:pt idx="448">
                  <c:v>0.16</c:v>
                </c:pt>
                <c:pt idx="449">
                  <c:v>0.15</c:v>
                </c:pt>
                <c:pt idx="450">
                  <c:v>0.15</c:v>
                </c:pt>
                <c:pt idx="451">
                  <c:v>0.15</c:v>
                </c:pt>
                <c:pt idx="452">
                  <c:v>0.15</c:v>
                </c:pt>
                <c:pt idx="453">
                  <c:v>0.15</c:v>
                </c:pt>
                <c:pt idx="454">
                  <c:v>0.15</c:v>
                </c:pt>
                <c:pt idx="455">
                  <c:v>0.15</c:v>
                </c:pt>
                <c:pt idx="456">
                  <c:v>0.15</c:v>
                </c:pt>
                <c:pt idx="457">
                  <c:v>0.15</c:v>
                </c:pt>
                <c:pt idx="458">
                  <c:v>0.15</c:v>
                </c:pt>
                <c:pt idx="459">
                  <c:v>0.15</c:v>
                </c:pt>
                <c:pt idx="460">
                  <c:v>0.15</c:v>
                </c:pt>
                <c:pt idx="461">
                  <c:v>0.15</c:v>
                </c:pt>
                <c:pt idx="462">
                  <c:v>0.15</c:v>
                </c:pt>
                <c:pt idx="463">
                  <c:v>0.15</c:v>
                </c:pt>
                <c:pt idx="464">
                  <c:v>0.15</c:v>
                </c:pt>
                <c:pt idx="465">
                  <c:v>0.15</c:v>
                </c:pt>
                <c:pt idx="466">
                  <c:v>0.15</c:v>
                </c:pt>
                <c:pt idx="467">
                  <c:v>0.15</c:v>
                </c:pt>
                <c:pt idx="468">
                  <c:v>0.15</c:v>
                </c:pt>
                <c:pt idx="469">
                  <c:v>0.15</c:v>
                </c:pt>
                <c:pt idx="470">
                  <c:v>0.15</c:v>
                </c:pt>
                <c:pt idx="471">
                  <c:v>0.15</c:v>
                </c:pt>
                <c:pt idx="472">
                  <c:v>0.15</c:v>
                </c:pt>
                <c:pt idx="473">
                  <c:v>0.15</c:v>
                </c:pt>
                <c:pt idx="474">
                  <c:v>0.15</c:v>
                </c:pt>
                <c:pt idx="475">
                  <c:v>0.15</c:v>
                </c:pt>
                <c:pt idx="476">
                  <c:v>0.15</c:v>
                </c:pt>
                <c:pt idx="477">
                  <c:v>0.15</c:v>
                </c:pt>
                <c:pt idx="478">
                  <c:v>0.15</c:v>
                </c:pt>
                <c:pt idx="479">
                  <c:v>0.15</c:v>
                </c:pt>
                <c:pt idx="480">
                  <c:v>0.15</c:v>
                </c:pt>
                <c:pt idx="481">
                  <c:v>0.15</c:v>
                </c:pt>
                <c:pt idx="482">
                  <c:v>0.15</c:v>
                </c:pt>
                <c:pt idx="483">
                  <c:v>0.15</c:v>
                </c:pt>
                <c:pt idx="484">
                  <c:v>0.15</c:v>
                </c:pt>
                <c:pt idx="485">
                  <c:v>0.15</c:v>
                </c:pt>
                <c:pt idx="486">
                  <c:v>0.15</c:v>
                </c:pt>
                <c:pt idx="487">
                  <c:v>0.15</c:v>
                </c:pt>
                <c:pt idx="488">
                  <c:v>0.15</c:v>
                </c:pt>
                <c:pt idx="489">
                  <c:v>0.15</c:v>
                </c:pt>
                <c:pt idx="490">
                  <c:v>0.15</c:v>
                </c:pt>
                <c:pt idx="491">
                  <c:v>0.15</c:v>
                </c:pt>
                <c:pt idx="492">
                  <c:v>0.15</c:v>
                </c:pt>
                <c:pt idx="493">
                  <c:v>0.15</c:v>
                </c:pt>
                <c:pt idx="494">
                  <c:v>0.15</c:v>
                </c:pt>
                <c:pt idx="495">
                  <c:v>0.15</c:v>
                </c:pt>
                <c:pt idx="496">
                  <c:v>0.15</c:v>
                </c:pt>
                <c:pt idx="497">
                  <c:v>0.15</c:v>
                </c:pt>
                <c:pt idx="498">
                  <c:v>0.15</c:v>
                </c:pt>
                <c:pt idx="499">
                  <c:v>0.15</c:v>
                </c:pt>
                <c:pt idx="500">
                  <c:v>0.15</c:v>
                </c:pt>
                <c:pt idx="501">
                  <c:v>0.15</c:v>
                </c:pt>
                <c:pt idx="502">
                  <c:v>0.15</c:v>
                </c:pt>
                <c:pt idx="503">
                  <c:v>0.15</c:v>
                </c:pt>
                <c:pt idx="504">
                  <c:v>0.15</c:v>
                </c:pt>
                <c:pt idx="505">
                  <c:v>0.15</c:v>
                </c:pt>
                <c:pt idx="506">
                  <c:v>0.15</c:v>
                </c:pt>
                <c:pt idx="507">
                  <c:v>0.15</c:v>
                </c:pt>
                <c:pt idx="508">
                  <c:v>0.15</c:v>
                </c:pt>
                <c:pt idx="509">
                  <c:v>0.15</c:v>
                </c:pt>
                <c:pt idx="510">
                  <c:v>0.15</c:v>
                </c:pt>
                <c:pt idx="511">
                  <c:v>0.15</c:v>
                </c:pt>
                <c:pt idx="512">
                  <c:v>0.15</c:v>
                </c:pt>
                <c:pt idx="513">
                  <c:v>0.15</c:v>
                </c:pt>
                <c:pt idx="514">
                  <c:v>0.15</c:v>
                </c:pt>
                <c:pt idx="515">
                  <c:v>0.15</c:v>
                </c:pt>
                <c:pt idx="516">
                  <c:v>0.15</c:v>
                </c:pt>
                <c:pt idx="517">
                  <c:v>0.15</c:v>
                </c:pt>
                <c:pt idx="518">
                  <c:v>0.15</c:v>
                </c:pt>
                <c:pt idx="519">
                  <c:v>0.15</c:v>
                </c:pt>
                <c:pt idx="520">
                  <c:v>0.15</c:v>
                </c:pt>
                <c:pt idx="521">
                  <c:v>0.15</c:v>
                </c:pt>
                <c:pt idx="522">
                  <c:v>0.15</c:v>
                </c:pt>
                <c:pt idx="523">
                  <c:v>0.15</c:v>
                </c:pt>
                <c:pt idx="524">
                  <c:v>0.15</c:v>
                </c:pt>
                <c:pt idx="525">
                  <c:v>0.15</c:v>
                </c:pt>
                <c:pt idx="526">
                  <c:v>0.15</c:v>
                </c:pt>
                <c:pt idx="527">
                  <c:v>0.15</c:v>
                </c:pt>
                <c:pt idx="528">
                  <c:v>0.15</c:v>
                </c:pt>
                <c:pt idx="529">
                  <c:v>0.15</c:v>
                </c:pt>
                <c:pt idx="530">
                  <c:v>0.15</c:v>
                </c:pt>
                <c:pt idx="531">
                  <c:v>0.15</c:v>
                </c:pt>
                <c:pt idx="532">
                  <c:v>0.15</c:v>
                </c:pt>
                <c:pt idx="533">
                  <c:v>0.15</c:v>
                </c:pt>
                <c:pt idx="534">
                  <c:v>0.15</c:v>
                </c:pt>
                <c:pt idx="535">
                  <c:v>0.15</c:v>
                </c:pt>
                <c:pt idx="536">
                  <c:v>0.15</c:v>
                </c:pt>
                <c:pt idx="537">
                  <c:v>0.15</c:v>
                </c:pt>
                <c:pt idx="538">
                  <c:v>0.15</c:v>
                </c:pt>
                <c:pt idx="539">
                  <c:v>0.15</c:v>
                </c:pt>
                <c:pt idx="540">
                  <c:v>0.15</c:v>
                </c:pt>
                <c:pt idx="541">
                  <c:v>0.15</c:v>
                </c:pt>
                <c:pt idx="542">
                  <c:v>0.15</c:v>
                </c:pt>
                <c:pt idx="543">
                  <c:v>0.15</c:v>
                </c:pt>
                <c:pt idx="544">
                  <c:v>0.15</c:v>
                </c:pt>
                <c:pt idx="545">
                  <c:v>0.15</c:v>
                </c:pt>
                <c:pt idx="546">
                  <c:v>0.15</c:v>
                </c:pt>
                <c:pt idx="547">
                  <c:v>0.15</c:v>
                </c:pt>
                <c:pt idx="548">
                  <c:v>0.15</c:v>
                </c:pt>
                <c:pt idx="549">
                  <c:v>0.15</c:v>
                </c:pt>
                <c:pt idx="550">
                  <c:v>0.15</c:v>
                </c:pt>
                <c:pt idx="551">
                  <c:v>0.15</c:v>
                </c:pt>
                <c:pt idx="552">
                  <c:v>0.15</c:v>
                </c:pt>
                <c:pt idx="553">
                  <c:v>0.15</c:v>
                </c:pt>
                <c:pt idx="554">
                  <c:v>0.15</c:v>
                </c:pt>
                <c:pt idx="555">
                  <c:v>0.15</c:v>
                </c:pt>
                <c:pt idx="556">
                  <c:v>0.15</c:v>
                </c:pt>
                <c:pt idx="557">
                  <c:v>0.15</c:v>
                </c:pt>
                <c:pt idx="558">
                  <c:v>0.14000000000000001</c:v>
                </c:pt>
                <c:pt idx="559">
                  <c:v>0.13</c:v>
                </c:pt>
                <c:pt idx="560">
                  <c:v>0.13</c:v>
                </c:pt>
                <c:pt idx="561">
                  <c:v>0.12</c:v>
                </c:pt>
                <c:pt idx="562">
                  <c:v>0.12</c:v>
                </c:pt>
                <c:pt idx="563">
                  <c:v>0.12</c:v>
                </c:pt>
                <c:pt idx="564">
                  <c:v>0.12</c:v>
                </c:pt>
                <c:pt idx="565">
                  <c:v>0.12</c:v>
                </c:pt>
                <c:pt idx="566">
                  <c:v>0.12</c:v>
                </c:pt>
                <c:pt idx="567">
                  <c:v>0.06</c:v>
                </c:pt>
                <c:pt idx="568">
                  <c:v>0.05</c:v>
                </c:pt>
                <c:pt idx="569">
                  <c:v>0.05</c:v>
                </c:pt>
                <c:pt idx="570">
                  <c:v>0.05</c:v>
                </c:pt>
                <c:pt idx="571">
                  <c:v>0.05</c:v>
                </c:pt>
                <c:pt idx="572">
                  <c:v>0.04</c:v>
                </c:pt>
                <c:pt idx="573">
                  <c:v>0.04</c:v>
                </c:pt>
                <c:pt idx="574">
                  <c:v>0.04</c:v>
                </c:pt>
                <c:pt idx="575">
                  <c:v>0.04</c:v>
                </c:pt>
                <c:pt idx="576">
                  <c:v>0.04</c:v>
                </c:pt>
                <c:pt idx="577">
                  <c:v>0.04</c:v>
                </c:pt>
                <c:pt idx="578">
                  <c:v>0.04</c:v>
                </c:pt>
                <c:pt idx="579">
                  <c:v>0.03</c:v>
                </c:pt>
                <c:pt idx="580">
                  <c:v>0.03</c:v>
                </c:pt>
                <c:pt idx="581">
                  <c:v>0.03</c:v>
                </c:pt>
                <c:pt idx="582">
                  <c:v>0.03</c:v>
                </c:pt>
                <c:pt idx="583">
                  <c:v>0.03</c:v>
                </c:pt>
                <c:pt idx="584">
                  <c:v>0.03</c:v>
                </c:pt>
                <c:pt idx="585">
                  <c:v>0.03</c:v>
                </c:pt>
                <c:pt idx="586">
                  <c:v>0.03</c:v>
                </c:pt>
                <c:pt idx="587">
                  <c:v>0.03</c:v>
                </c:pt>
                <c:pt idx="588">
                  <c:v>0.03</c:v>
                </c:pt>
                <c:pt idx="589">
                  <c:v>0.03</c:v>
                </c:pt>
                <c:pt idx="590">
                  <c:v>0.03</c:v>
                </c:pt>
                <c:pt idx="591">
                  <c:v>0.03</c:v>
                </c:pt>
                <c:pt idx="592">
                  <c:v>0.03</c:v>
                </c:pt>
                <c:pt idx="593">
                  <c:v>0.03</c:v>
                </c:pt>
                <c:pt idx="594">
                  <c:v>0.03</c:v>
                </c:pt>
                <c:pt idx="595">
                  <c:v>0.03</c:v>
                </c:pt>
                <c:pt idx="596">
                  <c:v>0.03</c:v>
                </c:pt>
                <c:pt idx="597">
                  <c:v>0.03</c:v>
                </c:pt>
                <c:pt idx="598">
                  <c:v>0.03</c:v>
                </c:pt>
                <c:pt idx="599">
                  <c:v>0.03</c:v>
                </c:pt>
                <c:pt idx="600">
                  <c:v>0.03</c:v>
                </c:pt>
                <c:pt idx="601">
                  <c:v>0.03</c:v>
                </c:pt>
                <c:pt idx="602">
                  <c:v>0.03</c:v>
                </c:pt>
                <c:pt idx="603">
                  <c:v>0.03</c:v>
                </c:pt>
                <c:pt idx="604">
                  <c:v>0.03</c:v>
                </c:pt>
                <c:pt idx="605">
                  <c:v>0.03</c:v>
                </c:pt>
                <c:pt idx="606">
                  <c:v>0.03</c:v>
                </c:pt>
                <c:pt idx="607">
                  <c:v>0.03</c:v>
                </c:pt>
                <c:pt idx="608">
                  <c:v>0.03</c:v>
                </c:pt>
                <c:pt idx="609">
                  <c:v>0.03</c:v>
                </c:pt>
                <c:pt idx="610">
                  <c:v>0.03</c:v>
                </c:pt>
                <c:pt idx="611">
                  <c:v>0.03</c:v>
                </c:pt>
                <c:pt idx="612">
                  <c:v>0.03</c:v>
                </c:pt>
                <c:pt idx="613">
                  <c:v>0.03</c:v>
                </c:pt>
                <c:pt idx="614">
                  <c:v>0.03</c:v>
                </c:pt>
                <c:pt idx="615">
                  <c:v>0.03</c:v>
                </c:pt>
                <c:pt idx="616">
                  <c:v>0.03</c:v>
                </c:pt>
                <c:pt idx="617">
                  <c:v>0.03</c:v>
                </c:pt>
                <c:pt idx="618">
                  <c:v>0.03</c:v>
                </c:pt>
                <c:pt idx="619">
                  <c:v>0.03</c:v>
                </c:pt>
                <c:pt idx="620">
                  <c:v>0.03</c:v>
                </c:pt>
                <c:pt idx="621">
                  <c:v>0.03</c:v>
                </c:pt>
                <c:pt idx="622">
                  <c:v>0.03</c:v>
                </c:pt>
                <c:pt idx="623">
                  <c:v>0.03</c:v>
                </c:pt>
                <c:pt idx="624">
                  <c:v>0.03</c:v>
                </c:pt>
                <c:pt idx="625">
                  <c:v>0.03</c:v>
                </c:pt>
                <c:pt idx="626">
                  <c:v>0.03</c:v>
                </c:pt>
                <c:pt idx="627">
                  <c:v>0.03</c:v>
                </c:pt>
                <c:pt idx="628">
                  <c:v>0.03</c:v>
                </c:pt>
                <c:pt idx="629">
                  <c:v>0.03</c:v>
                </c:pt>
                <c:pt idx="630">
                  <c:v>0.03</c:v>
                </c:pt>
                <c:pt idx="631">
                  <c:v>0.03</c:v>
                </c:pt>
                <c:pt idx="632">
                  <c:v>0.03</c:v>
                </c:pt>
                <c:pt idx="633">
                  <c:v>0.03</c:v>
                </c:pt>
                <c:pt idx="634">
                  <c:v>0.03</c:v>
                </c:pt>
                <c:pt idx="635">
                  <c:v>0.03</c:v>
                </c:pt>
                <c:pt idx="636">
                  <c:v>0.03</c:v>
                </c:pt>
                <c:pt idx="637">
                  <c:v>0.03</c:v>
                </c:pt>
                <c:pt idx="638">
                  <c:v>0.03</c:v>
                </c:pt>
                <c:pt idx="639">
                  <c:v>0.03</c:v>
                </c:pt>
                <c:pt idx="640">
                  <c:v>0.03</c:v>
                </c:pt>
                <c:pt idx="641">
                  <c:v>0.03</c:v>
                </c:pt>
                <c:pt idx="642">
                  <c:v>0.03</c:v>
                </c:pt>
                <c:pt idx="643">
                  <c:v>0.03</c:v>
                </c:pt>
                <c:pt idx="644">
                  <c:v>0.03</c:v>
                </c:pt>
                <c:pt idx="645">
                  <c:v>0.03</c:v>
                </c:pt>
                <c:pt idx="646">
                  <c:v>0.03</c:v>
                </c:pt>
                <c:pt idx="647">
                  <c:v>0.03</c:v>
                </c:pt>
                <c:pt idx="648">
                  <c:v>0.03</c:v>
                </c:pt>
                <c:pt idx="649">
                  <c:v>0.03</c:v>
                </c:pt>
                <c:pt idx="650">
                  <c:v>0.03</c:v>
                </c:pt>
                <c:pt idx="651">
                  <c:v>0.03</c:v>
                </c:pt>
                <c:pt idx="652">
                  <c:v>0.03</c:v>
                </c:pt>
                <c:pt idx="653">
                  <c:v>0.03</c:v>
                </c:pt>
                <c:pt idx="654">
                  <c:v>0.03</c:v>
                </c:pt>
                <c:pt idx="655">
                  <c:v>0.03</c:v>
                </c:pt>
                <c:pt idx="656">
                  <c:v>0.03</c:v>
                </c:pt>
                <c:pt idx="657">
                  <c:v>0.03</c:v>
                </c:pt>
                <c:pt idx="658">
                  <c:v>0.03</c:v>
                </c:pt>
                <c:pt idx="659">
                  <c:v>0.03</c:v>
                </c:pt>
                <c:pt idx="660">
                  <c:v>0.03</c:v>
                </c:pt>
                <c:pt idx="661">
                  <c:v>0.03</c:v>
                </c:pt>
                <c:pt idx="662">
                  <c:v>0.03</c:v>
                </c:pt>
                <c:pt idx="663">
                  <c:v>0.03</c:v>
                </c:pt>
                <c:pt idx="664">
                  <c:v>0.03</c:v>
                </c:pt>
                <c:pt idx="665">
                  <c:v>0.03</c:v>
                </c:pt>
                <c:pt idx="666">
                  <c:v>0.03</c:v>
                </c:pt>
                <c:pt idx="667">
                  <c:v>0.03</c:v>
                </c:pt>
                <c:pt idx="668">
                  <c:v>0.03</c:v>
                </c:pt>
                <c:pt idx="669">
                  <c:v>0.03</c:v>
                </c:pt>
                <c:pt idx="670">
                  <c:v>0.03</c:v>
                </c:pt>
                <c:pt idx="671">
                  <c:v>0.03</c:v>
                </c:pt>
                <c:pt idx="672">
                  <c:v>0.03</c:v>
                </c:pt>
                <c:pt idx="673">
                  <c:v>0.03</c:v>
                </c:pt>
                <c:pt idx="674">
                  <c:v>0.03</c:v>
                </c:pt>
                <c:pt idx="675">
                  <c:v>0.03</c:v>
                </c:pt>
                <c:pt idx="676">
                  <c:v>0.03</c:v>
                </c:pt>
                <c:pt idx="677">
                  <c:v>0.03</c:v>
                </c:pt>
                <c:pt idx="678">
                  <c:v>0.03</c:v>
                </c:pt>
                <c:pt idx="679">
                  <c:v>0.03</c:v>
                </c:pt>
                <c:pt idx="680">
                  <c:v>0.02</c:v>
                </c:pt>
                <c:pt idx="681">
                  <c:v>0.02</c:v>
                </c:pt>
                <c:pt idx="682">
                  <c:v>0.02</c:v>
                </c:pt>
                <c:pt idx="683">
                  <c:v>0.02</c:v>
                </c:pt>
                <c:pt idx="684">
                  <c:v>0.02</c:v>
                </c:pt>
                <c:pt idx="685">
                  <c:v>0.02</c:v>
                </c:pt>
                <c:pt idx="686">
                  <c:v>0.02</c:v>
                </c:pt>
                <c:pt idx="687">
                  <c:v>0.02</c:v>
                </c:pt>
                <c:pt idx="688">
                  <c:v>0.02</c:v>
                </c:pt>
                <c:pt idx="689">
                  <c:v>0.02</c:v>
                </c:pt>
                <c:pt idx="690">
                  <c:v>0.02</c:v>
                </c:pt>
                <c:pt idx="691">
                  <c:v>0.02</c:v>
                </c:pt>
                <c:pt idx="692">
                  <c:v>0.02</c:v>
                </c:pt>
                <c:pt idx="693">
                  <c:v>0.02</c:v>
                </c:pt>
                <c:pt idx="694">
                  <c:v>0.02</c:v>
                </c:pt>
                <c:pt idx="695">
                  <c:v>0.02</c:v>
                </c:pt>
                <c:pt idx="696">
                  <c:v>0.02</c:v>
                </c:pt>
                <c:pt idx="697">
                  <c:v>0.02</c:v>
                </c:pt>
                <c:pt idx="698">
                  <c:v>0.02</c:v>
                </c:pt>
                <c:pt idx="699">
                  <c:v>0.02</c:v>
                </c:pt>
                <c:pt idx="700">
                  <c:v>0.02</c:v>
                </c:pt>
                <c:pt idx="701">
                  <c:v>0.02</c:v>
                </c:pt>
                <c:pt idx="702">
                  <c:v>0.02</c:v>
                </c:pt>
                <c:pt idx="703">
                  <c:v>0.02</c:v>
                </c:pt>
                <c:pt idx="704">
                  <c:v>0.02</c:v>
                </c:pt>
                <c:pt idx="705">
                  <c:v>0.02</c:v>
                </c:pt>
                <c:pt idx="706">
                  <c:v>0.02</c:v>
                </c:pt>
                <c:pt idx="707">
                  <c:v>0.02</c:v>
                </c:pt>
                <c:pt idx="708">
                  <c:v>0.02</c:v>
                </c:pt>
                <c:pt idx="709">
                  <c:v>0.02</c:v>
                </c:pt>
                <c:pt idx="710">
                  <c:v>0.02</c:v>
                </c:pt>
                <c:pt idx="711">
                  <c:v>0.02</c:v>
                </c:pt>
                <c:pt idx="712">
                  <c:v>0.02</c:v>
                </c:pt>
                <c:pt idx="713">
                  <c:v>0.02</c:v>
                </c:pt>
                <c:pt idx="714">
                  <c:v>0.02</c:v>
                </c:pt>
                <c:pt idx="715">
                  <c:v>0.02</c:v>
                </c:pt>
                <c:pt idx="716">
                  <c:v>0.02</c:v>
                </c:pt>
                <c:pt idx="717">
                  <c:v>0.02</c:v>
                </c:pt>
                <c:pt idx="718">
                  <c:v>0.02</c:v>
                </c:pt>
                <c:pt idx="719">
                  <c:v>0.02</c:v>
                </c:pt>
                <c:pt idx="720">
                  <c:v>0.02</c:v>
                </c:pt>
                <c:pt idx="721">
                  <c:v>0.02</c:v>
                </c:pt>
                <c:pt idx="722">
                  <c:v>0.02</c:v>
                </c:pt>
                <c:pt idx="723">
                  <c:v>0.02</c:v>
                </c:pt>
                <c:pt idx="724">
                  <c:v>0.02</c:v>
                </c:pt>
                <c:pt idx="725">
                  <c:v>0.02</c:v>
                </c:pt>
                <c:pt idx="726">
                  <c:v>0.02</c:v>
                </c:pt>
                <c:pt idx="727">
                  <c:v>0.02</c:v>
                </c:pt>
                <c:pt idx="728">
                  <c:v>0.02</c:v>
                </c:pt>
                <c:pt idx="729">
                  <c:v>0.02</c:v>
                </c:pt>
                <c:pt idx="730">
                  <c:v>0.02</c:v>
                </c:pt>
                <c:pt idx="731">
                  <c:v>0.02</c:v>
                </c:pt>
                <c:pt idx="732">
                  <c:v>0.02</c:v>
                </c:pt>
                <c:pt idx="733">
                  <c:v>0.02</c:v>
                </c:pt>
                <c:pt idx="734">
                  <c:v>0.02</c:v>
                </c:pt>
                <c:pt idx="735">
                  <c:v>0.02</c:v>
                </c:pt>
                <c:pt idx="736">
                  <c:v>0.02</c:v>
                </c:pt>
                <c:pt idx="737">
                  <c:v>0.03</c:v>
                </c:pt>
                <c:pt idx="738">
                  <c:v>0.03</c:v>
                </c:pt>
                <c:pt idx="739">
                  <c:v>0.03</c:v>
                </c:pt>
                <c:pt idx="740">
                  <c:v>0.03</c:v>
                </c:pt>
                <c:pt idx="741">
                  <c:v>0.03</c:v>
                </c:pt>
                <c:pt idx="742">
                  <c:v>0.03</c:v>
                </c:pt>
                <c:pt idx="743">
                  <c:v>0.03</c:v>
                </c:pt>
                <c:pt idx="744">
                  <c:v>0.03</c:v>
                </c:pt>
                <c:pt idx="745">
                  <c:v>0.03</c:v>
                </c:pt>
                <c:pt idx="746">
                  <c:v>0.03</c:v>
                </c:pt>
                <c:pt idx="747">
                  <c:v>0.03</c:v>
                </c:pt>
                <c:pt idx="748">
                  <c:v>0.03</c:v>
                </c:pt>
                <c:pt idx="749">
                  <c:v>0.03</c:v>
                </c:pt>
                <c:pt idx="750">
                  <c:v>0.03</c:v>
                </c:pt>
                <c:pt idx="751">
                  <c:v>0.03</c:v>
                </c:pt>
                <c:pt idx="752">
                  <c:v>0.03</c:v>
                </c:pt>
                <c:pt idx="753">
                  <c:v>0.03</c:v>
                </c:pt>
                <c:pt idx="754">
                  <c:v>0.03</c:v>
                </c:pt>
                <c:pt idx="755">
                  <c:v>0.03</c:v>
                </c:pt>
                <c:pt idx="756">
                  <c:v>0.03</c:v>
                </c:pt>
                <c:pt idx="757">
                  <c:v>0.03</c:v>
                </c:pt>
                <c:pt idx="758">
                  <c:v>0.03</c:v>
                </c:pt>
                <c:pt idx="759">
                  <c:v>0.03</c:v>
                </c:pt>
                <c:pt idx="760">
                  <c:v>0.03</c:v>
                </c:pt>
                <c:pt idx="761">
                  <c:v>0.03</c:v>
                </c:pt>
                <c:pt idx="762">
                  <c:v>0.03</c:v>
                </c:pt>
                <c:pt idx="763">
                  <c:v>0.03</c:v>
                </c:pt>
                <c:pt idx="764">
                  <c:v>0.03</c:v>
                </c:pt>
                <c:pt idx="765">
                  <c:v>0.03</c:v>
                </c:pt>
                <c:pt idx="766">
                  <c:v>0.03</c:v>
                </c:pt>
                <c:pt idx="767">
                  <c:v>0.03</c:v>
                </c:pt>
                <c:pt idx="768">
                  <c:v>0.03</c:v>
                </c:pt>
                <c:pt idx="769">
                  <c:v>0.03</c:v>
                </c:pt>
                <c:pt idx="770">
                  <c:v>0.03</c:v>
                </c:pt>
                <c:pt idx="771">
                  <c:v>0.03</c:v>
                </c:pt>
                <c:pt idx="772">
                  <c:v>0.03</c:v>
                </c:pt>
                <c:pt idx="773">
                  <c:v>0.03</c:v>
                </c:pt>
                <c:pt idx="774">
                  <c:v>0.03</c:v>
                </c:pt>
                <c:pt idx="775">
                  <c:v>0.03</c:v>
                </c:pt>
                <c:pt idx="776">
                  <c:v>0.03</c:v>
                </c:pt>
                <c:pt idx="777">
                  <c:v>0.03</c:v>
                </c:pt>
                <c:pt idx="778">
                  <c:v>0.03</c:v>
                </c:pt>
                <c:pt idx="779">
                  <c:v>0.03</c:v>
                </c:pt>
                <c:pt idx="780">
                  <c:v>0.03</c:v>
                </c:pt>
                <c:pt idx="781">
                  <c:v>0.03</c:v>
                </c:pt>
                <c:pt idx="782">
                  <c:v>0.03</c:v>
                </c:pt>
                <c:pt idx="783">
                  <c:v>0.03</c:v>
                </c:pt>
                <c:pt idx="784">
                  <c:v>0.03</c:v>
                </c:pt>
                <c:pt idx="785">
                  <c:v>0.03</c:v>
                </c:pt>
                <c:pt idx="786">
                  <c:v>0.04</c:v>
                </c:pt>
                <c:pt idx="787">
                  <c:v>0.04</c:v>
                </c:pt>
                <c:pt idx="788">
                  <c:v>0.04</c:v>
                </c:pt>
                <c:pt idx="789">
                  <c:v>0.04</c:v>
                </c:pt>
                <c:pt idx="790">
                  <c:v>0.04</c:v>
                </c:pt>
                <c:pt idx="791">
                  <c:v>0.04</c:v>
                </c:pt>
                <c:pt idx="792">
                  <c:v>0.04</c:v>
                </c:pt>
                <c:pt idx="793">
                  <c:v>0.05</c:v>
                </c:pt>
                <c:pt idx="794">
                  <c:v>0.05</c:v>
                </c:pt>
                <c:pt idx="795">
                  <c:v>0.05</c:v>
                </c:pt>
                <c:pt idx="796">
                  <c:v>0.05</c:v>
                </c:pt>
                <c:pt idx="797">
                  <c:v>0.05</c:v>
                </c:pt>
                <c:pt idx="798">
                  <c:v>0.05</c:v>
                </c:pt>
                <c:pt idx="799">
                  <c:v>0.05</c:v>
                </c:pt>
                <c:pt idx="800">
                  <c:v>0.05</c:v>
                </c:pt>
                <c:pt idx="801">
                  <c:v>0.05</c:v>
                </c:pt>
                <c:pt idx="802">
                  <c:v>0.05</c:v>
                </c:pt>
                <c:pt idx="803">
                  <c:v>0.05</c:v>
                </c:pt>
                <c:pt idx="804">
                  <c:v>0.06</c:v>
                </c:pt>
                <c:pt idx="805">
                  <c:v>7.0000000000000007E-2</c:v>
                </c:pt>
                <c:pt idx="806">
                  <c:v>0.09</c:v>
                </c:pt>
                <c:pt idx="807">
                  <c:v>0.1</c:v>
                </c:pt>
                <c:pt idx="808">
                  <c:v>0.1</c:v>
                </c:pt>
                <c:pt idx="809">
                  <c:v>0.1</c:v>
                </c:pt>
                <c:pt idx="810">
                  <c:v>0.1</c:v>
                </c:pt>
                <c:pt idx="811">
                  <c:v>0.1</c:v>
                </c:pt>
                <c:pt idx="812">
                  <c:v>0.12</c:v>
                </c:pt>
                <c:pt idx="813">
                  <c:v>0.12</c:v>
                </c:pt>
                <c:pt idx="814">
                  <c:v>0.12</c:v>
                </c:pt>
                <c:pt idx="815">
                  <c:v>0.12</c:v>
                </c:pt>
                <c:pt idx="816">
                  <c:v>0.12</c:v>
                </c:pt>
                <c:pt idx="817">
                  <c:v>0.12</c:v>
                </c:pt>
                <c:pt idx="818">
                  <c:v>0.12</c:v>
                </c:pt>
                <c:pt idx="819">
                  <c:v>0.12</c:v>
                </c:pt>
                <c:pt idx="820">
                  <c:v>0.12</c:v>
                </c:pt>
                <c:pt idx="821">
                  <c:v>0.12</c:v>
                </c:pt>
                <c:pt idx="822">
                  <c:v>0.12</c:v>
                </c:pt>
                <c:pt idx="823">
                  <c:v>0.12</c:v>
                </c:pt>
                <c:pt idx="824">
                  <c:v>0.12</c:v>
                </c:pt>
                <c:pt idx="825">
                  <c:v>0.12</c:v>
                </c:pt>
                <c:pt idx="826">
                  <c:v>0.12</c:v>
                </c:pt>
                <c:pt idx="827">
                  <c:v>0.12</c:v>
                </c:pt>
                <c:pt idx="828">
                  <c:v>0.12</c:v>
                </c:pt>
                <c:pt idx="829">
                  <c:v>0.12</c:v>
                </c:pt>
                <c:pt idx="830">
                  <c:v>0.12</c:v>
                </c:pt>
                <c:pt idx="831">
                  <c:v>0.12</c:v>
                </c:pt>
                <c:pt idx="832">
                  <c:v>0.12</c:v>
                </c:pt>
                <c:pt idx="833">
                  <c:v>0.13</c:v>
                </c:pt>
                <c:pt idx="834">
                  <c:v>0.13</c:v>
                </c:pt>
                <c:pt idx="835">
                  <c:v>0.15</c:v>
                </c:pt>
                <c:pt idx="836">
                  <c:v>0.15</c:v>
                </c:pt>
                <c:pt idx="837">
                  <c:v>0.15</c:v>
                </c:pt>
                <c:pt idx="838">
                  <c:v>0.16</c:v>
                </c:pt>
                <c:pt idx="839">
                  <c:v>0.18</c:v>
                </c:pt>
                <c:pt idx="840">
                  <c:v>0.2</c:v>
                </c:pt>
                <c:pt idx="841">
                  <c:v>0.23</c:v>
                </c:pt>
                <c:pt idx="842">
                  <c:v>0.26</c:v>
                </c:pt>
                <c:pt idx="843">
                  <c:v>0.26</c:v>
                </c:pt>
                <c:pt idx="844">
                  <c:v>0.26</c:v>
                </c:pt>
                <c:pt idx="845">
                  <c:v>0.27</c:v>
                </c:pt>
                <c:pt idx="846">
                  <c:v>0.27</c:v>
                </c:pt>
                <c:pt idx="847">
                  <c:v>0.26</c:v>
                </c:pt>
                <c:pt idx="848">
                  <c:v>0.26</c:v>
                </c:pt>
                <c:pt idx="849">
                  <c:v>0.26</c:v>
                </c:pt>
                <c:pt idx="850">
                  <c:v>0.26</c:v>
                </c:pt>
                <c:pt idx="851">
                  <c:v>0.26</c:v>
                </c:pt>
                <c:pt idx="852">
                  <c:v>0.26</c:v>
                </c:pt>
                <c:pt idx="853">
                  <c:v>0.28000000000000003</c:v>
                </c:pt>
                <c:pt idx="854">
                  <c:v>0.3</c:v>
                </c:pt>
                <c:pt idx="855">
                  <c:v>0.3</c:v>
                </c:pt>
                <c:pt idx="856">
                  <c:v>0.3</c:v>
                </c:pt>
                <c:pt idx="857">
                  <c:v>0.3</c:v>
                </c:pt>
                <c:pt idx="858">
                  <c:v>0.3</c:v>
                </c:pt>
                <c:pt idx="859">
                  <c:v>0.28999999999999998</c:v>
                </c:pt>
                <c:pt idx="860">
                  <c:v>0.28999999999999998</c:v>
                </c:pt>
                <c:pt idx="861">
                  <c:v>0.28000000000000003</c:v>
                </c:pt>
                <c:pt idx="862">
                  <c:v>0.28000000000000003</c:v>
                </c:pt>
                <c:pt idx="863">
                  <c:v>0.28000000000000003</c:v>
                </c:pt>
                <c:pt idx="864">
                  <c:v>0.28000000000000003</c:v>
                </c:pt>
                <c:pt idx="865">
                  <c:v>0.28000000000000003</c:v>
                </c:pt>
                <c:pt idx="866">
                  <c:v>0.28000000000000003</c:v>
                </c:pt>
                <c:pt idx="867">
                  <c:v>0.26</c:v>
                </c:pt>
                <c:pt idx="868">
                  <c:v>0.26</c:v>
                </c:pt>
                <c:pt idx="869">
                  <c:v>0.25</c:v>
                </c:pt>
                <c:pt idx="870">
                  <c:v>0.25</c:v>
                </c:pt>
                <c:pt idx="871">
                  <c:v>0.25</c:v>
                </c:pt>
                <c:pt idx="872">
                  <c:v>0.25</c:v>
                </c:pt>
                <c:pt idx="873">
                  <c:v>0.25</c:v>
                </c:pt>
                <c:pt idx="874" formatCode="0.00">
                  <c:v>0.24</c:v>
                </c:pt>
                <c:pt idx="875" formatCode="0.00">
                  <c:v>0.23</c:v>
                </c:pt>
                <c:pt idx="876" formatCode="0.00">
                  <c:v>0.21</c:v>
                </c:pt>
                <c:pt idx="877" formatCode="0.00">
                  <c:v>0.19</c:v>
                </c:pt>
                <c:pt idx="878" formatCode="0.00">
                  <c:v>0.19</c:v>
                </c:pt>
                <c:pt idx="879" formatCode="0.00">
                  <c:v>0.19</c:v>
                </c:pt>
                <c:pt idx="880" formatCode="0.00">
                  <c:v>0.18</c:v>
                </c:pt>
                <c:pt idx="881" formatCode="0.00">
                  <c:v>0.17</c:v>
                </c:pt>
                <c:pt idx="882" formatCode="0.00">
                  <c:v>0.16</c:v>
                </c:pt>
                <c:pt idx="883">
                  <c:v>0.16</c:v>
                </c:pt>
                <c:pt idx="884">
                  <c:v>0.16</c:v>
                </c:pt>
                <c:pt idx="885">
                  <c:v>0.16</c:v>
                </c:pt>
                <c:pt idx="886">
                  <c:v>0.16</c:v>
                </c:pt>
                <c:pt idx="887">
                  <c:v>0.16</c:v>
                </c:pt>
                <c:pt idx="888">
                  <c:v>0.16</c:v>
                </c:pt>
                <c:pt idx="889">
                  <c:v>0.16</c:v>
                </c:pt>
                <c:pt idx="890">
                  <c:v>0.16</c:v>
                </c:pt>
                <c:pt idx="891">
                  <c:v>0.17</c:v>
                </c:pt>
                <c:pt idx="892">
                  <c:v>0.17</c:v>
                </c:pt>
                <c:pt idx="893">
                  <c:v>0.17</c:v>
                </c:pt>
                <c:pt idx="894">
                  <c:v>0.18</c:v>
                </c:pt>
                <c:pt idx="895">
                  <c:v>0.19</c:v>
                </c:pt>
                <c:pt idx="896">
                  <c:v>0.18</c:v>
                </c:pt>
                <c:pt idx="897">
                  <c:v>0.19</c:v>
                </c:pt>
                <c:pt idx="898">
                  <c:v>0.19</c:v>
                </c:pt>
                <c:pt idx="899">
                  <c:v>0.19</c:v>
                </c:pt>
                <c:pt idx="900">
                  <c:v>0.19</c:v>
                </c:pt>
                <c:pt idx="901">
                  <c:v>0.19</c:v>
                </c:pt>
                <c:pt idx="902">
                  <c:v>0.19</c:v>
                </c:pt>
                <c:pt idx="903">
                  <c:v>0.19</c:v>
                </c:pt>
                <c:pt idx="904">
                  <c:v>0.18</c:v>
                </c:pt>
                <c:pt idx="905">
                  <c:v>0.18</c:v>
                </c:pt>
                <c:pt idx="906">
                  <c:v>0.18</c:v>
                </c:pt>
                <c:pt idx="907">
                  <c:v>0.18</c:v>
                </c:pt>
                <c:pt idx="908">
                  <c:v>0.18</c:v>
                </c:pt>
                <c:pt idx="909">
                  <c:v>0.18</c:v>
                </c:pt>
                <c:pt idx="910">
                  <c:v>0.17</c:v>
                </c:pt>
                <c:pt idx="911">
                  <c:v>0.17</c:v>
                </c:pt>
                <c:pt idx="912">
                  <c:v>0.17</c:v>
                </c:pt>
                <c:pt idx="913">
                  <c:v>0.17</c:v>
                </c:pt>
                <c:pt idx="914">
                  <c:v>0.17</c:v>
                </c:pt>
                <c:pt idx="915">
                  <c:v>0.17</c:v>
                </c:pt>
                <c:pt idx="916">
                  <c:v>0.18</c:v>
                </c:pt>
                <c:pt idx="917">
                  <c:v>0.19</c:v>
                </c:pt>
                <c:pt idx="918">
                  <c:v>0.2</c:v>
                </c:pt>
                <c:pt idx="919">
                  <c:v>0.2</c:v>
                </c:pt>
                <c:pt idx="920">
                  <c:v>0.2</c:v>
                </c:pt>
                <c:pt idx="921">
                  <c:v>0.2</c:v>
                </c:pt>
                <c:pt idx="922">
                  <c:v>0.2</c:v>
                </c:pt>
                <c:pt idx="923">
                  <c:v>0.21</c:v>
                </c:pt>
                <c:pt idx="924">
                  <c:v>0.21</c:v>
                </c:pt>
                <c:pt idx="925">
                  <c:v>0.21</c:v>
                </c:pt>
                <c:pt idx="926">
                  <c:v>0.21</c:v>
                </c:pt>
                <c:pt idx="927">
                  <c:v>0.21</c:v>
                </c:pt>
                <c:pt idx="928">
                  <c:v>0.21</c:v>
                </c:pt>
                <c:pt idx="929">
                  <c:v>0.21</c:v>
                </c:pt>
                <c:pt idx="930">
                  <c:v>0.21</c:v>
                </c:pt>
                <c:pt idx="931">
                  <c:v>0.2</c:v>
                </c:pt>
                <c:pt idx="932">
                  <c:v>0.2</c:v>
                </c:pt>
                <c:pt idx="933">
                  <c:v>0.19</c:v>
                </c:pt>
                <c:pt idx="934">
                  <c:v>0.19</c:v>
                </c:pt>
                <c:pt idx="935">
                  <c:v>0.19</c:v>
                </c:pt>
                <c:pt idx="936">
                  <c:v>0.19</c:v>
                </c:pt>
                <c:pt idx="937">
                  <c:v>0.19</c:v>
                </c:pt>
                <c:pt idx="938">
                  <c:v>0.19</c:v>
                </c:pt>
                <c:pt idx="939">
                  <c:v>0.18</c:v>
                </c:pt>
                <c:pt idx="940">
                  <c:v>0.17</c:v>
                </c:pt>
                <c:pt idx="941">
                  <c:v>0.17</c:v>
                </c:pt>
                <c:pt idx="942">
                  <c:v>0.17</c:v>
                </c:pt>
                <c:pt idx="943">
                  <c:v>0.17</c:v>
                </c:pt>
                <c:pt idx="944">
                  <c:v>0.16</c:v>
                </c:pt>
                <c:pt idx="945">
                  <c:v>0.16</c:v>
                </c:pt>
                <c:pt idx="946">
                  <c:v>0.16</c:v>
                </c:pt>
                <c:pt idx="947">
                  <c:v>0.16</c:v>
                </c:pt>
                <c:pt idx="948">
                  <c:v>0.16</c:v>
                </c:pt>
                <c:pt idx="949">
                  <c:v>0.16</c:v>
                </c:pt>
                <c:pt idx="950">
                  <c:v>0.16</c:v>
                </c:pt>
                <c:pt idx="951">
                  <c:v>0.17</c:v>
                </c:pt>
                <c:pt idx="952">
                  <c:v>0.17</c:v>
                </c:pt>
                <c:pt idx="953">
                  <c:v>0.17</c:v>
                </c:pt>
                <c:pt idx="954">
                  <c:v>0.17</c:v>
                </c:pt>
                <c:pt idx="955">
                  <c:v>0.17</c:v>
                </c:pt>
                <c:pt idx="956">
                  <c:v>0.17</c:v>
                </c:pt>
                <c:pt idx="957">
                  <c:v>0.17</c:v>
                </c:pt>
                <c:pt idx="958">
                  <c:v>0.17</c:v>
                </c:pt>
                <c:pt idx="959">
                  <c:v>0.17</c:v>
                </c:pt>
                <c:pt idx="960">
                  <c:v>0.16</c:v>
                </c:pt>
                <c:pt idx="961">
                  <c:v>0.16</c:v>
                </c:pt>
                <c:pt idx="962">
                  <c:v>0.16</c:v>
                </c:pt>
                <c:pt idx="963">
                  <c:v>0.16</c:v>
                </c:pt>
                <c:pt idx="964">
                  <c:v>0.16</c:v>
                </c:pt>
                <c:pt idx="965">
                  <c:v>0.16</c:v>
                </c:pt>
                <c:pt idx="966">
                  <c:v>0.16</c:v>
                </c:pt>
                <c:pt idx="967">
                  <c:v>0.16</c:v>
                </c:pt>
                <c:pt idx="968">
                  <c:v>0.16</c:v>
                </c:pt>
                <c:pt idx="969">
                  <c:v>0.16</c:v>
                </c:pt>
                <c:pt idx="970">
                  <c:v>0.16</c:v>
                </c:pt>
                <c:pt idx="971">
                  <c:v>0.16</c:v>
                </c:pt>
                <c:pt idx="972">
                  <c:v>0.16</c:v>
                </c:pt>
                <c:pt idx="973">
                  <c:v>0.16</c:v>
                </c:pt>
                <c:pt idx="974">
                  <c:v>0.16</c:v>
                </c:pt>
                <c:pt idx="975">
                  <c:v>0.16</c:v>
                </c:pt>
                <c:pt idx="976">
                  <c:v>0.16</c:v>
                </c:pt>
                <c:pt idx="977">
                  <c:v>0.16</c:v>
                </c:pt>
                <c:pt idx="978">
                  <c:v>0.16</c:v>
                </c:pt>
                <c:pt idx="979">
                  <c:v>0.16</c:v>
                </c:pt>
                <c:pt idx="980">
                  <c:v>0.16</c:v>
                </c:pt>
                <c:pt idx="981">
                  <c:v>0.16</c:v>
                </c:pt>
                <c:pt idx="982">
                  <c:v>0.16</c:v>
                </c:pt>
                <c:pt idx="983">
                  <c:v>0.16</c:v>
                </c:pt>
                <c:pt idx="984">
                  <c:v>0.16</c:v>
                </c:pt>
                <c:pt idx="985">
                  <c:v>0.15</c:v>
                </c:pt>
                <c:pt idx="986">
                  <c:v>0.15</c:v>
                </c:pt>
                <c:pt idx="987">
                  <c:v>0.15</c:v>
                </c:pt>
                <c:pt idx="988">
                  <c:v>0.14000000000000001</c:v>
                </c:pt>
                <c:pt idx="989">
                  <c:v>0.13</c:v>
                </c:pt>
                <c:pt idx="990">
                  <c:v>0.13</c:v>
                </c:pt>
                <c:pt idx="991">
                  <c:v>0.13</c:v>
                </c:pt>
                <c:pt idx="992">
                  <c:v>0.13</c:v>
                </c:pt>
                <c:pt idx="993">
                  <c:v>0.13</c:v>
                </c:pt>
                <c:pt idx="994">
                  <c:v>0.13</c:v>
                </c:pt>
                <c:pt idx="995">
                  <c:v>0.13</c:v>
                </c:pt>
                <c:pt idx="996">
                  <c:v>0.13</c:v>
                </c:pt>
                <c:pt idx="997">
                  <c:v>0.13</c:v>
                </c:pt>
                <c:pt idx="998">
                  <c:v>0.13</c:v>
                </c:pt>
                <c:pt idx="999">
                  <c:v>0.13</c:v>
                </c:pt>
                <c:pt idx="1000">
                  <c:v>0.13</c:v>
                </c:pt>
                <c:pt idx="1001">
                  <c:v>0.13</c:v>
                </c:pt>
                <c:pt idx="1002">
                  <c:v>0.13</c:v>
                </c:pt>
                <c:pt idx="1003">
                  <c:v>0.13</c:v>
                </c:pt>
                <c:pt idx="1004">
                  <c:v>0.13</c:v>
                </c:pt>
                <c:pt idx="1005">
                  <c:v>0.13</c:v>
                </c:pt>
                <c:pt idx="1006">
                  <c:v>0.13</c:v>
                </c:pt>
                <c:pt idx="1007">
                  <c:v>0.13</c:v>
                </c:pt>
                <c:pt idx="1008">
                  <c:v>0.13</c:v>
                </c:pt>
                <c:pt idx="1009">
                  <c:v>0.13</c:v>
                </c:pt>
                <c:pt idx="1010">
                  <c:v>0.13</c:v>
                </c:pt>
                <c:pt idx="1011">
                  <c:v>0.13</c:v>
                </c:pt>
                <c:pt idx="1012">
                  <c:v>0.13</c:v>
                </c:pt>
                <c:pt idx="1013">
                  <c:v>0.13</c:v>
                </c:pt>
                <c:pt idx="1014">
                  <c:v>0.13</c:v>
                </c:pt>
                <c:pt idx="1015">
                  <c:v>0.13</c:v>
                </c:pt>
                <c:pt idx="1016">
                  <c:v>0.13</c:v>
                </c:pt>
                <c:pt idx="1017">
                  <c:v>0.13</c:v>
                </c:pt>
                <c:pt idx="1018">
                  <c:v>0.13</c:v>
                </c:pt>
                <c:pt idx="1019">
                  <c:v>0.13</c:v>
                </c:pt>
                <c:pt idx="1020">
                  <c:v>0.13</c:v>
                </c:pt>
                <c:pt idx="1021">
                  <c:v>0.13</c:v>
                </c:pt>
                <c:pt idx="1022">
                  <c:v>0.13</c:v>
                </c:pt>
                <c:pt idx="1023">
                  <c:v>0.13</c:v>
                </c:pt>
                <c:pt idx="1024">
                  <c:v>0.13</c:v>
                </c:pt>
                <c:pt idx="1025">
                  <c:v>0.13</c:v>
                </c:pt>
                <c:pt idx="1026">
                  <c:v>0.13</c:v>
                </c:pt>
                <c:pt idx="1027">
                  <c:v>0.13</c:v>
                </c:pt>
                <c:pt idx="1028">
                  <c:v>0.13</c:v>
                </c:pt>
                <c:pt idx="1029">
                  <c:v>0.13</c:v>
                </c:pt>
                <c:pt idx="1030">
                  <c:v>0.13</c:v>
                </c:pt>
                <c:pt idx="1031">
                  <c:v>0.13</c:v>
                </c:pt>
                <c:pt idx="1032">
                  <c:v>0.13</c:v>
                </c:pt>
                <c:pt idx="1033">
                  <c:v>0.13</c:v>
                </c:pt>
                <c:pt idx="1034">
                  <c:v>0.13</c:v>
                </c:pt>
                <c:pt idx="1035">
                  <c:v>0.13</c:v>
                </c:pt>
                <c:pt idx="1036">
                  <c:v>0.13</c:v>
                </c:pt>
                <c:pt idx="1037">
                  <c:v>0.13</c:v>
                </c:pt>
                <c:pt idx="1038">
                  <c:v>0.13</c:v>
                </c:pt>
                <c:pt idx="1039">
                  <c:v>0.13</c:v>
                </c:pt>
                <c:pt idx="1040">
                  <c:v>0.13</c:v>
                </c:pt>
                <c:pt idx="1041">
                  <c:v>0.13</c:v>
                </c:pt>
                <c:pt idx="1042">
                  <c:v>0.13</c:v>
                </c:pt>
                <c:pt idx="1043">
                  <c:v>0.13</c:v>
                </c:pt>
                <c:pt idx="1044">
                  <c:v>0.13</c:v>
                </c:pt>
                <c:pt idx="1045">
                  <c:v>0.13</c:v>
                </c:pt>
                <c:pt idx="1046">
                  <c:v>0.13</c:v>
                </c:pt>
                <c:pt idx="1047">
                  <c:v>0.13</c:v>
                </c:pt>
                <c:pt idx="1048">
                  <c:v>0.13</c:v>
                </c:pt>
                <c:pt idx="1049">
                  <c:v>0.13</c:v>
                </c:pt>
                <c:pt idx="1050">
                  <c:v>0.13</c:v>
                </c:pt>
                <c:pt idx="1051">
                  <c:v>0.14000000000000001</c:v>
                </c:pt>
                <c:pt idx="1052">
                  <c:v>0.14000000000000001</c:v>
                </c:pt>
                <c:pt idx="1053">
                  <c:v>0.14000000000000001</c:v>
                </c:pt>
                <c:pt idx="1054">
                  <c:v>0.14000000000000001</c:v>
                </c:pt>
                <c:pt idx="1055">
                  <c:v>0.14000000000000001</c:v>
                </c:pt>
                <c:pt idx="1056">
                  <c:v>0.14000000000000001</c:v>
                </c:pt>
                <c:pt idx="1057">
                  <c:v>0.14000000000000001</c:v>
                </c:pt>
                <c:pt idx="1058">
                  <c:v>0.14000000000000001</c:v>
                </c:pt>
                <c:pt idx="1059">
                  <c:v>0.14000000000000001</c:v>
                </c:pt>
                <c:pt idx="1060">
                  <c:v>0.14000000000000001</c:v>
                </c:pt>
                <c:pt idx="1061">
                  <c:v>0.14000000000000001</c:v>
                </c:pt>
                <c:pt idx="1062">
                  <c:v>0.15</c:v>
                </c:pt>
                <c:pt idx="1063">
                  <c:v>0.15</c:v>
                </c:pt>
                <c:pt idx="1064">
                  <c:v>0.15</c:v>
                </c:pt>
                <c:pt idx="1065">
                  <c:v>0.15</c:v>
                </c:pt>
                <c:pt idx="1066">
                  <c:v>0.15</c:v>
                </c:pt>
                <c:pt idx="1067">
                  <c:v>0.15</c:v>
                </c:pt>
                <c:pt idx="1068">
                  <c:v>0.15</c:v>
                </c:pt>
                <c:pt idx="1069">
                  <c:v>0.15</c:v>
                </c:pt>
                <c:pt idx="1070">
                  <c:v>0.15</c:v>
                </c:pt>
                <c:pt idx="1071">
                  <c:v>0.15</c:v>
                </c:pt>
                <c:pt idx="1072">
                  <c:v>0.15</c:v>
                </c:pt>
                <c:pt idx="1073">
                  <c:v>0.15</c:v>
                </c:pt>
                <c:pt idx="1074">
                  <c:v>0.15</c:v>
                </c:pt>
                <c:pt idx="1075">
                  <c:v>0.15</c:v>
                </c:pt>
                <c:pt idx="1076">
                  <c:v>0.15</c:v>
                </c:pt>
                <c:pt idx="1077">
                  <c:v>0.15</c:v>
                </c:pt>
                <c:pt idx="1078">
                  <c:v>0.15</c:v>
                </c:pt>
                <c:pt idx="1079">
                  <c:v>0.15</c:v>
                </c:pt>
                <c:pt idx="1080">
                  <c:v>0.15</c:v>
                </c:pt>
                <c:pt idx="1081">
                  <c:v>0.15</c:v>
                </c:pt>
                <c:pt idx="1082">
                  <c:v>0.15</c:v>
                </c:pt>
                <c:pt idx="1083">
                  <c:v>0.15</c:v>
                </c:pt>
                <c:pt idx="1084">
                  <c:v>0.15</c:v>
                </c:pt>
                <c:pt idx="1085">
                  <c:v>0.15</c:v>
                </c:pt>
                <c:pt idx="1086">
                  <c:v>0.15</c:v>
                </c:pt>
                <c:pt idx="1087">
                  <c:v>0.15</c:v>
                </c:pt>
                <c:pt idx="1088">
                  <c:v>0.15</c:v>
                </c:pt>
                <c:pt idx="1089">
                  <c:v>0.15</c:v>
                </c:pt>
                <c:pt idx="1090">
                  <c:v>0.15</c:v>
                </c:pt>
                <c:pt idx="1091">
                  <c:v>0.15</c:v>
                </c:pt>
                <c:pt idx="1092">
                  <c:v>0.15</c:v>
                </c:pt>
                <c:pt idx="1093">
                  <c:v>0.15</c:v>
                </c:pt>
                <c:pt idx="1094">
                  <c:v>0.15</c:v>
                </c:pt>
                <c:pt idx="1095">
                  <c:v>0.15</c:v>
                </c:pt>
                <c:pt idx="1096">
                  <c:v>0.15</c:v>
                </c:pt>
                <c:pt idx="1097">
                  <c:v>0.15</c:v>
                </c:pt>
                <c:pt idx="1098">
                  <c:v>0.15</c:v>
                </c:pt>
                <c:pt idx="1099">
                  <c:v>0.15</c:v>
                </c:pt>
                <c:pt idx="1100">
                  <c:v>0.14000000000000001</c:v>
                </c:pt>
                <c:pt idx="1101">
                  <c:v>0.14000000000000001</c:v>
                </c:pt>
                <c:pt idx="1102">
                  <c:v>0.14000000000000001</c:v>
                </c:pt>
                <c:pt idx="1103">
                  <c:v>0.14000000000000001</c:v>
                </c:pt>
                <c:pt idx="1104">
                  <c:v>0.14000000000000001</c:v>
                </c:pt>
                <c:pt idx="1105">
                  <c:v>0.14000000000000001</c:v>
                </c:pt>
                <c:pt idx="1106">
                  <c:v>0.14000000000000001</c:v>
                </c:pt>
                <c:pt idx="1107">
                  <c:v>0.14000000000000001</c:v>
                </c:pt>
                <c:pt idx="1108">
                  <c:v>0.14000000000000001</c:v>
                </c:pt>
                <c:pt idx="1109">
                  <c:v>0.14000000000000001</c:v>
                </c:pt>
                <c:pt idx="1110">
                  <c:v>0.14000000000000001</c:v>
                </c:pt>
                <c:pt idx="1111">
                  <c:v>0.14000000000000001</c:v>
                </c:pt>
                <c:pt idx="1112">
                  <c:v>0.14000000000000001</c:v>
                </c:pt>
                <c:pt idx="1113">
                  <c:v>0.14000000000000001</c:v>
                </c:pt>
                <c:pt idx="1114">
                  <c:v>0.14000000000000001</c:v>
                </c:pt>
                <c:pt idx="1115">
                  <c:v>0.14000000000000001</c:v>
                </c:pt>
                <c:pt idx="1116">
                  <c:v>0.14000000000000001</c:v>
                </c:pt>
                <c:pt idx="1117">
                  <c:v>0.14000000000000001</c:v>
                </c:pt>
                <c:pt idx="1118">
                  <c:v>0.13</c:v>
                </c:pt>
                <c:pt idx="1119">
                  <c:v>0.13</c:v>
                </c:pt>
                <c:pt idx="1120">
                  <c:v>0.19</c:v>
                </c:pt>
                <c:pt idx="1121">
                  <c:v>0.18</c:v>
                </c:pt>
                <c:pt idx="1122">
                  <c:v>0.18</c:v>
                </c:pt>
                <c:pt idx="1123">
                  <c:v>0.18</c:v>
                </c:pt>
                <c:pt idx="1124">
                  <c:v>0.18</c:v>
                </c:pt>
                <c:pt idx="1125">
                  <c:v>0.18</c:v>
                </c:pt>
                <c:pt idx="1126">
                  <c:v>0.18</c:v>
                </c:pt>
                <c:pt idx="1127">
                  <c:v>0.18</c:v>
                </c:pt>
                <c:pt idx="1128">
                  <c:v>0.17</c:v>
                </c:pt>
                <c:pt idx="1129">
                  <c:v>0.17</c:v>
                </c:pt>
                <c:pt idx="1130">
                  <c:v>0.17</c:v>
                </c:pt>
                <c:pt idx="1131">
                  <c:v>0.17</c:v>
                </c:pt>
                <c:pt idx="1132">
                  <c:v>0.16</c:v>
                </c:pt>
                <c:pt idx="1133">
                  <c:v>0.16</c:v>
                </c:pt>
                <c:pt idx="1134">
                  <c:v>0.16</c:v>
                </c:pt>
                <c:pt idx="1135">
                  <c:v>0.16</c:v>
                </c:pt>
                <c:pt idx="1136">
                  <c:v>0.16</c:v>
                </c:pt>
                <c:pt idx="1137">
                  <c:v>0.16</c:v>
                </c:pt>
                <c:pt idx="1138">
                  <c:v>0.16</c:v>
                </c:pt>
                <c:pt idx="1139">
                  <c:v>0.16</c:v>
                </c:pt>
                <c:pt idx="1140">
                  <c:v>0.16</c:v>
                </c:pt>
                <c:pt idx="1141">
                  <c:v>0.16</c:v>
                </c:pt>
                <c:pt idx="1142">
                  <c:v>0.16</c:v>
                </c:pt>
                <c:pt idx="1143">
                  <c:v>0.16</c:v>
                </c:pt>
                <c:pt idx="1144">
                  <c:v>0.16</c:v>
                </c:pt>
                <c:pt idx="1145">
                  <c:v>0.16</c:v>
                </c:pt>
                <c:pt idx="1146">
                  <c:v>0.16</c:v>
                </c:pt>
                <c:pt idx="1147">
                  <c:v>0.16</c:v>
                </c:pt>
                <c:pt idx="1148">
                  <c:v>0.16</c:v>
                </c:pt>
                <c:pt idx="1149">
                  <c:v>0.16</c:v>
                </c:pt>
                <c:pt idx="1150">
                  <c:v>0.16</c:v>
                </c:pt>
                <c:pt idx="1151">
                  <c:v>0.16</c:v>
                </c:pt>
                <c:pt idx="1152">
                  <c:v>0.16</c:v>
                </c:pt>
                <c:pt idx="1153">
                  <c:v>0.16</c:v>
                </c:pt>
                <c:pt idx="1154">
                  <c:v>0.16</c:v>
                </c:pt>
                <c:pt idx="1155">
                  <c:v>0.16</c:v>
                </c:pt>
                <c:pt idx="1156">
                  <c:v>0.16</c:v>
                </c:pt>
                <c:pt idx="1157">
                  <c:v>0.16</c:v>
                </c:pt>
                <c:pt idx="1158">
                  <c:v>0.16</c:v>
                </c:pt>
                <c:pt idx="1159">
                  <c:v>0.16</c:v>
                </c:pt>
                <c:pt idx="1160">
                  <c:v>0.16</c:v>
                </c:pt>
                <c:pt idx="1161">
                  <c:v>0.16</c:v>
                </c:pt>
                <c:pt idx="1162">
                  <c:v>0.16</c:v>
                </c:pt>
                <c:pt idx="1163">
                  <c:v>0.16</c:v>
                </c:pt>
                <c:pt idx="1164">
                  <c:v>0.16</c:v>
                </c:pt>
                <c:pt idx="1165">
                  <c:v>0.16</c:v>
                </c:pt>
                <c:pt idx="1166">
                  <c:v>0.16</c:v>
                </c:pt>
                <c:pt idx="1167">
                  <c:v>0.16</c:v>
                </c:pt>
                <c:pt idx="1168">
                  <c:v>0.16</c:v>
                </c:pt>
                <c:pt idx="1169">
                  <c:v>0.16</c:v>
                </c:pt>
                <c:pt idx="1170">
                  <c:v>0.16</c:v>
                </c:pt>
                <c:pt idx="1171">
                  <c:v>0.16</c:v>
                </c:pt>
                <c:pt idx="1172">
                  <c:v>0.16</c:v>
                </c:pt>
                <c:pt idx="1173">
                  <c:v>0.16</c:v>
                </c:pt>
                <c:pt idx="1174">
                  <c:v>0.19</c:v>
                </c:pt>
                <c:pt idx="1175">
                  <c:v>0.21</c:v>
                </c:pt>
                <c:pt idx="1176">
                  <c:v>0.2</c:v>
                </c:pt>
                <c:pt idx="1177">
                  <c:v>0.2</c:v>
                </c:pt>
                <c:pt idx="1178">
                  <c:v>0.2</c:v>
                </c:pt>
                <c:pt idx="1179">
                  <c:v>0.2</c:v>
                </c:pt>
                <c:pt idx="1180">
                  <c:v>0.2</c:v>
                </c:pt>
                <c:pt idx="1181">
                  <c:v>0.2</c:v>
                </c:pt>
                <c:pt idx="1182">
                  <c:v>0.2</c:v>
                </c:pt>
                <c:pt idx="1183">
                  <c:v>0.2</c:v>
                </c:pt>
                <c:pt idx="1184">
                  <c:v>0.2</c:v>
                </c:pt>
                <c:pt idx="1185">
                  <c:v>0.2</c:v>
                </c:pt>
                <c:pt idx="1186">
                  <c:v>0.2</c:v>
                </c:pt>
                <c:pt idx="1187">
                  <c:v>0.2</c:v>
                </c:pt>
                <c:pt idx="1188">
                  <c:v>0.19</c:v>
                </c:pt>
                <c:pt idx="1189">
                  <c:v>0.19</c:v>
                </c:pt>
                <c:pt idx="1190">
                  <c:v>0.19</c:v>
                </c:pt>
                <c:pt idx="1191">
                  <c:v>0.19</c:v>
                </c:pt>
                <c:pt idx="1192">
                  <c:v>0.18</c:v>
                </c:pt>
                <c:pt idx="1193">
                  <c:v>0.18</c:v>
                </c:pt>
                <c:pt idx="1194">
                  <c:v>0.18</c:v>
                </c:pt>
                <c:pt idx="1195">
                  <c:v>0.18</c:v>
                </c:pt>
                <c:pt idx="1196">
                  <c:v>0.18</c:v>
                </c:pt>
                <c:pt idx="1197">
                  <c:v>0.18</c:v>
                </c:pt>
                <c:pt idx="1198">
                  <c:v>0.18</c:v>
                </c:pt>
                <c:pt idx="1199">
                  <c:v>0.18</c:v>
                </c:pt>
                <c:pt idx="1200">
                  <c:v>0.18</c:v>
                </c:pt>
                <c:pt idx="1201">
                  <c:v>0.18</c:v>
                </c:pt>
                <c:pt idx="1202">
                  <c:v>0.19</c:v>
                </c:pt>
                <c:pt idx="1203">
                  <c:v>0.21</c:v>
                </c:pt>
                <c:pt idx="1204">
                  <c:v>0.24</c:v>
                </c:pt>
                <c:pt idx="1205">
                  <c:v>0.25</c:v>
                </c:pt>
                <c:pt idx="1206">
                  <c:v>0.24</c:v>
                </c:pt>
                <c:pt idx="1207">
                  <c:v>0.24</c:v>
                </c:pt>
                <c:pt idx="1208">
                  <c:v>0.24</c:v>
                </c:pt>
                <c:pt idx="1209">
                  <c:v>0.24</c:v>
                </c:pt>
                <c:pt idx="1210">
                  <c:v>0.24</c:v>
                </c:pt>
                <c:pt idx="1211">
                  <c:v>0.25</c:v>
                </c:pt>
                <c:pt idx="1212">
                  <c:v>0.25</c:v>
                </c:pt>
                <c:pt idx="1213">
                  <c:v>0.25</c:v>
                </c:pt>
                <c:pt idx="1214">
                  <c:v>0.25</c:v>
                </c:pt>
                <c:pt idx="1215">
                  <c:v>0.25</c:v>
                </c:pt>
                <c:pt idx="1216">
                  <c:v>0.25</c:v>
                </c:pt>
                <c:pt idx="1217">
                  <c:v>0.25</c:v>
                </c:pt>
                <c:pt idx="1218">
                  <c:v>0.25</c:v>
                </c:pt>
                <c:pt idx="1219">
                  <c:v>0.25</c:v>
                </c:pt>
                <c:pt idx="1220">
                  <c:v>0.25</c:v>
                </c:pt>
                <c:pt idx="1221">
                  <c:v>0.25</c:v>
                </c:pt>
                <c:pt idx="1222">
                  <c:v>0.25</c:v>
                </c:pt>
                <c:pt idx="1223">
                  <c:v>0.25</c:v>
                </c:pt>
                <c:pt idx="1224">
                  <c:v>0.25</c:v>
                </c:pt>
                <c:pt idx="1225">
                  <c:v>0.25</c:v>
                </c:pt>
                <c:pt idx="1226">
                  <c:v>0.25</c:v>
                </c:pt>
                <c:pt idx="1227">
                  <c:v>0.25</c:v>
                </c:pt>
                <c:pt idx="1228">
                  <c:v>0.25</c:v>
                </c:pt>
                <c:pt idx="1229">
                  <c:v>0.25</c:v>
                </c:pt>
                <c:pt idx="1230">
                  <c:v>0.25</c:v>
                </c:pt>
                <c:pt idx="1231">
                  <c:v>0.25</c:v>
                </c:pt>
                <c:pt idx="1232">
                  <c:v>0.26</c:v>
                </c:pt>
                <c:pt idx="1233">
                  <c:v>0.26</c:v>
                </c:pt>
                <c:pt idx="1234">
                  <c:v>0.26</c:v>
                </c:pt>
                <c:pt idx="1235">
                  <c:v>0.26</c:v>
                </c:pt>
                <c:pt idx="1236">
                  <c:v>0.26</c:v>
                </c:pt>
                <c:pt idx="1237">
                  <c:v>0.26</c:v>
                </c:pt>
                <c:pt idx="1238" formatCode="0.00">
                  <c:v>0.26</c:v>
                </c:pt>
                <c:pt idx="1239" formatCode="0.00">
                  <c:v>0.26</c:v>
                </c:pt>
                <c:pt idx="1240" formatCode="0.00">
                  <c:v>0.26</c:v>
                </c:pt>
                <c:pt idx="1241" formatCode="0.00">
                  <c:v>0.27</c:v>
                </c:pt>
                <c:pt idx="1242" formatCode="0.00">
                  <c:v>0.27</c:v>
                </c:pt>
                <c:pt idx="1243" formatCode="0.00">
                  <c:v>0.27</c:v>
                </c:pt>
                <c:pt idx="1244" formatCode="0.00">
                  <c:v>0.26</c:v>
                </c:pt>
                <c:pt idx="1245">
                  <c:v>0.26</c:v>
                </c:pt>
                <c:pt idx="1246">
                  <c:v>0.26</c:v>
                </c:pt>
                <c:pt idx="1247">
                  <c:v>0.26</c:v>
                </c:pt>
                <c:pt idx="1248">
                  <c:v>0.26</c:v>
                </c:pt>
                <c:pt idx="1249">
                  <c:v>0.26</c:v>
                </c:pt>
                <c:pt idx="1250">
                  <c:v>0.26</c:v>
                </c:pt>
                <c:pt idx="1251">
                  <c:v>0.26</c:v>
                </c:pt>
                <c:pt idx="1252">
                  <c:v>0.26</c:v>
                </c:pt>
                <c:pt idx="1253">
                  <c:v>0.25</c:v>
                </c:pt>
                <c:pt idx="1254">
                  <c:v>0.25</c:v>
                </c:pt>
                <c:pt idx="1255">
                  <c:v>0.25</c:v>
                </c:pt>
                <c:pt idx="1256">
                  <c:v>0.25</c:v>
                </c:pt>
                <c:pt idx="1257">
                  <c:v>0.25</c:v>
                </c:pt>
                <c:pt idx="1258">
                  <c:v>0.25</c:v>
                </c:pt>
                <c:pt idx="1259">
                  <c:v>0.26</c:v>
                </c:pt>
                <c:pt idx="1260">
                  <c:v>0.26</c:v>
                </c:pt>
                <c:pt idx="1261">
                  <c:v>0.26</c:v>
                </c:pt>
                <c:pt idx="1262">
                  <c:v>0.26</c:v>
                </c:pt>
                <c:pt idx="1263">
                  <c:v>0.26</c:v>
                </c:pt>
                <c:pt idx="1264">
                  <c:v>0.26</c:v>
                </c:pt>
                <c:pt idx="1265">
                  <c:v>0.26</c:v>
                </c:pt>
                <c:pt idx="1266">
                  <c:v>0.26</c:v>
                </c:pt>
                <c:pt idx="1267">
                  <c:v>0.27</c:v>
                </c:pt>
                <c:pt idx="1268">
                  <c:v>0.27</c:v>
                </c:pt>
                <c:pt idx="1269">
                  <c:v>0.27</c:v>
                </c:pt>
                <c:pt idx="1270">
                  <c:v>0.27</c:v>
                </c:pt>
                <c:pt idx="1271">
                  <c:v>0.27</c:v>
                </c:pt>
                <c:pt idx="1272">
                  <c:v>0.27</c:v>
                </c:pt>
                <c:pt idx="1273">
                  <c:v>0.26</c:v>
                </c:pt>
                <c:pt idx="1274">
                  <c:v>0.26</c:v>
                </c:pt>
                <c:pt idx="1275">
                  <c:v>0.26</c:v>
                </c:pt>
                <c:pt idx="1276">
                  <c:v>0.26</c:v>
                </c:pt>
                <c:pt idx="1277">
                  <c:v>0.26</c:v>
                </c:pt>
                <c:pt idx="1278">
                  <c:v>0.26</c:v>
                </c:pt>
                <c:pt idx="1279">
                  <c:v>0.26</c:v>
                </c:pt>
                <c:pt idx="1280">
                  <c:v>0.26</c:v>
                </c:pt>
                <c:pt idx="1281">
                  <c:v>0.26</c:v>
                </c:pt>
                <c:pt idx="1282">
                  <c:v>0.25</c:v>
                </c:pt>
                <c:pt idx="1283">
                  <c:v>0.24</c:v>
                </c:pt>
                <c:pt idx="1284">
                  <c:v>0.24</c:v>
                </c:pt>
                <c:pt idx="1285">
                  <c:v>0.24</c:v>
                </c:pt>
                <c:pt idx="1286">
                  <c:v>0.23</c:v>
                </c:pt>
                <c:pt idx="1287">
                  <c:v>0.23</c:v>
                </c:pt>
                <c:pt idx="1288">
                  <c:v>0.22</c:v>
                </c:pt>
                <c:pt idx="1289">
                  <c:v>0.21</c:v>
                </c:pt>
                <c:pt idx="1290">
                  <c:v>0.21</c:v>
                </c:pt>
                <c:pt idx="1291">
                  <c:v>0.21</c:v>
                </c:pt>
                <c:pt idx="1292">
                  <c:v>0.21</c:v>
                </c:pt>
                <c:pt idx="1293">
                  <c:v>0.21</c:v>
                </c:pt>
                <c:pt idx="1294">
                  <c:v>0.21</c:v>
                </c:pt>
                <c:pt idx="1295">
                  <c:v>0.21</c:v>
                </c:pt>
                <c:pt idx="1296">
                  <c:v>0.21</c:v>
                </c:pt>
                <c:pt idx="1297">
                  <c:v>0.21</c:v>
                </c:pt>
                <c:pt idx="1298">
                  <c:v>0.21</c:v>
                </c:pt>
                <c:pt idx="1299">
                  <c:v>0.21</c:v>
                </c:pt>
                <c:pt idx="1300">
                  <c:v>0.21</c:v>
                </c:pt>
                <c:pt idx="1301">
                  <c:v>0.21</c:v>
                </c:pt>
                <c:pt idx="1302">
                  <c:v>0.21</c:v>
                </c:pt>
                <c:pt idx="1303">
                  <c:v>0.21</c:v>
                </c:pt>
                <c:pt idx="1304">
                  <c:v>0.21</c:v>
                </c:pt>
                <c:pt idx="1305">
                  <c:v>0.21</c:v>
                </c:pt>
                <c:pt idx="1306">
                  <c:v>0.21</c:v>
                </c:pt>
                <c:pt idx="1307">
                  <c:v>0.21</c:v>
                </c:pt>
                <c:pt idx="1308">
                  <c:v>0.21</c:v>
                </c:pt>
                <c:pt idx="1309">
                  <c:v>0.21</c:v>
                </c:pt>
                <c:pt idx="1310">
                  <c:v>0.21</c:v>
                </c:pt>
                <c:pt idx="1311">
                  <c:v>0.21</c:v>
                </c:pt>
                <c:pt idx="1312">
                  <c:v>0.21</c:v>
                </c:pt>
                <c:pt idx="1313">
                  <c:v>0.21</c:v>
                </c:pt>
                <c:pt idx="1314">
                  <c:v>0.21</c:v>
                </c:pt>
                <c:pt idx="1315">
                  <c:v>0.21</c:v>
                </c:pt>
                <c:pt idx="1316">
                  <c:v>0.21</c:v>
                </c:pt>
                <c:pt idx="1317">
                  <c:v>0.21</c:v>
                </c:pt>
                <c:pt idx="1318">
                  <c:v>0.21</c:v>
                </c:pt>
                <c:pt idx="1319">
                  <c:v>0.21</c:v>
                </c:pt>
                <c:pt idx="1320">
                  <c:v>0.21</c:v>
                </c:pt>
                <c:pt idx="1321">
                  <c:v>0.21</c:v>
                </c:pt>
                <c:pt idx="1322">
                  <c:v>0.21</c:v>
                </c:pt>
                <c:pt idx="1323">
                  <c:v>0.21</c:v>
                </c:pt>
                <c:pt idx="1324">
                  <c:v>0.21</c:v>
                </c:pt>
                <c:pt idx="1325">
                  <c:v>0.21</c:v>
                </c:pt>
                <c:pt idx="1326">
                  <c:v>0.21</c:v>
                </c:pt>
                <c:pt idx="1327">
                  <c:v>0.21</c:v>
                </c:pt>
                <c:pt idx="1328">
                  <c:v>0.21</c:v>
                </c:pt>
                <c:pt idx="1329">
                  <c:v>0.21</c:v>
                </c:pt>
                <c:pt idx="1330">
                  <c:v>0.21</c:v>
                </c:pt>
                <c:pt idx="1331">
                  <c:v>0.21</c:v>
                </c:pt>
                <c:pt idx="1332">
                  <c:v>0.21</c:v>
                </c:pt>
                <c:pt idx="1333">
                  <c:v>0.21</c:v>
                </c:pt>
                <c:pt idx="1334">
                  <c:v>0.21</c:v>
                </c:pt>
                <c:pt idx="1335">
                  <c:v>0.21</c:v>
                </c:pt>
                <c:pt idx="1336">
                  <c:v>0.2</c:v>
                </c:pt>
                <c:pt idx="1337">
                  <c:v>0.2</c:v>
                </c:pt>
                <c:pt idx="1338">
                  <c:v>0.2</c:v>
                </c:pt>
                <c:pt idx="1339">
                  <c:v>0.2</c:v>
                </c:pt>
                <c:pt idx="1340">
                  <c:v>0.2</c:v>
                </c:pt>
                <c:pt idx="1341">
                  <c:v>0.2</c:v>
                </c:pt>
                <c:pt idx="1342">
                  <c:v>0.2</c:v>
                </c:pt>
                <c:pt idx="1343">
                  <c:v>0.19</c:v>
                </c:pt>
                <c:pt idx="1344">
                  <c:v>0.19</c:v>
                </c:pt>
                <c:pt idx="1345">
                  <c:v>0.19</c:v>
                </c:pt>
                <c:pt idx="1346">
                  <c:v>0.19</c:v>
                </c:pt>
                <c:pt idx="1347">
                  <c:v>0.19</c:v>
                </c:pt>
                <c:pt idx="1348">
                  <c:v>0.19</c:v>
                </c:pt>
                <c:pt idx="1349">
                  <c:v>0.19</c:v>
                </c:pt>
                <c:pt idx="1350">
                  <c:v>0.19</c:v>
                </c:pt>
                <c:pt idx="1351">
                  <c:v>0.19</c:v>
                </c:pt>
                <c:pt idx="1352">
                  <c:v>0.19</c:v>
                </c:pt>
                <c:pt idx="1353">
                  <c:v>0.19</c:v>
                </c:pt>
                <c:pt idx="1354">
                  <c:v>0.19</c:v>
                </c:pt>
                <c:pt idx="1355">
                  <c:v>0.19</c:v>
                </c:pt>
                <c:pt idx="1356">
                  <c:v>0.19</c:v>
                </c:pt>
                <c:pt idx="1357">
                  <c:v>0.19</c:v>
                </c:pt>
                <c:pt idx="1358">
                  <c:v>0.19</c:v>
                </c:pt>
                <c:pt idx="1359">
                  <c:v>0.19</c:v>
                </c:pt>
                <c:pt idx="1360">
                  <c:v>0.18</c:v>
                </c:pt>
                <c:pt idx="1361">
                  <c:v>0.18</c:v>
                </c:pt>
                <c:pt idx="1362">
                  <c:v>0.18</c:v>
                </c:pt>
                <c:pt idx="1363">
                  <c:v>0.18</c:v>
                </c:pt>
                <c:pt idx="1364">
                  <c:v>0.18</c:v>
                </c:pt>
                <c:pt idx="1365">
                  <c:v>0.17</c:v>
                </c:pt>
                <c:pt idx="1366">
                  <c:v>0.17</c:v>
                </c:pt>
                <c:pt idx="1367">
                  <c:v>0.17</c:v>
                </c:pt>
                <c:pt idx="1368">
                  <c:v>0.17</c:v>
                </c:pt>
                <c:pt idx="1369">
                  <c:v>0.17</c:v>
                </c:pt>
                <c:pt idx="1370">
                  <c:v>0.17</c:v>
                </c:pt>
                <c:pt idx="1371">
                  <c:v>0.17</c:v>
                </c:pt>
                <c:pt idx="1372">
                  <c:v>0.17</c:v>
                </c:pt>
                <c:pt idx="1373">
                  <c:v>0.17</c:v>
                </c:pt>
                <c:pt idx="1374">
                  <c:v>0.17</c:v>
                </c:pt>
                <c:pt idx="1375">
                  <c:v>0.17</c:v>
                </c:pt>
                <c:pt idx="1376">
                  <c:v>0.17</c:v>
                </c:pt>
                <c:pt idx="1377">
                  <c:v>0.16</c:v>
                </c:pt>
                <c:pt idx="1378">
                  <c:v>0.16</c:v>
                </c:pt>
                <c:pt idx="1379">
                  <c:v>0.16</c:v>
                </c:pt>
                <c:pt idx="1380">
                  <c:v>0.16</c:v>
                </c:pt>
                <c:pt idx="1381">
                  <c:v>0.16</c:v>
                </c:pt>
                <c:pt idx="1382">
                  <c:v>0.16</c:v>
                </c:pt>
                <c:pt idx="1383">
                  <c:v>0.16</c:v>
                </c:pt>
                <c:pt idx="1384">
                  <c:v>0.16</c:v>
                </c:pt>
                <c:pt idx="1385">
                  <c:v>0.16</c:v>
                </c:pt>
                <c:pt idx="1386">
                  <c:v>0.16</c:v>
                </c:pt>
                <c:pt idx="1387">
                  <c:v>0.16</c:v>
                </c:pt>
                <c:pt idx="1388">
                  <c:v>0.16</c:v>
                </c:pt>
                <c:pt idx="1389">
                  <c:v>0.16</c:v>
                </c:pt>
                <c:pt idx="1390">
                  <c:v>0.16</c:v>
                </c:pt>
                <c:pt idx="1391">
                  <c:v>0.16</c:v>
                </c:pt>
                <c:pt idx="1392">
                  <c:v>0.16</c:v>
                </c:pt>
                <c:pt idx="1393">
                  <c:v>0.16</c:v>
                </c:pt>
                <c:pt idx="1394">
                  <c:v>0.16</c:v>
                </c:pt>
                <c:pt idx="1395">
                  <c:v>0.16</c:v>
                </c:pt>
                <c:pt idx="1396">
                  <c:v>0.16</c:v>
                </c:pt>
                <c:pt idx="1397">
                  <c:v>0.16</c:v>
                </c:pt>
                <c:pt idx="1398">
                  <c:v>0.16</c:v>
                </c:pt>
                <c:pt idx="1399">
                  <c:v>0.16</c:v>
                </c:pt>
                <c:pt idx="1400">
                  <c:v>0.16</c:v>
                </c:pt>
                <c:pt idx="1401">
                  <c:v>0.16</c:v>
                </c:pt>
                <c:pt idx="1402">
                  <c:v>0.16</c:v>
                </c:pt>
                <c:pt idx="1403">
                  <c:v>0.16</c:v>
                </c:pt>
                <c:pt idx="1404">
                  <c:v>0.16</c:v>
                </c:pt>
                <c:pt idx="1405">
                  <c:v>0.16</c:v>
                </c:pt>
                <c:pt idx="1406">
                  <c:v>0.16</c:v>
                </c:pt>
                <c:pt idx="1407">
                  <c:v>0.16</c:v>
                </c:pt>
                <c:pt idx="1408">
                  <c:v>0.16</c:v>
                </c:pt>
                <c:pt idx="1409">
                  <c:v>0.16</c:v>
                </c:pt>
                <c:pt idx="1410">
                  <c:v>0.16</c:v>
                </c:pt>
                <c:pt idx="1411">
                  <c:v>0.16</c:v>
                </c:pt>
                <c:pt idx="1412">
                  <c:v>0.16</c:v>
                </c:pt>
                <c:pt idx="1413">
                  <c:v>0.16</c:v>
                </c:pt>
                <c:pt idx="1414">
                  <c:v>0.16</c:v>
                </c:pt>
                <c:pt idx="1415">
                  <c:v>0.16</c:v>
                </c:pt>
                <c:pt idx="1416">
                  <c:v>0.16</c:v>
                </c:pt>
                <c:pt idx="1417">
                  <c:v>0.16</c:v>
                </c:pt>
                <c:pt idx="1418">
                  <c:v>0.16</c:v>
                </c:pt>
                <c:pt idx="1419">
                  <c:v>0.16</c:v>
                </c:pt>
                <c:pt idx="1420">
                  <c:v>0.17</c:v>
                </c:pt>
                <c:pt idx="1421">
                  <c:v>0.18</c:v>
                </c:pt>
                <c:pt idx="1422">
                  <c:v>0.19</c:v>
                </c:pt>
                <c:pt idx="1423">
                  <c:v>0.19</c:v>
                </c:pt>
                <c:pt idx="1424">
                  <c:v>0.19</c:v>
                </c:pt>
                <c:pt idx="1425">
                  <c:v>0.19</c:v>
                </c:pt>
                <c:pt idx="1426">
                  <c:v>0.2</c:v>
                </c:pt>
                <c:pt idx="1427">
                  <c:v>0.22</c:v>
                </c:pt>
                <c:pt idx="1428">
                  <c:v>0.23</c:v>
                </c:pt>
                <c:pt idx="1429">
                  <c:v>0.23</c:v>
                </c:pt>
                <c:pt idx="1430">
                  <c:v>0.24</c:v>
                </c:pt>
                <c:pt idx="1431">
                  <c:v>0.24</c:v>
                </c:pt>
                <c:pt idx="1432">
                  <c:v>0.24</c:v>
                </c:pt>
                <c:pt idx="1433">
                  <c:v>0.24</c:v>
                </c:pt>
                <c:pt idx="1434">
                  <c:v>0.26</c:v>
                </c:pt>
                <c:pt idx="1435">
                  <c:v>0.28999999999999998</c:v>
                </c:pt>
                <c:pt idx="1436">
                  <c:v>0.3</c:v>
                </c:pt>
                <c:pt idx="1437">
                  <c:v>0.31</c:v>
                </c:pt>
                <c:pt idx="1438">
                  <c:v>0.31</c:v>
                </c:pt>
                <c:pt idx="1439">
                  <c:v>0.31</c:v>
                </c:pt>
                <c:pt idx="1440">
                  <c:v>0.32</c:v>
                </c:pt>
                <c:pt idx="1441">
                  <c:v>0.34</c:v>
                </c:pt>
                <c:pt idx="1442">
                  <c:v>0.36</c:v>
                </c:pt>
                <c:pt idx="1443">
                  <c:v>0.42</c:v>
                </c:pt>
                <c:pt idx="1444">
                  <c:v>0.5</c:v>
                </c:pt>
                <c:pt idx="1445">
                  <c:v>0.5</c:v>
                </c:pt>
                <c:pt idx="1446">
                  <c:v>0.5</c:v>
                </c:pt>
                <c:pt idx="1447">
                  <c:v>0.57999999999999996</c:v>
                </c:pt>
                <c:pt idx="1448">
                  <c:v>0.63</c:v>
                </c:pt>
                <c:pt idx="1449">
                  <c:v>0.61</c:v>
                </c:pt>
                <c:pt idx="1450">
                  <c:v>0.6</c:v>
                </c:pt>
                <c:pt idx="1451">
                  <c:v>0.6</c:v>
                </c:pt>
                <c:pt idx="1452">
                  <c:v>0.6</c:v>
                </c:pt>
                <c:pt idx="1453">
                  <c:v>0.6</c:v>
                </c:pt>
                <c:pt idx="1454">
                  <c:v>0.6</c:v>
                </c:pt>
                <c:pt idx="1455">
                  <c:v>0.6</c:v>
                </c:pt>
                <c:pt idx="1456">
                  <c:v>0.6</c:v>
                </c:pt>
                <c:pt idx="1457">
                  <c:v>0.6</c:v>
                </c:pt>
                <c:pt idx="1458">
                  <c:v>0.61</c:v>
                </c:pt>
                <c:pt idx="1459">
                  <c:v>0.61</c:v>
                </c:pt>
                <c:pt idx="1460">
                  <c:v>0.61</c:v>
                </c:pt>
                <c:pt idx="1461">
                  <c:v>0.63</c:v>
                </c:pt>
                <c:pt idx="1462">
                  <c:v>0.64</c:v>
                </c:pt>
                <c:pt idx="1463">
                  <c:v>0.64</c:v>
                </c:pt>
                <c:pt idx="1464">
                  <c:v>0.65</c:v>
                </c:pt>
                <c:pt idx="1465">
                  <c:v>0.66</c:v>
                </c:pt>
                <c:pt idx="1466">
                  <c:v>0.66</c:v>
                </c:pt>
                <c:pt idx="1467">
                  <c:v>0.66</c:v>
                </c:pt>
                <c:pt idx="1468">
                  <c:v>0.69</c:v>
                </c:pt>
                <c:pt idx="1469">
                  <c:v>0.69</c:v>
                </c:pt>
                <c:pt idx="1470">
                  <c:v>0.67</c:v>
                </c:pt>
                <c:pt idx="1471">
                  <c:v>0.66</c:v>
                </c:pt>
                <c:pt idx="1472">
                  <c:v>0.66</c:v>
                </c:pt>
                <c:pt idx="1473">
                  <c:v>0.66</c:v>
                </c:pt>
                <c:pt idx="1474">
                  <c:v>0.66</c:v>
                </c:pt>
                <c:pt idx="1475">
                  <c:v>0.67</c:v>
                </c:pt>
                <c:pt idx="1476">
                  <c:v>0.65</c:v>
                </c:pt>
                <c:pt idx="1477">
                  <c:v>0.63</c:v>
                </c:pt>
                <c:pt idx="1478">
                  <c:v>0.61</c:v>
                </c:pt>
                <c:pt idx="1479">
                  <c:v>0.59</c:v>
                </c:pt>
                <c:pt idx="1480">
                  <c:v>0.59</c:v>
                </c:pt>
                <c:pt idx="1481">
                  <c:v>0.59</c:v>
                </c:pt>
                <c:pt idx="1482">
                  <c:v>0.57999999999999996</c:v>
                </c:pt>
                <c:pt idx="1483">
                  <c:v>0.55000000000000004</c:v>
                </c:pt>
                <c:pt idx="1484">
                  <c:v>0.5</c:v>
                </c:pt>
                <c:pt idx="1485">
                  <c:v>0.47</c:v>
                </c:pt>
                <c:pt idx="1486">
                  <c:v>0.45</c:v>
                </c:pt>
                <c:pt idx="1487">
                  <c:v>0.45</c:v>
                </c:pt>
                <c:pt idx="1488">
                  <c:v>0.45</c:v>
                </c:pt>
                <c:pt idx="1489">
                  <c:v>0.45</c:v>
                </c:pt>
                <c:pt idx="1490">
                  <c:v>0.46</c:v>
                </c:pt>
                <c:pt idx="1491">
                  <c:v>0.47</c:v>
                </c:pt>
                <c:pt idx="1492">
                  <c:v>0.85</c:v>
                </c:pt>
                <c:pt idx="1493">
                  <c:v>0.92</c:v>
                </c:pt>
                <c:pt idx="1494">
                  <c:v>0.92</c:v>
                </c:pt>
                <c:pt idx="1495">
                  <c:v>0.92</c:v>
                </c:pt>
                <c:pt idx="1496">
                  <c:v>0.93</c:v>
                </c:pt>
                <c:pt idx="1497">
                  <c:v>0.92</c:v>
                </c:pt>
                <c:pt idx="1498">
                  <c:v>1.1000000000000001</c:v>
                </c:pt>
                <c:pt idx="1499">
                  <c:v>1.1000000000000001</c:v>
                </c:pt>
                <c:pt idx="1500">
                  <c:v>1.1000000000000001</c:v>
                </c:pt>
                <c:pt idx="1501">
                  <c:v>1.1000000000000001</c:v>
                </c:pt>
                <c:pt idx="1502">
                  <c:v>1.1000000000000001</c:v>
                </c:pt>
                <c:pt idx="1503">
                  <c:v>1.1000000000000001</c:v>
                </c:pt>
                <c:pt idx="1504">
                  <c:v>1.1000000000000001</c:v>
                </c:pt>
                <c:pt idx="1505">
                  <c:v>1.1000000000000001</c:v>
                </c:pt>
                <c:pt idx="1506">
                  <c:v>1.0900000000000001</c:v>
                </c:pt>
                <c:pt idx="1507">
                  <c:v>1.0900000000000001</c:v>
                </c:pt>
                <c:pt idx="1508">
                  <c:v>1.0900000000000001</c:v>
                </c:pt>
                <c:pt idx="1509">
                  <c:v>1.0900000000000001</c:v>
                </c:pt>
                <c:pt idx="1510">
                  <c:v>1.08</c:v>
                </c:pt>
                <c:pt idx="1511">
                  <c:v>1.0900000000000001</c:v>
                </c:pt>
                <c:pt idx="1512">
                  <c:v>1.0900000000000001</c:v>
                </c:pt>
                <c:pt idx="1513">
                  <c:v>1.1000000000000001</c:v>
                </c:pt>
                <c:pt idx="1514">
                  <c:v>1.1000000000000001</c:v>
                </c:pt>
                <c:pt idx="1515">
                  <c:v>1.1000000000000001</c:v>
                </c:pt>
                <c:pt idx="1516">
                  <c:v>1.1000000000000001</c:v>
                </c:pt>
                <c:pt idx="1517">
                  <c:v>1.1000000000000001</c:v>
                </c:pt>
                <c:pt idx="1518">
                  <c:v>1.1000000000000001</c:v>
                </c:pt>
                <c:pt idx="1519">
                  <c:v>1.1000000000000001</c:v>
                </c:pt>
                <c:pt idx="1520">
                  <c:v>1.0900000000000001</c:v>
                </c:pt>
                <c:pt idx="1521">
                  <c:v>1.0900000000000001</c:v>
                </c:pt>
                <c:pt idx="1522">
                  <c:v>1.0900000000000001</c:v>
                </c:pt>
                <c:pt idx="1523">
                  <c:v>1.0900000000000001</c:v>
                </c:pt>
                <c:pt idx="1524">
                  <c:v>1.0900000000000001</c:v>
                </c:pt>
                <c:pt idx="1525">
                  <c:v>1.0900000000000001</c:v>
                </c:pt>
                <c:pt idx="1526">
                  <c:v>1.08</c:v>
                </c:pt>
                <c:pt idx="1527">
                  <c:v>1.08</c:v>
                </c:pt>
                <c:pt idx="1528">
                  <c:v>1.08</c:v>
                </c:pt>
                <c:pt idx="1529">
                  <c:v>1.07</c:v>
                </c:pt>
                <c:pt idx="1530">
                  <c:v>1.07</c:v>
                </c:pt>
                <c:pt idx="1531">
                  <c:v>1.07</c:v>
                </c:pt>
                <c:pt idx="1532">
                  <c:v>1.07</c:v>
                </c:pt>
                <c:pt idx="1533">
                  <c:v>1.06</c:v>
                </c:pt>
                <c:pt idx="1534">
                  <c:v>1.05</c:v>
                </c:pt>
                <c:pt idx="1535">
                  <c:v>1.05</c:v>
                </c:pt>
                <c:pt idx="1536">
                  <c:v>1.05</c:v>
                </c:pt>
                <c:pt idx="1537">
                  <c:v>1.05</c:v>
                </c:pt>
                <c:pt idx="1538">
                  <c:v>1.04</c:v>
                </c:pt>
                <c:pt idx="1539">
                  <c:v>1.03</c:v>
                </c:pt>
                <c:pt idx="1540">
                  <c:v>1.01</c:v>
                </c:pt>
                <c:pt idx="1541">
                  <c:v>1</c:v>
                </c:pt>
                <c:pt idx="1542">
                  <c:v>0.98</c:v>
                </c:pt>
                <c:pt idx="1543">
                  <c:v>0.98</c:v>
                </c:pt>
                <c:pt idx="1544">
                  <c:v>0.98</c:v>
                </c:pt>
                <c:pt idx="1545">
                  <c:v>0.97</c:v>
                </c:pt>
                <c:pt idx="1546">
                  <c:v>0.95</c:v>
                </c:pt>
                <c:pt idx="1547">
                  <c:v>0.94</c:v>
                </c:pt>
                <c:pt idx="1548">
                  <c:v>0.93</c:v>
                </c:pt>
                <c:pt idx="1549">
                  <c:v>0.91</c:v>
                </c:pt>
                <c:pt idx="1550">
                  <c:v>0.91</c:v>
                </c:pt>
                <c:pt idx="1551">
                  <c:v>0.91</c:v>
                </c:pt>
                <c:pt idx="1552">
                  <c:v>0.91</c:v>
                </c:pt>
                <c:pt idx="1553">
                  <c:v>0.91</c:v>
                </c:pt>
                <c:pt idx="1554">
                  <c:v>0.9</c:v>
                </c:pt>
                <c:pt idx="1555">
                  <c:v>0.9</c:v>
                </c:pt>
                <c:pt idx="1556">
                  <c:v>0.9</c:v>
                </c:pt>
                <c:pt idx="1557">
                  <c:v>0.9</c:v>
                </c:pt>
                <c:pt idx="1558">
                  <c:v>0.9</c:v>
                </c:pt>
                <c:pt idx="1559">
                  <c:v>0.9</c:v>
                </c:pt>
                <c:pt idx="1560">
                  <c:v>0.9</c:v>
                </c:pt>
                <c:pt idx="1561">
                  <c:v>0.9</c:v>
                </c:pt>
                <c:pt idx="1562">
                  <c:v>0.9</c:v>
                </c:pt>
                <c:pt idx="1563">
                  <c:v>0.9</c:v>
                </c:pt>
                <c:pt idx="1564">
                  <c:v>0.9</c:v>
                </c:pt>
                <c:pt idx="1565">
                  <c:v>0.9</c:v>
                </c:pt>
                <c:pt idx="1566">
                  <c:v>0.9</c:v>
                </c:pt>
                <c:pt idx="1567">
                  <c:v>0.9</c:v>
                </c:pt>
                <c:pt idx="1568">
                  <c:v>0.9</c:v>
                </c:pt>
                <c:pt idx="1569">
                  <c:v>0.9</c:v>
                </c:pt>
                <c:pt idx="1570">
                  <c:v>0.89</c:v>
                </c:pt>
                <c:pt idx="1571">
                  <c:v>0.89</c:v>
                </c:pt>
                <c:pt idx="1572">
                  <c:v>0.89</c:v>
                </c:pt>
                <c:pt idx="1573">
                  <c:v>0.89</c:v>
                </c:pt>
                <c:pt idx="1574">
                  <c:v>0.88</c:v>
                </c:pt>
                <c:pt idx="1575">
                  <c:v>0.75</c:v>
                </c:pt>
                <c:pt idx="1576">
                  <c:v>0.75</c:v>
                </c:pt>
                <c:pt idx="1577">
                  <c:v>0.74</c:v>
                </c:pt>
                <c:pt idx="1578">
                  <c:v>0.74</c:v>
                </c:pt>
                <c:pt idx="1579">
                  <c:v>0.74</c:v>
                </c:pt>
                <c:pt idx="1580">
                  <c:v>0.74</c:v>
                </c:pt>
                <c:pt idx="1581">
                  <c:v>0.74</c:v>
                </c:pt>
                <c:pt idx="1582">
                  <c:v>0.74</c:v>
                </c:pt>
                <c:pt idx="1583">
                  <c:v>0.74</c:v>
                </c:pt>
                <c:pt idx="1584">
                  <c:v>0.73</c:v>
                </c:pt>
                <c:pt idx="1585">
                  <c:v>0.73</c:v>
                </c:pt>
                <c:pt idx="1586">
                  <c:v>0.73</c:v>
                </c:pt>
                <c:pt idx="1587">
                  <c:v>0.71</c:v>
                </c:pt>
                <c:pt idx="1588">
                  <c:v>0.7</c:v>
                </c:pt>
                <c:pt idx="1589">
                  <c:v>0.71</c:v>
                </c:pt>
                <c:pt idx="1590">
                  <c:v>0.7</c:v>
                </c:pt>
                <c:pt idx="1591">
                  <c:v>0.7</c:v>
                </c:pt>
                <c:pt idx="1592">
                  <c:v>0.7</c:v>
                </c:pt>
                <c:pt idx="1593">
                  <c:v>0.7</c:v>
                </c:pt>
                <c:pt idx="1594">
                  <c:v>0.7</c:v>
                </c:pt>
                <c:pt idx="1595">
                  <c:v>0.7</c:v>
                </c:pt>
                <c:pt idx="1596">
                  <c:v>0.7</c:v>
                </c:pt>
                <c:pt idx="1597">
                  <c:v>0.7</c:v>
                </c:pt>
                <c:pt idx="1598">
                  <c:v>0.7</c:v>
                </c:pt>
                <c:pt idx="1599">
                  <c:v>0.7</c:v>
                </c:pt>
                <c:pt idx="1600">
                  <c:v>0.7</c:v>
                </c:pt>
                <c:pt idx="1601">
                  <c:v>0.7</c:v>
                </c:pt>
                <c:pt idx="1602">
                  <c:v>0.7</c:v>
                </c:pt>
                <c:pt idx="1603">
                  <c:v>0.63</c:v>
                </c:pt>
                <c:pt idx="1604">
                  <c:v>0.61</c:v>
                </c:pt>
                <c:pt idx="1605">
                  <c:v>0.6</c:v>
                </c:pt>
                <c:pt idx="1606">
                  <c:v>0.6</c:v>
                </c:pt>
                <c:pt idx="1607">
                  <c:v>0.6</c:v>
                </c:pt>
                <c:pt idx="1608">
                  <c:v>0.6</c:v>
                </c:pt>
                <c:pt idx="1609">
                  <c:v>0.6</c:v>
                </c:pt>
                <c:pt idx="1610">
                  <c:v>0.6</c:v>
                </c:pt>
                <c:pt idx="1611">
                  <c:v>0.6</c:v>
                </c:pt>
                <c:pt idx="1612">
                  <c:v>0.6</c:v>
                </c:pt>
                <c:pt idx="1613">
                  <c:v>0.6</c:v>
                </c:pt>
                <c:pt idx="1614">
                  <c:v>0.6</c:v>
                </c:pt>
                <c:pt idx="1615">
                  <c:v>0.6</c:v>
                </c:pt>
                <c:pt idx="1616">
                  <c:v>0.6</c:v>
                </c:pt>
                <c:pt idx="1617">
                  <c:v>0.6</c:v>
                </c:pt>
                <c:pt idx="1618">
                  <c:v>0.6</c:v>
                </c:pt>
                <c:pt idx="1619">
                  <c:v>0.6</c:v>
                </c:pt>
                <c:pt idx="1620">
                  <c:v>0.6</c:v>
                </c:pt>
                <c:pt idx="1621">
                  <c:v>0.6</c:v>
                </c:pt>
                <c:pt idx="1622">
                  <c:v>0.6</c:v>
                </c:pt>
                <c:pt idx="1623">
                  <c:v>0.6</c:v>
                </c:pt>
                <c:pt idx="1624">
                  <c:v>0.6</c:v>
                </c:pt>
                <c:pt idx="1625">
                  <c:v>0.6</c:v>
                </c:pt>
                <c:pt idx="1626">
                  <c:v>0.6</c:v>
                </c:pt>
                <c:pt idx="1627">
                  <c:v>0.6</c:v>
                </c:pt>
                <c:pt idx="1628">
                  <c:v>0.6</c:v>
                </c:pt>
                <c:pt idx="1629">
                  <c:v>0.6</c:v>
                </c:pt>
                <c:pt idx="1630">
                  <c:v>0.61</c:v>
                </c:pt>
                <c:pt idx="1631">
                  <c:v>0.61</c:v>
                </c:pt>
                <c:pt idx="1632">
                  <c:v>0.61</c:v>
                </c:pt>
                <c:pt idx="1633">
                  <c:v>0.61</c:v>
                </c:pt>
                <c:pt idx="1634">
                  <c:v>0.61</c:v>
                </c:pt>
                <c:pt idx="1635">
                  <c:v>0.61</c:v>
                </c:pt>
                <c:pt idx="1636">
                  <c:v>0.61</c:v>
                </c:pt>
                <c:pt idx="1637">
                  <c:v>0.61</c:v>
                </c:pt>
                <c:pt idx="1638">
                  <c:v>0.61</c:v>
                </c:pt>
                <c:pt idx="1639">
                  <c:v>0.62</c:v>
                </c:pt>
                <c:pt idx="1640">
                  <c:v>0.62</c:v>
                </c:pt>
                <c:pt idx="1641">
                  <c:v>0.62</c:v>
                </c:pt>
                <c:pt idx="1642">
                  <c:v>0.62</c:v>
                </c:pt>
                <c:pt idx="1643">
                  <c:v>0.62</c:v>
                </c:pt>
                <c:pt idx="1644">
                  <c:v>0.62</c:v>
                </c:pt>
                <c:pt idx="1645">
                  <c:v>0.62</c:v>
                </c:pt>
                <c:pt idx="1646">
                  <c:v>0.62</c:v>
                </c:pt>
                <c:pt idx="1647">
                  <c:v>0.62</c:v>
                </c:pt>
                <c:pt idx="1648">
                  <c:v>0.62</c:v>
                </c:pt>
                <c:pt idx="1649">
                  <c:v>0.62</c:v>
                </c:pt>
                <c:pt idx="1650">
                  <c:v>0.62</c:v>
                </c:pt>
                <c:pt idx="1651">
                  <c:v>0.62</c:v>
                </c:pt>
                <c:pt idx="1652">
                  <c:v>0.63</c:v>
                </c:pt>
                <c:pt idx="1653">
                  <c:v>0.64</c:v>
                </c:pt>
                <c:pt idx="1654">
                  <c:v>0.63</c:v>
                </c:pt>
                <c:pt idx="1655">
                  <c:v>0.63</c:v>
                </c:pt>
                <c:pt idx="1656">
                  <c:v>0.63</c:v>
                </c:pt>
                <c:pt idx="1657">
                  <c:v>0.63</c:v>
                </c:pt>
                <c:pt idx="1658">
                  <c:v>0.63</c:v>
                </c:pt>
                <c:pt idx="1659">
                  <c:v>0.63</c:v>
                </c:pt>
                <c:pt idx="1660">
                  <c:v>0.63</c:v>
                </c:pt>
                <c:pt idx="1661">
                  <c:v>0.63</c:v>
                </c:pt>
                <c:pt idx="1662">
                  <c:v>0.63</c:v>
                </c:pt>
                <c:pt idx="1663">
                  <c:v>0.63</c:v>
                </c:pt>
                <c:pt idx="1664">
                  <c:v>0.63</c:v>
                </c:pt>
                <c:pt idx="1665">
                  <c:v>0.63</c:v>
                </c:pt>
                <c:pt idx="1666">
                  <c:v>0.64</c:v>
                </c:pt>
                <c:pt idx="1667">
                  <c:v>0.65</c:v>
                </c:pt>
                <c:pt idx="1668">
                  <c:v>0.74</c:v>
                </c:pt>
                <c:pt idx="1669">
                  <c:v>0.74</c:v>
                </c:pt>
                <c:pt idx="1670">
                  <c:v>0.74</c:v>
                </c:pt>
                <c:pt idx="1671">
                  <c:v>0.75</c:v>
                </c:pt>
                <c:pt idx="1672">
                  <c:v>0.76</c:v>
                </c:pt>
                <c:pt idx="1673">
                  <c:v>0.77</c:v>
                </c:pt>
                <c:pt idx="1674">
                  <c:v>0.77</c:v>
                </c:pt>
                <c:pt idx="1675">
                  <c:v>0.77</c:v>
                </c:pt>
                <c:pt idx="1676">
                  <c:v>0.77</c:v>
                </c:pt>
                <c:pt idx="1677">
                  <c:v>0.77</c:v>
                </c:pt>
                <c:pt idx="1678">
                  <c:v>0.77</c:v>
                </c:pt>
                <c:pt idx="1679">
                  <c:v>0.77</c:v>
                </c:pt>
                <c:pt idx="1680">
                  <c:v>0.77</c:v>
                </c:pt>
                <c:pt idx="1681">
                  <c:v>0.76</c:v>
                </c:pt>
                <c:pt idx="1682">
                  <c:v>0.76</c:v>
                </c:pt>
                <c:pt idx="1683">
                  <c:v>0.76</c:v>
                </c:pt>
                <c:pt idx="1684">
                  <c:v>0.76</c:v>
                </c:pt>
                <c:pt idx="1685">
                  <c:v>0.76</c:v>
                </c:pt>
                <c:pt idx="1686">
                  <c:v>0.76</c:v>
                </c:pt>
                <c:pt idx="1687">
                  <c:v>0.77</c:v>
                </c:pt>
                <c:pt idx="1688">
                  <c:v>0.77</c:v>
                </c:pt>
                <c:pt idx="1689">
                  <c:v>0.77</c:v>
                </c:pt>
                <c:pt idx="1690">
                  <c:v>0.77</c:v>
                </c:pt>
                <c:pt idx="1691">
                  <c:v>0.77</c:v>
                </c:pt>
                <c:pt idx="1692">
                  <c:v>0.77</c:v>
                </c:pt>
                <c:pt idx="1693">
                  <c:v>0.77</c:v>
                </c:pt>
                <c:pt idx="1694">
                  <c:v>0.77</c:v>
                </c:pt>
                <c:pt idx="1695">
                  <c:v>0.77</c:v>
                </c:pt>
                <c:pt idx="1696">
                  <c:v>0.77</c:v>
                </c:pt>
                <c:pt idx="1697">
                  <c:v>0.77</c:v>
                </c:pt>
                <c:pt idx="1698">
                  <c:v>0.77</c:v>
                </c:pt>
                <c:pt idx="1699">
                  <c:v>0.77</c:v>
                </c:pt>
                <c:pt idx="1700">
                  <c:v>0.77</c:v>
                </c:pt>
                <c:pt idx="1701">
                  <c:v>0.77</c:v>
                </c:pt>
                <c:pt idx="1702">
                  <c:v>0.77</c:v>
                </c:pt>
                <c:pt idx="1703">
                  <c:v>0.77</c:v>
                </c:pt>
                <c:pt idx="1704">
                  <c:v>0.77</c:v>
                </c:pt>
                <c:pt idx="1705">
                  <c:v>0.77</c:v>
                </c:pt>
                <c:pt idx="1706">
                  <c:v>0.77</c:v>
                </c:pt>
                <c:pt idx="1707">
                  <c:v>0.77</c:v>
                </c:pt>
                <c:pt idx="1708">
                  <c:v>0.77</c:v>
                </c:pt>
                <c:pt idx="1709">
                  <c:v>0.77</c:v>
                </c:pt>
                <c:pt idx="1710">
                  <c:v>0.77</c:v>
                </c:pt>
                <c:pt idx="1711">
                  <c:v>0.77</c:v>
                </c:pt>
                <c:pt idx="1712">
                  <c:v>0.77</c:v>
                </c:pt>
                <c:pt idx="1713">
                  <c:v>0.77</c:v>
                </c:pt>
                <c:pt idx="1714">
                  <c:v>0.77</c:v>
                </c:pt>
                <c:pt idx="1715">
                  <c:v>0.77</c:v>
                </c:pt>
                <c:pt idx="1716">
                  <c:v>0.77</c:v>
                </c:pt>
                <c:pt idx="1717">
                  <c:v>0.77</c:v>
                </c:pt>
                <c:pt idx="1718">
                  <c:v>0.77</c:v>
                </c:pt>
                <c:pt idx="1719">
                  <c:v>0.77</c:v>
                </c:pt>
                <c:pt idx="1720">
                  <c:v>0.77</c:v>
                </c:pt>
                <c:pt idx="1721">
                  <c:v>0.77</c:v>
                </c:pt>
                <c:pt idx="1722">
                  <c:v>0.77</c:v>
                </c:pt>
                <c:pt idx="1723">
                  <c:v>0.77</c:v>
                </c:pt>
                <c:pt idx="1724">
                  <c:v>0.77</c:v>
                </c:pt>
                <c:pt idx="1725">
                  <c:v>0.77</c:v>
                </c:pt>
                <c:pt idx="1726">
                  <c:v>0.77</c:v>
                </c:pt>
                <c:pt idx="1727">
                  <c:v>0.77</c:v>
                </c:pt>
                <c:pt idx="1728">
                  <c:v>0.77</c:v>
                </c:pt>
                <c:pt idx="1729">
                  <c:v>0.76</c:v>
                </c:pt>
                <c:pt idx="1730">
                  <c:v>0.76</c:v>
                </c:pt>
                <c:pt idx="1731">
                  <c:v>0.76</c:v>
                </c:pt>
                <c:pt idx="1732">
                  <c:v>0.76</c:v>
                </c:pt>
                <c:pt idx="1733">
                  <c:v>0.76</c:v>
                </c:pt>
                <c:pt idx="1734">
                  <c:v>0.76</c:v>
                </c:pt>
                <c:pt idx="1735">
                  <c:v>0.75</c:v>
                </c:pt>
                <c:pt idx="1736">
                  <c:v>0.75</c:v>
                </c:pt>
                <c:pt idx="1737">
                  <c:v>0.75</c:v>
                </c:pt>
                <c:pt idx="1738">
                  <c:v>0.75</c:v>
                </c:pt>
                <c:pt idx="1739">
                  <c:v>0.75</c:v>
                </c:pt>
                <c:pt idx="1740">
                  <c:v>0.75</c:v>
                </c:pt>
                <c:pt idx="1741">
                  <c:v>0.75</c:v>
                </c:pt>
                <c:pt idx="1742">
                  <c:v>0.75</c:v>
                </c:pt>
                <c:pt idx="1743">
                  <c:v>0.75</c:v>
                </c:pt>
                <c:pt idx="1744">
                  <c:v>0.75</c:v>
                </c:pt>
                <c:pt idx="1745">
                  <c:v>0.75</c:v>
                </c:pt>
                <c:pt idx="1746">
                  <c:v>0.75</c:v>
                </c:pt>
                <c:pt idx="1747">
                  <c:v>0.75</c:v>
                </c:pt>
                <c:pt idx="1748">
                  <c:v>0.75</c:v>
                </c:pt>
                <c:pt idx="1749">
                  <c:v>0.75</c:v>
                </c:pt>
                <c:pt idx="1750">
                  <c:v>0.75</c:v>
                </c:pt>
                <c:pt idx="1751">
                  <c:v>0.75</c:v>
                </c:pt>
                <c:pt idx="1752">
                  <c:v>0.75</c:v>
                </c:pt>
                <c:pt idx="1753">
                  <c:v>0.75</c:v>
                </c:pt>
                <c:pt idx="1754">
                  <c:v>0.75</c:v>
                </c:pt>
                <c:pt idx="1755">
                  <c:v>0.75</c:v>
                </c:pt>
                <c:pt idx="1756">
                  <c:v>0.75</c:v>
                </c:pt>
                <c:pt idx="1757">
                  <c:v>0.75</c:v>
                </c:pt>
                <c:pt idx="1758">
                  <c:v>0.75</c:v>
                </c:pt>
                <c:pt idx="1759">
                  <c:v>0.75</c:v>
                </c:pt>
                <c:pt idx="1760">
                  <c:v>0.75</c:v>
                </c:pt>
                <c:pt idx="1761">
                  <c:v>0.75</c:v>
                </c:pt>
                <c:pt idx="1762">
                  <c:v>0.75</c:v>
                </c:pt>
                <c:pt idx="1763">
                  <c:v>0.75</c:v>
                </c:pt>
                <c:pt idx="1764">
                  <c:v>0.75</c:v>
                </c:pt>
                <c:pt idx="1765">
                  <c:v>0.75</c:v>
                </c:pt>
                <c:pt idx="1766">
                  <c:v>0.75</c:v>
                </c:pt>
                <c:pt idx="1767">
                  <c:v>0.75</c:v>
                </c:pt>
                <c:pt idx="1768">
                  <c:v>0.75</c:v>
                </c:pt>
                <c:pt idx="1769">
                  <c:v>0.75</c:v>
                </c:pt>
                <c:pt idx="1770">
                  <c:v>0.75</c:v>
                </c:pt>
                <c:pt idx="1771">
                  <c:v>0.75</c:v>
                </c:pt>
                <c:pt idx="1772">
                  <c:v>0.75</c:v>
                </c:pt>
                <c:pt idx="1773">
                  <c:v>0.75</c:v>
                </c:pt>
                <c:pt idx="1774">
                  <c:v>0.75</c:v>
                </c:pt>
                <c:pt idx="1775">
                  <c:v>0.75</c:v>
                </c:pt>
                <c:pt idx="1776">
                  <c:v>0.75</c:v>
                </c:pt>
                <c:pt idx="1777">
                  <c:v>0.75</c:v>
                </c:pt>
                <c:pt idx="1778">
                  <c:v>0.75</c:v>
                </c:pt>
                <c:pt idx="1779">
                  <c:v>0.75</c:v>
                </c:pt>
                <c:pt idx="1780">
                  <c:v>0.75</c:v>
                </c:pt>
                <c:pt idx="1781">
                  <c:v>0.75</c:v>
                </c:pt>
                <c:pt idx="1782">
                  <c:v>0.75</c:v>
                </c:pt>
                <c:pt idx="1783">
                  <c:v>0.75</c:v>
                </c:pt>
                <c:pt idx="1784">
                  <c:v>0.75</c:v>
                </c:pt>
                <c:pt idx="1785">
                  <c:v>0.75</c:v>
                </c:pt>
                <c:pt idx="1786">
                  <c:v>0.75</c:v>
                </c:pt>
                <c:pt idx="1787">
                  <c:v>0.75</c:v>
                </c:pt>
                <c:pt idx="1788">
                  <c:v>0.75</c:v>
                </c:pt>
                <c:pt idx="1789">
                  <c:v>0.75</c:v>
                </c:pt>
                <c:pt idx="1790">
                  <c:v>0.75</c:v>
                </c:pt>
                <c:pt idx="1791">
                  <c:v>0.75</c:v>
                </c:pt>
                <c:pt idx="1792">
                  <c:v>0.75</c:v>
                </c:pt>
                <c:pt idx="1793">
                  <c:v>0.75</c:v>
                </c:pt>
                <c:pt idx="1794">
                  <c:v>0.75</c:v>
                </c:pt>
                <c:pt idx="1795">
                  <c:v>0.75</c:v>
                </c:pt>
                <c:pt idx="1796">
                  <c:v>0.75</c:v>
                </c:pt>
                <c:pt idx="1797">
                  <c:v>0.75</c:v>
                </c:pt>
                <c:pt idx="1798">
                  <c:v>0.75</c:v>
                </c:pt>
                <c:pt idx="1799">
                  <c:v>0.75</c:v>
                </c:pt>
                <c:pt idx="1800">
                  <c:v>0.75</c:v>
                </c:pt>
                <c:pt idx="1801">
                  <c:v>0.75</c:v>
                </c:pt>
                <c:pt idx="1802">
                  <c:v>0.75</c:v>
                </c:pt>
                <c:pt idx="1803">
                  <c:v>0.75</c:v>
                </c:pt>
                <c:pt idx="1804">
                  <c:v>0.75</c:v>
                </c:pt>
                <c:pt idx="1805">
                  <c:v>0.75</c:v>
                </c:pt>
                <c:pt idx="1806">
                  <c:v>0.75</c:v>
                </c:pt>
                <c:pt idx="1807">
                  <c:v>0.75</c:v>
                </c:pt>
                <c:pt idx="1808">
                  <c:v>0.75</c:v>
                </c:pt>
                <c:pt idx="1809">
                  <c:v>0.75</c:v>
                </c:pt>
                <c:pt idx="1810">
                  <c:v>0.75</c:v>
                </c:pt>
                <c:pt idx="1811">
                  <c:v>0.75</c:v>
                </c:pt>
                <c:pt idx="1812">
                  <c:v>0.75</c:v>
                </c:pt>
                <c:pt idx="1813">
                  <c:v>0.76</c:v>
                </c:pt>
                <c:pt idx="1814">
                  <c:v>0.76</c:v>
                </c:pt>
                <c:pt idx="1815">
                  <c:v>0.76</c:v>
                </c:pt>
                <c:pt idx="1816">
                  <c:v>0.76</c:v>
                </c:pt>
                <c:pt idx="1817">
                  <c:v>0.76</c:v>
                </c:pt>
                <c:pt idx="1818">
                  <c:v>0.76</c:v>
                </c:pt>
                <c:pt idx="1819">
                  <c:v>0.76</c:v>
                </c:pt>
                <c:pt idx="1820">
                  <c:v>0.76</c:v>
                </c:pt>
                <c:pt idx="1821">
                  <c:v>0.76</c:v>
                </c:pt>
                <c:pt idx="1822">
                  <c:v>0.77</c:v>
                </c:pt>
                <c:pt idx="1823">
                  <c:v>0.77</c:v>
                </c:pt>
                <c:pt idx="1824">
                  <c:v>0.77</c:v>
                </c:pt>
                <c:pt idx="1825">
                  <c:v>0.77</c:v>
                </c:pt>
                <c:pt idx="1826">
                  <c:v>0.77</c:v>
                </c:pt>
                <c:pt idx="1827">
                  <c:v>0.77</c:v>
                </c:pt>
                <c:pt idx="1828">
                  <c:v>0.77</c:v>
                </c:pt>
                <c:pt idx="1829">
                  <c:v>0.77</c:v>
                </c:pt>
                <c:pt idx="1830">
                  <c:v>0.77</c:v>
                </c:pt>
                <c:pt idx="1831">
                  <c:v>0.77</c:v>
                </c:pt>
                <c:pt idx="1832">
                  <c:v>0.77</c:v>
                </c:pt>
                <c:pt idx="1833">
                  <c:v>0.77</c:v>
                </c:pt>
                <c:pt idx="1834">
                  <c:v>0.77</c:v>
                </c:pt>
                <c:pt idx="1835">
                  <c:v>0.77</c:v>
                </c:pt>
                <c:pt idx="1836">
                  <c:v>0.77</c:v>
                </c:pt>
                <c:pt idx="1837">
                  <c:v>0.77</c:v>
                </c:pt>
                <c:pt idx="1838">
                  <c:v>0.77</c:v>
                </c:pt>
                <c:pt idx="1839">
                  <c:v>0.77</c:v>
                </c:pt>
                <c:pt idx="1840">
                  <c:v>0.77</c:v>
                </c:pt>
                <c:pt idx="1841">
                  <c:v>0.77</c:v>
                </c:pt>
                <c:pt idx="1842">
                  <c:v>0.77</c:v>
                </c:pt>
                <c:pt idx="1843">
                  <c:v>0.77</c:v>
                </c:pt>
                <c:pt idx="1844">
                  <c:v>0.77</c:v>
                </c:pt>
                <c:pt idx="1845">
                  <c:v>0.77</c:v>
                </c:pt>
                <c:pt idx="1846">
                  <c:v>0.77</c:v>
                </c:pt>
                <c:pt idx="1847">
                  <c:v>0.77</c:v>
                </c:pt>
                <c:pt idx="1848">
                  <c:v>0.77</c:v>
                </c:pt>
                <c:pt idx="1849">
                  <c:v>0.77</c:v>
                </c:pt>
                <c:pt idx="1850">
                  <c:v>0.77</c:v>
                </c:pt>
                <c:pt idx="1851">
                  <c:v>0.77</c:v>
                </c:pt>
                <c:pt idx="1852">
                  <c:v>0.77</c:v>
                </c:pt>
                <c:pt idx="1853">
                  <c:v>0.77</c:v>
                </c:pt>
                <c:pt idx="1854">
                  <c:v>0.77</c:v>
                </c:pt>
                <c:pt idx="1855">
                  <c:v>0.77</c:v>
                </c:pt>
                <c:pt idx="1856">
                  <c:v>0.78</c:v>
                </c:pt>
                <c:pt idx="1857">
                  <c:v>0.78</c:v>
                </c:pt>
                <c:pt idx="1858">
                  <c:v>0.78</c:v>
                </c:pt>
                <c:pt idx="1859">
                  <c:v>0.78</c:v>
                </c:pt>
                <c:pt idx="1860">
                  <c:v>0.78</c:v>
                </c:pt>
                <c:pt idx="1861">
                  <c:v>0.78</c:v>
                </c:pt>
                <c:pt idx="1862">
                  <c:v>0.78</c:v>
                </c:pt>
                <c:pt idx="1863">
                  <c:v>0.79</c:v>
                </c:pt>
                <c:pt idx="1864">
                  <c:v>0.79</c:v>
                </c:pt>
                <c:pt idx="1865">
                  <c:v>0.79</c:v>
                </c:pt>
                <c:pt idx="1866">
                  <c:v>0.79</c:v>
                </c:pt>
                <c:pt idx="1867">
                  <c:v>0.79</c:v>
                </c:pt>
                <c:pt idx="1868">
                  <c:v>0.79</c:v>
                </c:pt>
                <c:pt idx="1869">
                  <c:v>0.79</c:v>
                </c:pt>
                <c:pt idx="1870">
                  <c:v>0.79</c:v>
                </c:pt>
                <c:pt idx="1871">
                  <c:v>0.79</c:v>
                </c:pt>
                <c:pt idx="1872">
                  <c:v>0.79</c:v>
                </c:pt>
                <c:pt idx="1873">
                  <c:v>0.79</c:v>
                </c:pt>
                <c:pt idx="1874">
                  <c:v>0.79</c:v>
                </c:pt>
                <c:pt idx="1875">
                  <c:v>0.79</c:v>
                </c:pt>
                <c:pt idx="1876">
                  <c:v>0.79</c:v>
                </c:pt>
                <c:pt idx="1877">
                  <c:v>0.79</c:v>
                </c:pt>
                <c:pt idx="1878">
                  <c:v>0.79</c:v>
                </c:pt>
                <c:pt idx="1879">
                  <c:v>0.79</c:v>
                </c:pt>
                <c:pt idx="1880">
                  <c:v>0.79</c:v>
                </c:pt>
                <c:pt idx="1881">
                  <c:v>0.79</c:v>
                </c:pt>
                <c:pt idx="1882">
                  <c:v>0.79</c:v>
                </c:pt>
                <c:pt idx="1883">
                  <c:v>0.79</c:v>
                </c:pt>
                <c:pt idx="1884">
                  <c:v>0.79</c:v>
                </c:pt>
                <c:pt idx="1885">
                  <c:v>0.79</c:v>
                </c:pt>
                <c:pt idx="1886">
                  <c:v>0.79</c:v>
                </c:pt>
                <c:pt idx="1887">
                  <c:v>0.79</c:v>
                </c:pt>
                <c:pt idx="1888">
                  <c:v>0.79</c:v>
                </c:pt>
                <c:pt idx="1889">
                  <c:v>0.79</c:v>
                </c:pt>
                <c:pt idx="1890">
                  <c:v>0.79</c:v>
                </c:pt>
                <c:pt idx="1891">
                  <c:v>0.79</c:v>
                </c:pt>
                <c:pt idx="1892">
                  <c:v>0.79</c:v>
                </c:pt>
                <c:pt idx="1893">
                  <c:v>0.79</c:v>
                </c:pt>
                <c:pt idx="1894">
                  <c:v>0.79</c:v>
                </c:pt>
                <c:pt idx="1895">
                  <c:v>0.79</c:v>
                </c:pt>
                <c:pt idx="1896">
                  <c:v>0.79</c:v>
                </c:pt>
                <c:pt idx="1897">
                  <c:v>0.79</c:v>
                </c:pt>
                <c:pt idx="1898">
                  <c:v>0.79</c:v>
                </c:pt>
                <c:pt idx="1899">
                  <c:v>0.79</c:v>
                </c:pt>
                <c:pt idx="1900">
                  <c:v>0.79</c:v>
                </c:pt>
                <c:pt idx="1901">
                  <c:v>0.79</c:v>
                </c:pt>
                <c:pt idx="1902">
                  <c:v>0.85</c:v>
                </c:pt>
                <c:pt idx="1903">
                  <c:v>0.88</c:v>
                </c:pt>
                <c:pt idx="1904">
                  <c:v>0.89</c:v>
                </c:pt>
                <c:pt idx="1905">
                  <c:v>0.89</c:v>
                </c:pt>
                <c:pt idx="1906">
                  <c:v>0.9</c:v>
                </c:pt>
                <c:pt idx="1907">
                  <c:v>0.9</c:v>
                </c:pt>
                <c:pt idx="1908">
                  <c:v>0.9</c:v>
                </c:pt>
                <c:pt idx="1909">
                  <c:v>0.9</c:v>
                </c:pt>
                <c:pt idx="1910">
                  <c:v>0.91</c:v>
                </c:pt>
                <c:pt idx="1911">
                  <c:v>0.91</c:v>
                </c:pt>
                <c:pt idx="1912">
                  <c:v>0.91</c:v>
                </c:pt>
                <c:pt idx="1913">
                  <c:v>0.91</c:v>
                </c:pt>
                <c:pt idx="1914">
                  <c:v>0.91</c:v>
                </c:pt>
                <c:pt idx="1915">
                  <c:v>0.91</c:v>
                </c:pt>
                <c:pt idx="1916">
                  <c:v>0.91</c:v>
                </c:pt>
                <c:pt idx="1917">
                  <c:v>0.91</c:v>
                </c:pt>
                <c:pt idx="1918">
                  <c:v>0.91</c:v>
                </c:pt>
                <c:pt idx="1919">
                  <c:v>0.92</c:v>
                </c:pt>
                <c:pt idx="1920">
                  <c:v>0.92</c:v>
                </c:pt>
                <c:pt idx="1921">
                  <c:v>0.92</c:v>
                </c:pt>
                <c:pt idx="1922">
                  <c:v>0.92</c:v>
                </c:pt>
                <c:pt idx="1923">
                  <c:v>0.92</c:v>
                </c:pt>
                <c:pt idx="1924">
                  <c:v>0.92</c:v>
                </c:pt>
                <c:pt idx="1925">
                  <c:v>0.92</c:v>
                </c:pt>
                <c:pt idx="1926">
                  <c:v>0.93</c:v>
                </c:pt>
                <c:pt idx="1927">
                  <c:v>0.93</c:v>
                </c:pt>
                <c:pt idx="1928">
                  <c:v>0.93</c:v>
                </c:pt>
                <c:pt idx="1929">
                  <c:v>0.93</c:v>
                </c:pt>
                <c:pt idx="1930">
                  <c:v>0.93</c:v>
                </c:pt>
                <c:pt idx="1931">
                  <c:v>0.93</c:v>
                </c:pt>
                <c:pt idx="1932">
                  <c:v>0.93</c:v>
                </c:pt>
                <c:pt idx="1933">
                  <c:v>0.93</c:v>
                </c:pt>
                <c:pt idx="1934">
                  <c:v>0.93</c:v>
                </c:pt>
                <c:pt idx="1935">
                  <c:v>0.93</c:v>
                </c:pt>
                <c:pt idx="1936">
                  <c:v>0.93</c:v>
                </c:pt>
                <c:pt idx="1937">
                  <c:v>0.94</c:v>
                </c:pt>
                <c:pt idx="1938">
                  <c:v>0.95</c:v>
                </c:pt>
                <c:pt idx="1939">
                  <c:v>1.04</c:v>
                </c:pt>
                <c:pt idx="1940">
                  <c:v>1.04</c:v>
                </c:pt>
                <c:pt idx="1941">
                  <c:v>1.04</c:v>
                </c:pt>
                <c:pt idx="1942">
                  <c:v>1.04</c:v>
                </c:pt>
                <c:pt idx="1943">
                  <c:v>1.04</c:v>
                </c:pt>
                <c:pt idx="1944">
                  <c:v>1.05</c:v>
                </c:pt>
                <c:pt idx="1945">
                  <c:v>1.05</c:v>
                </c:pt>
                <c:pt idx="1946">
                  <c:v>1.05</c:v>
                </c:pt>
                <c:pt idx="1947">
                  <c:v>1.05</c:v>
                </c:pt>
                <c:pt idx="1948">
                  <c:v>1.05</c:v>
                </c:pt>
                <c:pt idx="1949">
                  <c:v>1.05</c:v>
                </c:pt>
                <c:pt idx="1950">
                  <c:v>1.05</c:v>
                </c:pt>
                <c:pt idx="1951">
                  <c:v>1.05</c:v>
                </c:pt>
                <c:pt idx="1952">
                  <c:v>1.05</c:v>
                </c:pt>
                <c:pt idx="1953">
                  <c:v>1.05</c:v>
                </c:pt>
                <c:pt idx="1954">
                  <c:v>1.05</c:v>
                </c:pt>
                <c:pt idx="1955">
                  <c:v>1.06</c:v>
                </c:pt>
                <c:pt idx="1956">
                  <c:v>1.06</c:v>
                </c:pt>
                <c:pt idx="1957">
                  <c:v>1.06</c:v>
                </c:pt>
                <c:pt idx="1958">
                  <c:v>1.07</c:v>
                </c:pt>
                <c:pt idx="1959">
                  <c:v>1.07</c:v>
                </c:pt>
                <c:pt idx="1960">
                  <c:v>1.07</c:v>
                </c:pt>
                <c:pt idx="1961">
                  <c:v>1.07</c:v>
                </c:pt>
                <c:pt idx="1962">
                  <c:v>1.07</c:v>
                </c:pt>
                <c:pt idx="1963">
                  <c:v>1.07</c:v>
                </c:pt>
                <c:pt idx="1964">
                  <c:v>1.07</c:v>
                </c:pt>
                <c:pt idx="1965">
                  <c:v>1.07</c:v>
                </c:pt>
                <c:pt idx="1966">
                  <c:v>1.07</c:v>
                </c:pt>
                <c:pt idx="1967">
                  <c:v>1.07</c:v>
                </c:pt>
                <c:pt idx="1968">
                  <c:v>1.07</c:v>
                </c:pt>
                <c:pt idx="1969">
                  <c:v>1.07</c:v>
                </c:pt>
                <c:pt idx="1970">
                  <c:v>1.07</c:v>
                </c:pt>
                <c:pt idx="1971">
                  <c:v>1.07</c:v>
                </c:pt>
                <c:pt idx="1972">
                  <c:v>1.07</c:v>
                </c:pt>
                <c:pt idx="1973">
                  <c:v>1.07</c:v>
                </c:pt>
                <c:pt idx="1974">
                  <c:v>1.33</c:v>
                </c:pt>
                <c:pt idx="1975">
                  <c:v>1.35</c:v>
                </c:pt>
                <c:pt idx="1976">
                  <c:v>1.35</c:v>
                </c:pt>
                <c:pt idx="1977">
                  <c:v>1.35</c:v>
                </c:pt>
                <c:pt idx="1978">
                  <c:v>1.35</c:v>
                </c:pt>
                <c:pt idx="1979">
                  <c:v>1.35</c:v>
                </c:pt>
                <c:pt idx="1980">
                  <c:v>1.35</c:v>
                </c:pt>
                <c:pt idx="1981">
                  <c:v>1.35</c:v>
                </c:pt>
                <c:pt idx="1982">
                  <c:v>1.35</c:v>
                </c:pt>
                <c:pt idx="1983">
                  <c:v>1.35</c:v>
                </c:pt>
                <c:pt idx="1984">
                  <c:v>1.35</c:v>
                </c:pt>
                <c:pt idx="1985">
                  <c:v>1.35</c:v>
                </c:pt>
                <c:pt idx="1986">
                  <c:v>1.35</c:v>
                </c:pt>
                <c:pt idx="1987">
                  <c:v>1.35</c:v>
                </c:pt>
                <c:pt idx="1988">
                  <c:v>1.36</c:v>
                </c:pt>
                <c:pt idx="1989">
                  <c:v>1.37</c:v>
                </c:pt>
                <c:pt idx="1990">
                  <c:v>1.38</c:v>
                </c:pt>
                <c:pt idx="1991">
                  <c:v>1.38</c:v>
                </c:pt>
                <c:pt idx="1992">
                  <c:v>1.38</c:v>
                </c:pt>
                <c:pt idx="1993">
                  <c:v>1.38</c:v>
                </c:pt>
                <c:pt idx="1994">
                  <c:v>1.39</c:v>
                </c:pt>
                <c:pt idx="1995">
                  <c:v>1.4</c:v>
                </c:pt>
                <c:pt idx="1996">
                  <c:v>1.41</c:v>
                </c:pt>
                <c:pt idx="1997">
                  <c:v>1.41</c:v>
                </c:pt>
                <c:pt idx="1998">
                  <c:v>1.41</c:v>
                </c:pt>
                <c:pt idx="1999">
                  <c:v>1.41</c:v>
                </c:pt>
                <c:pt idx="2000">
                  <c:v>1.42</c:v>
                </c:pt>
                <c:pt idx="2001">
                  <c:v>1.44</c:v>
                </c:pt>
                <c:pt idx="2002">
                  <c:v>1.61</c:v>
                </c:pt>
                <c:pt idx="2003">
                  <c:v>1.61</c:v>
                </c:pt>
                <c:pt idx="2004">
                  <c:v>1.61</c:v>
                </c:pt>
                <c:pt idx="2005">
                  <c:v>1.61</c:v>
                </c:pt>
                <c:pt idx="2006">
                  <c:v>1.61</c:v>
                </c:pt>
                <c:pt idx="2007">
                  <c:v>1.6</c:v>
                </c:pt>
                <c:pt idx="2008">
                  <c:v>1.6</c:v>
                </c:pt>
                <c:pt idx="2009">
                  <c:v>1.6</c:v>
                </c:pt>
                <c:pt idx="2010">
                  <c:v>1.6</c:v>
                </c:pt>
                <c:pt idx="2011">
                  <c:v>1.6</c:v>
                </c:pt>
                <c:pt idx="2012">
                  <c:v>1.6</c:v>
                </c:pt>
                <c:pt idx="2013">
                  <c:v>1.6</c:v>
                </c:pt>
                <c:pt idx="2014">
                  <c:v>1.6</c:v>
                </c:pt>
                <c:pt idx="2015">
                  <c:v>1.6</c:v>
                </c:pt>
                <c:pt idx="2016">
                  <c:v>1.6</c:v>
                </c:pt>
                <c:pt idx="2017">
                  <c:v>1.57</c:v>
                </c:pt>
                <c:pt idx="2018">
                  <c:v>1.57</c:v>
                </c:pt>
                <c:pt idx="2019">
                  <c:v>1.57</c:v>
                </c:pt>
                <c:pt idx="2020">
                  <c:v>1.57</c:v>
                </c:pt>
                <c:pt idx="2021">
                  <c:v>1.58</c:v>
                </c:pt>
                <c:pt idx="2022">
                  <c:v>1.6</c:v>
                </c:pt>
                <c:pt idx="2023">
                  <c:v>1.6</c:v>
                </c:pt>
                <c:pt idx="2024">
                  <c:v>1.61</c:v>
                </c:pt>
                <c:pt idx="2025">
                  <c:v>1.62</c:v>
                </c:pt>
                <c:pt idx="2026">
                  <c:v>1.62</c:v>
                </c:pt>
                <c:pt idx="2027">
                  <c:v>1.62</c:v>
                </c:pt>
                <c:pt idx="2028">
                  <c:v>1.64</c:v>
                </c:pt>
                <c:pt idx="2029">
                  <c:v>1.66</c:v>
                </c:pt>
                <c:pt idx="2030">
                  <c:v>1.72</c:v>
                </c:pt>
                <c:pt idx="2031">
                  <c:v>1.74</c:v>
                </c:pt>
                <c:pt idx="2032">
                  <c:v>1.76</c:v>
                </c:pt>
                <c:pt idx="2033">
                  <c:v>1.76</c:v>
                </c:pt>
                <c:pt idx="2034">
                  <c:v>1.76</c:v>
                </c:pt>
                <c:pt idx="2035">
                  <c:v>1.77</c:v>
                </c:pt>
                <c:pt idx="2036">
                  <c:v>1.78</c:v>
                </c:pt>
                <c:pt idx="2037">
                  <c:v>1.77</c:v>
                </c:pt>
                <c:pt idx="2038">
                  <c:v>1.76</c:v>
                </c:pt>
                <c:pt idx="2039">
                  <c:v>1.76</c:v>
                </c:pt>
                <c:pt idx="2040">
                  <c:v>1.76</c:v>
                </c:pt>
                <c:pt idx="2041">
                  <c:v>1.76</c:v>
                </c:pt>
                <c:pt idx="2042">
                  <c:v>1.77</c:v>
                </c:pt>
                <c:pt idx="2043">
                  <c:v>1.79</c:v>
                </c:pt>
                <c:pt idx="2044">
                  <c:v>1.8</c:v>
                </c:pt>
                <c:pt idx="2045">
                  <c:v>1.81</c:v>
                </c:pt>
                <c:pt idx="2046">
                  <c:v>1.82</c:v>
                </c:pt>
                <c:pt idx="2047">
                  <c:v>1.82</c:v>
                </c:pt>
                <c:pt idx="2048">
                  <c:v>1.82</c:v>
                </c:pt>
                <c:pt idx="2049">
                  <c:v>1.83</c:v>
                </c:pt>
                <c:pt idx="2050">
                  <c:v>1.84</c:v>
                </c:pt>
                <c:pt idx="2051">
                  <c:v>1.85</c:v>
                </c:pt>
                <c:pt idx="2052">
                  <c:v>1.85</c:v>
                </c:pt>
                <c:pt idx="2053">
                  <c:v>1.86</c:v>
                </c:pt>
                <c:pt idx="2054">
                  <c:v>1.86</c:v>
                </c:pt>
                <c:pt idx="2055">
                  <c:v>1.86</c:v>
                </c:pt>
                <c:pt idx="2056">
                  <c:v>1.87</c:v>
                </c:pt>
                <c:pt idx="2057">
                  <c:v>1.89</c:v>
                </c:pt>
                <c:pt idx="2058">
                  <c:v>1.97</c:v>
                </c:pt>
                <c:pt idx="2059">
                  <c:v>1.98</c:v>
                </c:pt>
                <c:pt idx="2060">
                  <c:v>2</c:v>
                </c:pt>
                <c:pt idx="2061">
                  <c:v>2</c:v>
                </c:pt>
                <c:pt idx="2062">
                  <c:v>2</c:v>
                </c:pt>
                <c:pt idx="2063">
                  <c:v>2</c:v>
                </c:pt>
                <c:pt idx="2064">
                  <c:v>2.02</c:v>
                </c:pt>
                <c:pt idx="2065">
                  <c:v>2.02</c:v>
                </c:pt>
                <c:pt idx="2066">
                  <c:v>2.0299999999999998</c:v>
                </c:pt>
                <c:pt idx="2067">
                  <c:v>2.04</c:v>
                </c:pt>
                <c:pt idx="2068">
                  <c:v>2.04</c:v>
                </c:pt>
                <c:pt idx="2069">
                  <c:v>2.04</c:v>
                </c:pt>
                <c:pt idx="2070">
                  <c:v>2.04</c:v>
                </c:pt>
                <c:pt idx="2071">
                  <c:v>2.0499999999999998</c:v>
                </c:pt>
                <c:pt idx="2072">
                  <c:v>2.0499999999999998</c:v>
                </c:pt>
                <c:pt idx="2073">
                  <c:v>2.06</c:v>
                </c:pt>
                <c:pt idx="2074">
                  <c:v>2.06</c:v>
                </c:pt>
                <c:pt idx="2075">
                  <c:v>2.06</c:v>
                </c:pt>
                <c:pt idx="2076">
                  <c:v>2.06</c:v>
                </c:pt>
                <c:pt idx="2077">
                  <c:v>2.0699999999999998</c:v>
                </c:pt>
                <c:pt idx="2078">
                  <c:v>2.09</c:v>
                </c:pt>
                <c:pt idx="2079">
                  <c:v>2.11</c:v>
                </c:pt>
                <c:pt idx="2080">
                  <c:v>2.15</c:v>
                </c:pt>
                <c:pt idx="2081">
                  <c:v>2.1800000000000002</c:v>
                </c:pt>
                <c:pt idx="2082">
                  <c:v>2.1800000000000002</c:v>
                </c:pt>
                <c:pt idx="2083">
                  <c:v>2.1800000000000002</c:v>
                </c:pt>
                <c:pt idx="2084">
                  <c:v>2.2200000000000002</c:v>
                </c:pt>
                <c:pt idx="2085">
                  <c:v>2.2599999999999998</c:v>
                </c:pt>
                <c:pt idx="2086">
                  <c:v>2.4500000000000002</c:v>
                </c:pt>
                <c:pt idx="2087">
                  <c:v>2.5099999999999998</c:v>
                </c:pt>
                <c:pt idx="2088">
                  <c:v>2.72</c:v>
                </c:pt>
                <c:pt idx="2089">
                  <c:v>2.72</c:v>
                </c:pt>
                <c:pt idx="2090">
                  <c:v>2.72</c:v>
                </c:pt>
                <c:pt idx="2091">
                  <c:v>2.78</c:v>
                </c:pt>
                <c:pt idx="2092">
                  <c:v>2.89</c:v>
                </c:pt>
                <c:pt idx="2093">
                  <c:v>2.97</c:v>
                </c:pt>
                <c:pt idx="2094">
                  <c:v>3.29</c:v>
                </c:pt>
                <c:pt idx="2095">
                  <c:v>3.32</c:v>
                </c:pt>
                <c:pt idx="2096">
                  <c:v>3.32</c:v>
                </c:pt>
                <c:pt idx="2097">
                  <c:v>3.32</c:v>
                </c:pt>
                <c:pt idx="2098">
                  <c:v>3.34</c:v>
                </c:pt>
                <c:pt idx="2099">
                  <c:v>3.33</c:v>
                </c:pt>
                <c:pt idx="2100">
                  <c:v>3.36</c:v>
                </c:pt>
                <c:pt idx="2101">
                  <c:v>3.45</c:v>
                </c:pt>
                <c:pt idx="2102">
                  <c:v>3.47</c:v>
                </c:pt>
                <c:pt idx="2103">
                  <c:v>3.47</c:v>
                </c:pt>
                <c:pt idx="2104">
                  <c:v>3.47</c:v>
                </c:pt>
                <c:pt idx="2105">
                  <c:v>3.49</c:v>
                </c:pt>
                <c:pt idx="2106">
                  <c:v>3.5</c:v>
                </c:pt>
                <c:pt idx="2107">
                  <c:v>3.52</c:v>
                </c:pt>
                <c:pt idx="2108">
                  <c:v>3.65</c:v>
                </c:pt>
                <c:pt idx="2109">
                  <c:v>3.66</c:v>
                </c:pt>
                <c:pt idx="2110">
                  <c:v>3.66</c:v>
                </c:pt>
                <c:pt idx="2111">
                  <c:v>3.66</c:v>
                </c:pt>
                <c:pt idx="2112">
                  <c:v>3.68</c:v>
                </c:pt>
                <c:pt idx="2113">
                  <c:v>3.69</c:v>
                </c:pt>
                <c:pt idx="2114">
                  <c:v>3.82</c:v>
                </c:pt>
                <c:pt idx="2115">
                  <c:v>3.92</c:v>
                </c:pt>
                <c:pt idx="2116">
                  <c:v>3.93</c:v>
                </c:pt>
                <c:pt idx="2117">
                  <c:v>3.93</c:v>
                </c:pt>
                <c:pt idx="2118">
                  <c:v>3.93</c:v>
                </c:pt>
                <c:pt idx="2119">
                  <c:v>3.94</c:v>
                </c:pt>
                <c:pt idx="2120">
                  <c:v>3.94</c:v>
                </c:pt>
                <c:pt idx="2121">
                  <c:v>3.94</c:v>
                </c:pt>
                <c:pt idx="2122">
                  <c:v>4.03</c:v>
                </c:pt>
                <c:pt idx="2123">
                  <c:v>4.03</c:v>
                </c:pt>
                <c:pt idx="2124">
                  <c:v>4.03</c:v>
                </c:pt>
                <c:pt idx="2125">
                  <c:v>4.03</c:v>
                </c:pt>
                <c:pt idx="2126">
                  <c:v>4.05</c:v>
                </c:pt>
                <c:pt idx="2127">
                  <c:v>4.05</c:v>
                </c:pt>
                <c:pt idx="2128">
                  <c:v>4.05</c:v>
                </c:pt>
                <c:pt idx="2129">
                  <c:v>4.2</c:v>
                </c:pt>
                <c:pt idx="2130">
                  <c:v>4.21</c:v>
                </c:pt>
                <c:pt idx="2131">
                  <c:v>4.21</c:v>
                </c:pt>
                <c:pt idx="2132">
                  <c:v>4.21</c:v>
                </c:pt>
                <c:pt idx="2133">
                  <c:v>4.22</c:v>
                </c:pt>
                <c:pt idx="2134">
                  <c:v>4.2300000000000004</c:v>
                </c:pt>
                <c:pt idx="2135">
                  <c:v>4.26</c:v>
                </c:pt>
                <c:pt idx="2136">
                  <c:v>4.26</c:v>
                </c:pt>
                <c:pt idx="2137">
                  <c:v>4.26</c:v>
                </c:pt>
                <c:pt idx="2138">
                  <c:v>4.26</c:v>
                </c:pt>
                <c:pt idx="2139">
                  <c:v>4.26</c:v>
                </c:pt>
                <c:pt idx="2140">
                  <c:v>4.25</c:v>
                </c:pt>
                <c:pt idx="2141">
                  <c:v>4.25</c:v>
                </c:pt>
                <c:pt idx="2142">
                  <c:v>4.24</c:v>
                </c:pt>
                <c:pt idx="2143">
                  <c:v>4.22</c:v>
                </c:pt>
                <c:pt idx="2144">
                  <c:v>4.1900000000000004</c:v>
                </c:pt>
                <c:pt idx="2145">
                  <c:v>4.1900000000000004</c:v>
                </c:pt>
                <c:pt idx="2146">
                  <c:v>4.1900000000000004</c:v>
                </c:pt>
                <c:pt idx="2147">
                  <c:v>4.1900000000000004</c:v>
                </c:pt>
              </c:numCache>
            </c:numRef>
          </c:val>
          <c:smooth val="0"/>
          <c:extLst>
            <c:ext xmlns:c16="http://schemas.microsoft.com/office/drawing/2014/chart" uri="{C3380CC4-5D6E-409C-BE32-E72D297353CC}">
              <c16:uniqueId val="{00000002-1F34-4772-B35F-AA8181655FDE}"/>
            </c:ext>
          </c:extLst>
        </c:ser>
        <c:ser>
          <c:idx val="4"/>
          <c:order val="3"/>
          <c:tx>
            <c:strRef>
              <c:f>Baserate_FRA!$K$2</c:f>
              <c:strCache>
                <c:ptCount val="1"/>
                <c:pt idx="0">
                  <c:v>BUBOR 6hó</c:v>
                </c:pt>
              </c:strCache>
            </c:strRef>
          </c:tx>
          <c:spPr>
            <a:ln w="19050"/>
          </c:spPr>
          <c:marker>
            <c:symbol val="none"/>
          </c:marker>
          <c:cat>
            <c:numRef>
              <c:f>Baserate_FRA!$B$3:$B$2880</c:f>
              <c:numCache>
                <c:formatCode>m/d/yyyy</c:formatCode>
                <c:ptCount val="2878"/>
                <c:pt idx="0">
                  <c:v>42248</c:v>
                </c:pt>
                <c:pt idx="1">
                  <c:v>42249</c:v>
                </c:pt>
                <c:pt idx="2">
                  <c:v>42250</c:v>
                </c:pt>
                <c:pt idx="3">
                  <c:v>42251</c:v>
                </c:pt>
                <c:pt idx="4">
                  <c:v>42254</c:v>
                </c:pt>
                <c:pt idx="5">
                  <c:v>42255</c:v>
                </c:pt>
                <c:pt idx="6">
                  <c:v>42256</c:v>
                </c:pt>
                <c:pt idx="7">
                  <c:v>42257</c:v>
                </c:pt>
                <c:pt idx="8">
                  <c:v>42258</c:v>
                </c:pt>
                <c:pt idx="9">
                  <c:v>42261</c:v>
                </c:pt>
                <c:pt idx="10">
                  <c:v>42262</c:v>
                </c:pt>
                <c:pt idx="11">
                  <c:v>42263</c:v>
                </c:pt>
                <c:pt idx="12">
                  <c:v>42264</c:v>
                </c:pt>
                <c:pt idx="13">
                  <c:v>42265</c:v>
                </c:pt>
                <c:pt idx="14">
                  <c:v>42268</c:v>
                </c:pt>
                <c:pt idx="15">
                  <c:v>42269</c:v>
                </c:pt>
                <c:pt idx="16">
                  <c:v>42270</c:v>
                </c:pt>
                <c:pt idx="17">
                  <c:v>42271</c:v>
                </c:pt>
                <c:pt idx="18">
                  <c:v>42272</c:v>
                </c:pt>
                <c:pt idx="19">
                  <c:v>42275</c:v>
                </c:pt>
                <c:pt idx="20">
                  <c:v>42276</c:v>
                </c:pt>
                <c:pt idx="21">
                  <c:v>42277</c:v>
                </c:pt>
                <c:pt idx="22">
                  <c:v>42278</c:v>
                </c:pt>
                <c:pt idx="23">
                  <c:v>42279</c:v>
                </c:pt>
                <c:pt idx="24">
                  <c:v>42282</c:v>
                </c:pt>
                <c:pt idx="25">
                  <c:v>42283</c:v>
                </c:pt>
                <c:pt idx="26">
                  <c:v>42284</c:v>
                </c:pt>
                <c:pt idx="27">
                  <c:v>42285</c:v>
                </c:pt>
                <c:pt idx="28">
                  <c:v>42286</c:v>
                </c:pt>
                <c:pt idx="29">
                  <c:v>42289</c:v>
                </c:pt>
                <c:pt idx="30">
                  <c:v>42290</c:v>
                </c:pt>
                <c:pt idx="31">
                  <c:v>42291</c:v>
                </c:pt>
                <c:pt idx="32">
                  <c:v>42292</c:v>
                </c:pt>
                <c:pt idx="33">
                  <c:v>42293</c:v>
                </c:pt>
                <c:pt idx="34">
                  <c:v>42296</c:v>
                </c:pt>
                <c:pt idx="35">
                  <c:v>42297</c:v>
                </c:pt>
                <c:pt idx="36">
                  <c:v>42298</c:v>
                </c:pt>
                <c:pt idx="37">
                  <c:v>42299</c:v>
                </c:pt>
                <c:pt idx="38">
                  <c:v>42303</c:v>
                </c:pt>
                <c:pt idx="39">
                  <c:v>42304</c:v>
                </c:pt>
                <c:pt idx="40">
                  <c:v>42305</c:v>
                </c:pt>
                <c:pt idx="41">
                  <c:v>42306</c:v>
                </c:pt>
                <c:pt idx="42">
                  <c:v>42307</c:v>
                </c:pt>
                <c:pt idx="43">
                  <c:v>42310</c:v>
                </c:pt>
                <c:pt idx="44">
                  <c:v>42311</c:v>
                </c:pt>
                <c:pt idx="45">
                  <c:v>42312</c:v>
                </c:pt>
                <c:pt idx="46">
                  <c:v>42313</c:v>
                </c:pt>
                <c:pt idx="47">
                  <c:v>42314</c:v>
                </c:pt>
                <c:pt idx="48">
                  <c:v>42317</c:v>
                </c:pt>
                <c:pt idx="49">
                  <c:v>42318</c:v>
                </c:pt>
                <c:pt idx="50">
                  <c:v>42319</c:v>
                </c:pt>
                <c:pt idx="51">
                  <c:v>42320</c:v>
                </c:pt>
                <c:pt idx="52">
                  <c:v>42321</c:v>
                </c:pt>
                <c:pt idx="53">
                  <c:v>42324</c:v>
                </c:pt>
                <c:pt idx="54">
                  <c:v>42325</c:v>
                </c:pt>
                <c:pt idx="55">
                  <c:v>42326</c:v>
                </c:pt>
                <c:pt idx="56">
                  <c:v>42327</c:v>
                </c:pt>
                <c:pt idx="57">
                  <c:v>42328</c:v>
                </c:pt>
                <c:pt idx="58">
                  <c:v>42331</c:v>
                </c:pt>
                <c:pt idx="59">
                  <c:v>42332</c:v>
                </c:pt>
                <c:pt idx="60">
                  <c:v>42333</c:v>
                </c:pt>
                <c:pt idx="61">
                  <c:v>42334</c:v>
                </c:pt>
                <c:pt idx="62">
                  <c:v>42335</c:v>
                </c:pt>
                <c:pt idx="63">
                  <c:v>42338</c:v>
                </c:pt>
                <c:pt idx="64">
                  <c:v>42339</c:v>
                </c:pt>
                <c:pt idx="65">
                  <c:v>42340</c:v>
                </c:pt>
                <c:pt idx="66">
                  <c:v>42341</c:v>
                </c:pt>
                <c:pt idx="67">
                  <c:v>42342</c:v>
                </c:pt>
                <c:pt idx="68">
                  <c:v>42345</c:v>
                </c:pt>
                <c:pt idx="69">
                  <c:v>42346</c:v>
                </c:pt>
                <c:pt idx="70">
                  <c:v>42347</c:v>
                </c:pt>
                <c:pt idx="71">
                  <c:v>42348</c:v>
                </c:pt>
                <c:pt idx="72">
                  <c:v>42349</c:v>
                </c:pt>
                <c:pt idx="73">
                  <c:v>42350</c:v>
                </c:pt>
                <c:pt idx="74">
                  <c:v>42352</c:v>
                </c:pt>
                <c:pt idx="75">
                  <c:v>42353</c:v>
                </c:pt>
                <c:pt idx="76">
                  <c:v>42354</c:v>
                </c:pt>
                <c:pt idx="77">
                  <c:v>42355</c:v>
                </c:pt>
                <c:pt idx="78">
                  <c:v>42356</c:v>
                </c:pt>
                <c:pt idx="79">
                  <c:v>42359</c:v>
                </c:pt>
                <c:pt idx="80">
                  <c:v>42360</c:v>
                </c:pt>
                <c:pt idx="81">
                  <c:v>42361</c:v>
                </c:pt>
                <c:pt idx="82">
                  <c:v>42366</c:v>
                </c:pt>
                <c:pt idx="83">
                  <c:v>42367</c:v>
                </c:pt>
                <c:pt idx="84">
                  <c:v>42368</c:v>
                </c:pt>
                <c:pt idx="85">
                  <c:v>42369</c:v>
                </c:pt>
                <c:pt idx="86">
                  <c:v>42373</c:v>
                </c:pt>
                <c:pt idx="87">
                  <c:v>42374</c:v>
                </c:pt>
                <c:pt idx="88">
                  <c:v>42375</c:v>
                </c:pt>
                <c:pt idx="89">
                  <c:v>42376</c:v>
                </c:pt>
                <c:pt idx="90">
                  <c:v>42377</c:v>
                </c:pt>
                <c:pt idx="91">
                  <c:v>42380</c:v>
                </c:pt>
                <c:pt idx="92">
                  <c:v>42381</c:v>
                </c:pt>
                <c:pt idx="93">
                  <c:v>42382</c:v>
                </c:pt>
                <c:pt idx="94">
                  <c:v>42383</c:v>
                </c:pt>
                <c:pt idx="95">
                  <c:v>42384</c:v>
                </c:pt>
                <c:pt idx="96">
                  <c:v>42387</c:v>
                </c:pt>
                <c:pt idx="97">
                  <c:v>42388</c:v>
                </c:pt>
                <c:pt idx="98">
                  <c:v>42389</c:v>
                </c:pt>
                <c:pt idx="99">
                  <c:v>42390</c:v>
                </c:pt>
                <c:pt idx="100">
                  <c:v>42391</c:v>
                </c:pt>
                <c:pt idx="101">
                  <c:v>42394</c:v>
                </c:pt>
                <c:pt idx="102">
                  <c:v>42395</c:v>
                </c:pt>
                <c:pt idx="103">
                  <c:v>42396</c:v>
                </c:pt>
                <c:pt idx="104">
                  <c:v>42397</c:v>
                </c:pt>
                <c:pt idx="105">
                  <c:v>42398</c:v>
                </c:pt>
                <c:pt idx="106">
                  <c:v>42401</c:v>
                </c:pt>
                <c:pt idx="107">
                  <c:v>42402</c:v>
                </c:pt>
                <c:pt idx="108">
                  <c:v>42403</c:v>
                </c:pt>
                <c:pt idx="109">
                  <c:v>42404</c:v>
                </c:pt>
                <c:pt idx="110">
                  <c:v>42405</c:v>
                </c:pt>
                <c:pt idx="111">
                  <c:v>42408</c:v>
                </c:pt>
                <c:pt idx="112">
                  <c:v>42409</c:v>
                </c:pt>
                <c:pt idx="113">
                  <c:v>42410</c:v>
                </c:pt>
                <c:pt idx="114">
                  <c:v>42411</c:v>
                </c:pt>
                <c:pt idx="115">
                  <c:v>42412</c:v>
                </c:pt>
                <c:pt idx="116">
                  <c:v>42415</c:v>
                </c:pt>
                <c:pt idx="117">
                  <c:v>42416</c:v>
                </c:pt>
                <c:pt idx="118">
                  <c:v>42417</c:v>
                </c:pt>
                <c:pt idx="119">
                  <c:v>42418</c:v>
                </c:pt>
                <c:pt idx="120">
                  <c:v>42419</c:v>
                </c:pt>
                <c:pt idx="121">
                  <c:v>42422</c:v>
                </c:pt>
                <c:pt idx="122">
                  <c:v>42423</c:v>
                </c:pt>
                <c:pt idx="123">
                  <c:v>42424</c:v>
                </c:pt>
                <c:pt idx="124">
                  <c:v>42425</c:v>
                </c:pt>
                <c:pt idx="125">
                  <c:v>42426</c:v>
                </c:pt>
                <c:pt idx="126">
                  <c:v>42429</c:v>
                </c:pt>
                <c:pt idx="127">
                  <c:v>42430</c:v>
                </c:pt>
                <c:pt idx="128">
                  <c:v>42431</c:v>
                </c:pt>
                <c:pt idx="129">
                  <c:v>42432</c:v>
                </c:pt>
                <c:pt idx="130">
                  <c:v>42433</c:v>
                </c:pt>
                <c:pt idx="131">
                  <c:v>42434</c:v>
                </c:pt>
                <c:pt idx="132">
                  <c:v>42436</c:v>
                </c:pt>
                <c:pt idx="133">
                  <c:v>42437</c:v>
                </c:pt>
                <c:pt idx="134">
                  <c:v>42438</c:v>
                </c:pt>
                <c:pt idx="135">
                  <c:v>42439</c:v>
                </c:pt>
                <c:pt idx="136">
                  <c:v>42440</c:v>
                </c:pt>
                <c:pt idx="137">
                  <c:v>42445</c:v>
                </c:pt>
                <c:pt idx="138">
                  <c:v>42446</c:v>
                </c:pt>
                <c:pt idx="139">
                  <c:v>42447</c:v>
                </c:pt>
                <c:pt idx="140">
                  <c:v>42450</c:v>
                </c:pt>
                <c:pt idx="141">
                  <c:v>42451</c:v>
                </c:pt>
                <c:pt idx="142">
                  <c:v>42452</c:v>
                </c:pt>
                <c:pt idx="143">
                  <c:v>42453</c:v>
                </c:pt>
                <c:pt idx="144">
                  <c:v>42454</c:v>
                </c:pt>
                <c:pt idx="145">
                  <c:v>42458</c:v>
                </c:pt>
                <c:pt idx="146">
                  <c:v>42459</c:v>
                </c:pt>
                <c:pt idx="147">
                  <c:v>42460</c:v>
                </c:pt>
                <c:pt idx="148">
                  <c:v>42461</c:v>
                </c:pt>
                <c:pt idx="149">
                  <c:v>42464</c:v>
                </c:pt>
                <c:pt idx="150">
                  <c:v>42465</c:v>
                </c:pt>
                <c:pt idx="151">
                  <c:v>42466</c:v>
                </c:pt>
                <c:pt idx="152">
                  <c:v>42467</c:v>
                </c:pt>
                <c:pt idx="153">
                  <c:v>42468</c:v>
                </c:pt>
                <c:pt idx="154">
                  <c:v>42471</c:v>
                </c:pt>
                <c:pt idx="155">
                  <c:v>42472</c:v>
                </c:pt>
                <c:pt idx="156">
                  <c:v>42473</c:v>
                </c:pt>
                <c:pt idx="157">
                  <c:v>42474</c:v>
                </c:pt>
                <c:pt idx="158">
                  <c:v>42475</c:v>
                </c:pt>
                <c:pt idx="159">
                  <c:v>42478</c:v>
                </c:pt>
                <c:pt idx="160">
                  <c:v>42479</c:v>
                </c:pt>
                <c:pt idx="161">
                  <c:v>42480</c:v>
                </c:pt>
                <c:pt idx="162">
                  <c:v>42481</c:v>
                </c:pt>
                <c:pt idx="163">
                  <c:v>42482</c:v>
                </c:pt>
                <c:pt idx="164">
                  <c:v>42485</c:v>
                </c:pt>
                <c:pt idx="165">
                  <c:v>42486</c:v>
                </c:pt>
                <c:pt idx="166">
                  <c:v>42487</c:v>
                </c:pt>
                <c:pt idx="167">
                  <c:v>42488</c:v>
                </c:pt>
                <c:pt idx="168">
                  <c:v>42489</c:v>
                </c:pt>
                <c:pt idx="169">
                  <c:v>42492</c:v>
                </c:pt>
                <c:pt idx="170">
                  <c:v>42493</c:v>
                </c:pt>
                <c:pt idx="171">
                  <c:v>42494</c:v>
                </c:pt>
                <c:pt idx="172">
                  <c:v>42495</c:v>
                </c:pt>
                <c:pt idx="173">
                  <c:v>42496</c:v>
                </c:pt>
                <c:pt idx="174">
                  <c:v>42499</c:v>
                </c:pt>
                <c:pt idx="175">
                  <c:v>42500</c:v>
                </c:pt>
                <c:pt idx="176">
                  <c:v>42501</c:v>
                </c:pt>
                <c:pt idx="177">
                  <c:v>42502</c:v>
                </c:pt>
                <c:pt idx="178">
                  <c:v>42503</c:v>
                </c:pt>
                <c:pt idx="179">
                  <c:v>42507</c:v>
                </c:pt>
                <c:pt idx="180">
                  <c:v>42508</c:v>
                </c:pt>
                <c:pt idx="181">
                  <c:v>42509</c:v>
                </c:pt>
                <c:pt idx="182">
                  <c:v>42510</c:v>
                </c:pt>
                <c:pt idx="183">
                  <c:v>42513</c:v>
                </c:pt>
                <c:pt idx="184">
                  <c:v>42514</c:v>
                </c:pt>
                <c:pt idx="185">
                  <c:v>42515</c:v>
                </c:pt>
                <c:pt idx="186">
                  <c:v>42516</c:v>
                </c:pt>
                <c:pt idx="187">
                  <c:v>42517</c:v>
                </c:pt>
                <c:pt idx="188">
                  <c:v>42520</c:v>
                </c:pt>
                <c:pt idx="189">
                  <c:v>42521</c:v>
                </c:pt>
                <c:pt idx="190">
                  <c:v>42522</c:v>
                </c:pt>
                <c:pt idx="191">
                  <c:v>42523</c:v>
                </c:pt>
                <c:pt idx="192">
                  <c:v>42524</c:v>
                </c:pt>
                <c:pt idx="193">
                  <c:v>42527</c:v>
                </c:pt>
                <c:pt idx="194">
                  <c:v>42528</c:v>
                </c:pt>
                <c:pt idx="195">
                  <c:v>42529</c:v>
                </c:pt>
                <c:pt idx="196">
                  <c:v>42530</c:v>
                </c:pt>
                <c:pt idx="197">
                  <c:v>42531</c:v>
                </c:pt>
                <c:pt idx="198">
                  <c:v>42534</c:v>
                </c:pt>
                <c:pt idx="199">
                  <c:v>42535</c:v>
                </c:pt>
                <c:pt idx="200">
                  <c:v>42536</c:v>
                </c:pt>
                <c:pt idx="201">
                  <c:v>42537</c:v>
                </c:pt>
                <c:pt idx="202">
                  <c:v>42538</c:v>
                </c:pt>
                <c:pt idx="203">
                  <c:v>42541</c:v>
                </c:pt>
                <c:pt idx="204">
                  <c:v>42542</c:v>
                </c:pt>
                <c:pt idx="205">
                  <c:v>42543</c:v>
                </c:pt>
                <c:pt idx="206">
                  <c:v>42544</c:v>
                </c:pt>
                <c:pt idx="207">
                  <c:v>42545</c:v>
                </c:pt>
                <c:pt idx="208">
                  <c:v>42548</c:v>
                </c:pt>
                <c:pt idx="209">
                  <c:v>42549</c:v>
                </c:pt>
                <c:pt idx="210">
                  <c:v>42550</c:v>
                </c:pt>
                <c:pt idx="211">
                  <c:v>42551</c:v>
                </c:pt>
                <c:pt idx="212">
                  <c:v>42552</c:v>
                </c:pt>
                <c:pt idx="213">
                  <c:v>42555</c:v>
                </c:pt>
                <c:pt idx="214">
                  <c:v>42556</c:v>
                </c:pt>
                <c:pt idx="215">
                  <c:v>42557</c:v>
                </c:pt>
                <c:pt idx="216">
                  <c:v>42558</c:v>
                </c:pt>
                <c:pt idx="217">
                  <c:v>42559</c:v>
                </c:pt>
                <c:pt idx="218">
                  <c:v>42562</c:v>
                </c:pt>
                <c:pt idx="219">
                  <c:v>42563</c:v>
                </c:pt>
                <c:pt idx="220">
                  <c:v>42564</c:v>
                </c:pt>
                <c:pt idx="221">
                  <c:v>42565</c:v>
                </c:pt>
                <c:pt idx="222">
                  <c:v>42566</c:v>
                </c:pt>
                <c:pt idx="223">
                  <c:v>42569</c:v>
                </c:pt>
                <c:pt idx="224">
                  <c:v>42570</c:v>
                </c:pt>
                <c:pt idx="225">
                  <c:v>42571</c:v>
                </c:pt>
                <c:pt idx="226">
                  <c:v>42572</c:v>
                </c:pt>
                <c:pt idx="227">
                  <c:v>42573</c:v>
                </c:pt>
                <c:pt idx="228">
                  <c:v>42576</c:v>
                </c:pt>
                <c:pt idx="229">
                  <c:v>42577</c:v>
                </c:pt>
                <c:pt idx="230">
                  <c:v>42578</c:v>
                </c:pt>
                <c:pt idx="231">
                  <c:v>42579</c:v>
                </c:pt>
                <c:pt idx="232">
                  <c:v>42580</c:v>
                </c:pt>
                <c:pt idx="233">
                  <c:v>42583</c:v>
                </c:pt>
                <c:pt idx="234">
                  <c:v>42584</c:v>
                </c:pt>
                <c:pt idx="235">
                  <c:v>42585</c:v>
                </c:pt>
                <c:pt idx="236">
                  <c:v>42586</c:v>
                </c:pt>
                <c:pt idx="237">
                  <c:v>42587</c:v>
                </c:pt>
                <c:pt idx="238">
                  <c:v>42590</c:v>
                </c:pt>
                <c:pt idx="239">
                  <c:v>42591</c:v>
                </c:pt>
                <c:pt idx="240">
                  <c:v>42592</c:v>
                </c:pt>
                <c:pt idx="241">
                  <c:v>42593</c:v>
                </c:pt>
                <c:pt idx="242">
                  <c:v>42594</c:v>
                </c:pt>
                <c:pt idx="243">
                  <c:v>42597</c:v>
                </c:pt>
                <c:pt idx="244">
                  <c:v>42598</c:v>
                </c:pt>
                <c:pt idx="245">
                  <c:v>42599</c:v>
                </c:pt>
                <c:pt idx="246">
                  <c:v>42600</c:v>
                </c:pt>
                <c:pt idx="247">
                  <c:v>42601</c:v>
                </c:pt>
                <c:pt idx="248">
                  <c:v>42604</c:v>
                </c:pt>
                <c:pt idx="249">
                  <c:v>42605</c:v>
                </c:pt>
                <c:pt idx="250">
                  <c:v>42606</c:v>
                </c:pt>
                <c:pt idx="251">
                  <c:v>42607</c:v>
                </c:pt>
                <c:pt idx="252">
                  <c:v>42608</c:v>
                </c:pt>
                <c:pt idx="253">
                  <c:v>42611</c:v>
                </c:pt>
                <c:pt idx="254">
                  <c:v>42612</c:v>
                </c:pt>
                <c:pt idx="255">
                  <c:v>42613</c:v>
                </c:pt>
                <c:pt idx="256">
                  <c:v>42614</c:v>
                </c:pt>
                <c:pt idx="257">
                  <c:v>42615</c:v>
                </c:pt>
                <c:pt idx="258">
                  <c:v>42618</c:v>
                </c:pt>
                <c:pt idx="259">
                  <c:v>42619</c:v>
                </c:pt>
                <c:pt idx="260">
                  <c:v>42620</c:v>
                </c:pt>
                <c:pt idx="261">
                  <c:v>42621</c:v>
                </c:pt>
                <c:pt idx="262">
                  <c:v>42622</c:v>
                </c:pt>
                <c:pt idx="263">
                  <c:v>42625</c:v>
                </c:pt>
                <c:pt idx="264">
                  <c:v>42626</c:v>
                </c:pt>
                <c:pt idx="265">
                  <c:v>42627</c:v>
                </c:pt>
                <c:pt idx="266">
                  <c:v>42628</c:v>
                </c:pt>
                <c:pt idx="267">
                  <c:v>42629</c:v>
                </c:pt>
                <c:pt idx="268">
                  <c:v>42632</c:v>
                </c:pt>
                <c:pt idx="269">
                  <c:v>42633</c:v>
                </c:pt>
                <c:pt idx="270">
                  <c:v>42634</c:v>
                </c:pt>
                <c:pt idx="271">
                  <c:v>42635</c:v>
                </c:pt>
                <c:pt idx="272">
                  <c:v>42636</c:v>
                </c:pt>
                <c:pt idx="273">
                  <c:v>42639</c:v>
                </c:pt>
                <c:pt idx="274">
                  <c:v>42640</c:v>
                </c:pt>
                <c:pt idx="275">
                  <c:v>42641</c:v>
                </c:pt>
                <c:pt idx="276">
                  <c:v>42642</c:v>
                </c:pt>
                <c:pt idx="277">
                  <c:v>42643</c:v>
                </c:pt>
                <c:pt idx="278">
                  <c:v>42646</c:v>
                </c:pt>
                <c:pt idx="279">
                  <c:v>42647</c:v>
                </c:pt>
                <c:pt idx="280">
                  <c:v>42648</c:v>
                </c:pt>
                <c:pt idx="281">
                  <c:v>42649</c:v>
                </c:pt>
                <c:pt idx="282">
                  <c:v>42650</c:v>
                </c:pt>
                <c:pt idx="283">
                  <c:v>42653</c:v>
                </c:pt>
                <c:pt idx="284">
                  <c:v>42654</c:v>
                </c:pt>
                <c:pt idx="285">
                  <c:v>42655</c:v>
                </c:pt>
                <c:pt idx="286">
                  <c:v>42656</c:v>
                </c:pt>
                <c:pt idx="287">
                  <c:v>42657</c:v>
                </c:pt>
                <c:pt idx="288">
                  <c:v>42658</c:v>
                </c:pt>
                <c:pt idx="289">
                  <c:v>42660</c:v>
                </c:pt>
                <c:pt idx="290">
                  <c:v>42661</c:v>
                </c:pt>
                <c:pt idx="291">
                  <c:v>42662</c:v>
                </c:pt>
                <c:pt idx="292">
                  <c:v>42663</c:v>
                </c:pt>
                <c:pt idx="293">
                  <c:v>42664</c:v>
                </c:pt>
                <c:pt idx="294">
                  <c:v>42667</c:v>
                </c:pt>
                <c:pt idx="295">
                  <c:v>42668</c:v>
                </c:pt>
                <c:pt idx="296">
                  <c:v>42669</c:v>
                </c:pt>
                <c:pt idx="297">
                  <c:v>42670</c:v>
                </c:pt>
                <c:pt idx="298">
                  <c:v>42671</c:v>
                </c:pt>
                <c:pt idx="299">
                  <c:v>42676</c:v>
                </c:pt>
                <c:pt idx="300">
                  <c:v>42677</c:v>
                </c:pt>
                <c:pt idx="301">
                  <c:v>42678</c:v>
                </c:pt>
                <c:pt idx="302">
                  <c:v>42681</c:v>
                </c:pt>
                <c:pt idx="303">
                  <c:v>42682</c:v>
                </c:pt>
                <c:pt idx="304">
                  <c:v>42683</c:v>
                </c:pt>
                <c:pt idx="305">
                  <c:v>42684</c:v>
                </c:pt>
                <c:pt idx="306">
                  <c:v>42685</c:v>
                </c:pt>
                <c:pt idx="307">
                  <c:v>42688</c:v>
                </c:pt>
                <c:pt idx="308">
                  <c:v>42689</c:v>
                </c:pt>
                <c:pt idx="309">
                  <c:v>42690</c:v>
                </c:pt>
                <c:pt idx="310">
                  <c:v>42691</c:v>
                </c:pt>
                <c:pt idx="311">
                  <c:v>42692</c:v>
                </c:pt>
                <c:pt idx="312">
                  <c:v>42695</c:v>
                </c:pt>
                <c:pt idx="313">
                  <c:v>42696</c:v>
                </c:pt>
                <c:pt idx="314">
                  <c:v>42697</c:v>
                </c:pt>
                <c:pt idx="315">
                  <c:v>42698</c:v>
                </c:pt>
                <c:pt idx="316">
                  <c:v>42699</c:v>
                </c:pt>
                <c:pt idx="317">
                  <c:v>42702</c:v>
                </c:pt>
                <c:pt idx="318">
                  <c:v>42703</c:v>
                </c:pt>
                <c:pt idx="319">
                  <c:v>42704</c:v>
                </c:pt>
                <c:pt idx="320">
                  <c:v>42705</c:v>
                </c:pt>
                <c:pt idx="321">
                  <c:v>42706</c:v>
                </c:pt>
                <c:pt idx="322">
                  <c:v>42709</c:v>
                </c:pt>
                <c:pt idx="323">
                  <c:v>42710</c:v>
                </c:pt>
                <c:pt idx="324">
                  <c:v>42711</c:v>
                </c:pt>
                <c:pt idx="325">
                  <c:v>42712</c:v>
                </c:pt>
                <c:pt idx="326">
                  <c:v>42713</c:v>
                </c:pt>
                <c:pt idx="327">
                  <c:v>42716</c:v>
                </c:pt>
                <c:pt idx="328">
                  <c:v>42717</c:v>
                </c:pt>
                <c:pt idx="329">
                  <c:v>42718</c:v>
                </c:pt>
                <c:pt idx="330">
                  <c:v>42719</c:v>
                </c:pt>
                <c:pt idx="331">
                  <c:v>42720</c:v>
                </c:pt>
                <c:pt idx="332">
                  <c:v>42723</c:v>
                </c:pt>
                <c:pt idx="333">
                  <c:v>42724</c:v>
                </c:pt>
                <c:pt idx="334">
                  <c:v>42725</c:v>
                </c:pt>
                <c:pt idx="335">
                  <c:v>42726</c:v>
                </c:pt>
                <c:pt idx="336">
                  <c:v>42727</c:v>
                </c:pt>
                <c:pt idx="337">
                  <c:v>42731</c:v>
                </c:pt>
                <c:pt idx="338">
                  <c:v>42732</c:v>
                </c:pt>
                <c:pt idx="339">
                  <c:v>42733</c:v>
                </c:pt>
                <c:pt idx="340">
                  <c:v>42734</c:v>
                </c:pt>
                <c:pt idx="341">
                  <c:v>42737</c:v>
                </c:pt>
                <c:pt idx="342">
                  <c:v>42738</c:v>
                </c:pt>
                <c:pt idx="343">
                  <c:v>42739</c:v>
                </c:pt>
                <c:pt idx="344">
                  <c:v>42740</c:v>
                </c:pt>
                <c:pt idx="345">
                  <c:v>42741</c:v>
                </c:pt>
                <c:pt idx="346">
                  <c:v>42744</c:v>
                </c:pt>
                <c:pt idx="347">
                  <c:v>42745</c:v>
                </c:pt>
                <c:pt idx="348">
                  <c:v>42746</c:v>
                </c:pt>
                <c:pt idx="349">
                  <c:v>42747</c:v>
                </c:pt>
                <c:pt idx="350">
                  <c:v>42748</c:v>
                </c:pt>
                <c:pt idx="351">
                  <c:v>42751</c:v>
                </c:pt>
                <c:pt idx="352">
                  <c:v>42752</c:v>
                </c:pt>
                <c:pt idx="353">
                  <c:v>42753</c:v>
                </c:pt>
                <c:pt idx="354">
                  <c:v>42754</c:v>
                </c:pt>
                <c:pt idx="355">
                  <c:v>42755</c:v>
                </c:pt>
                <c:pt idx="356">
                  <c:v>42758</c:v>
                </c:pt>
                <c:pt idx="357">
                  <c:v>42759</c:v>
                </c:pt>
                <c:pt idx="358">
                  <c:v>42760</c:v>
                </c:pt>
                <c:pt idx="359">
                  <c:v>42761</c:v>
                </c:pt>
                <c:pt idx="360">
                  <c:v>42762</c:v>
                </c:pt>
                <c:pt idx="361">
                  <c:v>42765</c:v>
                </c:pt>
                <c:pt idx="362">
                  <c:v>42766</c:v>
                </c:pt>
                <c:pt idx="363">
                  <c:v>42767</c:v>
                </c:pt>
                <c:pt idx="364">
                  <c:v>42768</c:v>
                </c:pt>
                <c:pt idx="365">
                  <c:v>42769</c:v>
                </c:pt>
                <c:pt idx="366">
                  <c:v>42772</c:v>
                </c:pt>
                <c:pt idx="367">
                  <c:v>42773</c:v>
                </c:pt>
                <c:pt idx="368">
                  <c:v>42774</c:v>
                </c:pt>
                <c:pt idx="369">
                  <c:v>42775</c:v>
                </c:pt>
                <c:pt idx="370">
                  <c:v>42776</c:v>
                </c:pt>
                <c:pt idx="371">
                  <c:v>42779</c:v>
                </c:pt>
                <c:pt idx="372">
                  <c:v>42780</c:v>
                </c:pt>
                <c:pt idx="373">
                  <c:v>42781</c:v>
                </c:pt>
                <c:pt idx="374">
                  <c:v>42782</c:v>
                </c:pt>
                <c:pt idx="375">
                  <c:v>42783</c:v>
                </c:pt>
                <c:pt idx="376">
                  <c:v>42786</c:v>
                </c:pt>
                <c:pt idx="377">
                  <c:v>42787</c:v>
                </c:pt>
                <c:pt idx="378">
                  <c:v>42788</c:v>
                </c:pt>
                <c:pt idx="379">
                  <c:v>42789</c:v>
                </c:pt>
                <c:pt idx="380">
                  <c:v>42790</c:v>
                </c:pt>
                <c:pt idx="381">
                  <c:v>42793</c:v>
                </c:pt>
                <c:pt idx="382">
                  <c:v>42794</c:v>
                </c:pt>
                <c:pt idx="383">
                  <c:v>42795</c:v>
                </c:pt>
                <c:pt idx="384">
                  <c:v>42796</c:v>
                </c:pt>
                <c:pt idx="385">
                  <c:v>42797</c:v>
                </c:pt>
                <c:pt idx="386">
                  <c:v>42800</c:v>
                </c:pt>
                <c:pt idx="387">
                  <c:v>42801</c:v>
                </c:pt>
                <c:pt idx="388">
                  <c:v>42802</c:v>
                </c:pt>
                <c:pt idx="389">
                  <c:v>42803</c:v>
                </c:pt>
                <c:pt idx="390">
                  <c:v>42804</c:v>
                </c:pt>
                <c:pt idx="391">
                  <c:v>42807</c:v>
                </c:pt>
                <c:pt idx="392">
                  <c:v>42808</c:v>
                </c:pt>
                <c:pt idx="393">
                  <c:v>42810</c:v>
                </c:pt>
                <c:pt idx="394">
                  <c:v>42811</c:v>
                </c:pt>
                <c:pt idx="395">
                  <c:v>42814</c:v>
                </c:pt>
                <c:pt idx="396">
                  <c:v>42815</c:v>
                </c:pt>
                <c:pt idx="397">
                  <c:v>42816</c:v>
                </c:pt>
                <c:pt idx="398">
                  <c:v>42817</c:v>
                </c:pt>
                <c:pt idx="399">
                  <c:v>42818</c:v>
                </c:pt>
                <c:pt idx="400">
                  <c:v>42821</c:v>
                </c:pt>
                <c:pt idx="401">
                  <c:v>42822</c:v>
                </c:pt>
                <c:pt idx="402">
                  <c:v>42823</c:v>
                </c:pt>
                <c:pt idx="403">
                  <c:v>42824</c:v>
                </c:pt>
                <c:pt idx="404">
                  <c:v>42825</c:v>
                </c:pt>
                <c:pt idx="405">
                  <c:v>42828</c:v>
                </c:pt>
                <c:pt idx="406">
                  <c:v>42829</c:v>
                </c:pt>
                <c:pt idx="407">
                  <c:v>42830</c:v>
                </c:pt>
                <c:pt idx="408">
                  <c:v>42831</c:v>
                </c:pt>
                <c:pt idx="409">
                  <c:v>42832</c:v>
                </c:pt>
                <c:pt idx="410">
                  <c:v>42835</c:v>
                </c:pt>
                <c:pt idx="411">
                  <c:v>42836</c:v>
                </c:pt>
                <c:pt idx="412">
                  <c:v>42837</c:v>
                </c:pt>
                <c:pt idx="413">
                  <c:v>42838</c:v>
                </c:pt>
                <c:pt idx="414">
                  <c:v>42843</c:v>
                </c:pt>
                <c:pt idx="415">
                  <c:v>42844</c:v>
                </c:pt>
                <c:pt idx="416">
                  <c:v>42845</c:v>
                </c:pt>
                <c:pt idx="417">
                  <c:v>42846</c:v>
                </c:pt>
                <c:pt idx="418">
                  <c:v>42849</c:v>
                </c:pt>
                <c:pt idx="419">
                  <c:v>42850</c:v>
                </c:pt>
                <c:pt idx="420">
                  <c:v>42851</c:v>
                </c:pt>
                <c:pt idx="421">
                  <c:v>42852</c:v>
                </c:pt>
                <c:pt idx="422">
                  <c:v>42853</c:v>
                </c:pt>
                <c:pt idx="423">
                  <c:v>42854</c:v>
                </c:pt>
                <c:pt idx="424">
                  <c:v>42855</c:v>
                </c:pt>
                <c:pt idx="425">
                  <c:v>42856</c:v>
                </c:pt>
                <c:pt idx="426">
                  <c:v>42857</c:v>
                </c:pt>
                <c:pt idx="427">
                  <c:v>42858</c:v>
                </c:pt>
                <c:pt idx="428">
                  <c:v>42859</c:v>
                </c:pt>
                <c:pt idx="429">
                  <c:v>42860</c:v>
                </c:pt>
                <c:pt idx="430">
                  <c:v>42861</c:v>
                </c:pt>
                <c:pt idx="431">
                  <c:v>42862</c:v>
                </c:pt>
                <c:pt idx="432">
                  <c:v>42863</c:v>
                </c:pt>
                <c:pt idx="433">
                  <c:v>42864</c:v>
                </c:pt>
                <c:pt idx="434">
                  <c:v>42865</c:v>
                </c:pt>
                <c:pt idx="435">
                  <c:v>42866</c:v>
                </c:pt>
                <c:pt idx="436">
                  <c:v>42867</c:v>
                </c:pt>
                <c:pt idx="437">
                  <c:v>42868</c:v>
                </c:pt>
                <c:pt idx="438">
                  <c:v>42869</c:v>
                </c:pt>
                <c:pt idx="439">
                  <c:v>42870</c:v>
                </c:pt>
                <c:pt idx="440">
                  <c:v>42871</c:v>
                </c:pt>
                <c:pt idx="441">
                  <c:v>42872</c:v>
                </c:pt>
                <c:pt idx="442">
                  <c:v>42873</c:v>
                </c:pt>
                <c:pt idx="443">
                  <c:v>42874</c:v>
                </c:pt>
                <c:pt idx="444">
                  <c:v>42875</c:v>
                </c:pt>
                <c:pt idx="445">
                  <c:v>42876</c:v>
                </c:pt>
                <c:pt idx="446">
                  <c:v>42877</c:v>
                </c:pt>
                <c:pt idx="447">
                  <c:v>42878</c:v>
                </c:pt>
                <c:pt idx="448">
                  <c:v>42879</c:v>
                </c:pt>
                <c:pt idx="449">
                  <c:v>42880</c:v>
                </c:pt>
                <c:pt idx="450">
                  <c:v>42881</c:v>
                </c:pt>
                <c:pt idx="451">
                  <c:v>42882</c:v>
                </c:pt>
                <c:pt idx="452">
                  <c:v>42883</c:v>
                </c:pt>
                <c:pt idx="453">
                  <c:v>42884</c:v>
                </c:pt>
                <c:pt idx="454">
                  <c:v>42885</c:v>
                </c:pt>
                <c:pt idx="455">
                  <c:v>42886</c:v>
                </c:pt>
                <c:pt idx="456">
                  <c:v>42887</c:v>
                </c:pt>
                <c:pt idx="457">
                  <c:v>42888</c:v>
                </c:pt>
                <c:pt idx="458">
                  <c:v>42889</c:v>
                </c:pt>
                <c:pt idx="459">
                  <c:v>42890</c:v>
                </c:pt>
                <c:pt idx="460">
                  <c:v>42891</c:v>
                </c:pt>
                <c:pt idx="461">
                  <c:v>42892</c:v>
                </c:pt>
                <c:pt idx="462">
                  <c:v>42893</c:v>
                </c:pt>
                <c:pt idx="463">
                  <c:v>42894</c:v>
                </c:pt>
                <c:pt idx="464">
                  <c:v>42895</c:v>
                </c:pt>
                <c:pt idx="465">
                  <c:v>42896</c:v>
                </c:pt>
                <c:pt idx="466">
                  <c:v>42897</c:v>
                </c:pt>
                <c:pt idx="467">
                  <c:v>42898</c:v>
                </c:pt>
                <c:pt idx="468">
                  <c:v>42899</c:v>
                </c:pt>
                <c:pt idx="469">
                  <c:v>42900</c:v>
                </c:pt>
                <c:pt idx="470">
                  <c:v>42901</c:v>
                </c:pt>
                <c:pt idx="471">
                  <c:v>42902</c:v>
                </c:pt>
                <c:pt idx="472">
                  <c:v>42903</c:v>
                </c:pt>
                <c:pt idx="473">
                  <c:v>42904</c:v>
                </c:pt>
                <c:pt idx="474">
                  <c:v>42905</c:v>
                </c:pt>
                <c:pt idx="475">
                  <c:v>42906</c:v>
                </c:pt>
                <c:pt idx="476">
                  <c:v>42907</c:v>
                </c:pt>
                <c:pt idx="477">
                  <c:v>42908</c:v>
                </c:pt>
                <c:pt idx="478">
                  <c:v>42909</c:v>
                </c:pt>
                <c:pt idx="479">
                  <c:v>42910</c:v>
                </c:pt>
                <c:pt idx="480">
                  <c:v>42911</c:v>
                </c:pt>
                <c:pt idx="481">
                  <c:v>42912</c:v>
                </c:pt>
                <c:pt idx="482">
                  <c:v>42913</c:v>
                </c:pt>
                <c:pt idx="483">
                  <c:v>42914</c:v>
                </c:pt>
                <c:pt idx="484">
                  <c:v>42915</c:v>
                </c:pt>
                <c:pt idx="485">
                  <c:v>42916</c:v>
                </c:pt>
                <c:pt idx="486">
                  <c:v>42917</c:v>
                </c:pt>
                <c:pt idx="487">
                  <c:v>42918</c:v>
                </c:pt>
                <c:pt idx="488">
                  <c:v>42919</c:v>
                </c:pt>
                <c:pt idx="489">
                  <c:v>42920</c:v>
                </c:pt>
                <c:pt idx="490">
                  <c:v>42921</c:v>
                </c:pt>
                <c:pt idx="491">
                  <c:v>42922</c:v>
                </c:pt>
                <c:pt idx="492">
                  <c:v>42923</c:v>
                </c:pt>
                <c:pt idx="493">
                  <c:v>42924</c:v>
                </c:pt>
                <c:pt idx="494">
                  <c:v>42925</c:v>
                </c:pt>
                <c:pt idx="495">
                  <c:v>42926</c:v>
                </c:pt>
                <c:pt idx="496">
                  <c:v>42927</c:v>
                </c:pt>
                <c:pt idx="497">
                  <c:v>42928</c:v>
                </c:pt>
                <c:pt idx="498">
                  <c:v>42929</c:v>
                </c:pt>
                <c:pt idx="499">
                  <c:v>42930</c:v>
                </c:pt>
                <c:pt idx="500">
                  <c:v>42931</c:v>
                </c:pt>
                <c:pt idx="501">
                  <c:v>42932</c:v>
                </c:pt>
                <c:pt idx="502">
                  <c:v>42933</c:v>
                </c:pt>
                <c:pt idx="503">
                  <c:v>42934</c:v>
                </c:pt>
                <c:pt idx="504">
                  <c:v>42935</c:v>
                </c:pt>
                <c:pt idx="505">
                  <c:v>42936</c:v>
                </c:pt>
                <c:pt idx="506">
                  <c:v>42937</c:v>
                </c:pt>
                <c:pt idx="507">
                  <c:v>42938</c:v>
                </c:pt>
                <c:pt idx="508">
                  <c:v>42939</c:v>
                </c:pt>
                <c:pt idx="509">
                  <c:v>42940</c:v>
                </c:pt>
                <c:pt idx="510">
                  <c:v>42941</c:v>
                </c:pt>
                <c:pt idx="511">
                  <c:v>42942</c:v>
                </c:pt>
                <c:pt idx="512">
                  <c:v>42943</c:v>
                </c:pt>
                <c:pt idx="513">
                  <c:v>42944</c:v>
                </c:pt>
                <c:pt idx="514">
                  <c:v>42945</c:v>
                </c:pt>
                <c:pt idx="515">
                  <c:v>42946</c:v>
                </c:pt>
                <c:pt idx="516">
                  <c:v>42947</c:v>
                </c:pt>
                <c:pt idx="517">
                  <c:v>42948</c:v>
                </c:pt>
                <c:pt idx="518">
                  <c:v>42949</c:v>
                </c:pt>
                <c:pt idx="519">
                  <c:v>42950</c:v>
                </c:pt>
                <c:pt idx="520">
                  <c:v>42951</c:v>
                </c:pt>
                <c:pt idx="521">
                  <c:v>42952</c:v>
                </c:pt>
                <c:pt idx="522">
                  <c:v>42953</c:v>
                </c:pt>
                <c:pt idx="523">
                  <c:v>42954</c:v>
                </c:pt>
                <c:pt idx="524">
                  <c:v>42955</c:v>
                </c:pt>
                <c:pt idx="525">
                  <c:v>42956</c:v>
                </c:pt>
                <c:pt idx="526">
                  <c:v>42957</c:v>
                </c:pt>
                <c:pt idx="527">
                  <c:v>42958</c:v>
                </c:pt>
                <c:pt idx="528">
                  <c:v>42959</c:v>
                </c:pt>
                <c:pt idx="529">
                  <c:v>42960</c:v>
                </c:pt>
                <c:pt idx="530">
                  <c:v>42961</c:v>
                </c:pt>
                <c:pt idx="531">
                  <c:v>42962</c:v>
                </c:pt>
                <c:pt idx="532">
                  <c:v>42963</c:v>
                </c:pt>
                <c:pt idx="533">
                  <c:v>42964</c:v>
                </c:pt>
                <c:pt idx="534">
                  <c:v>42965</c:v>
                </c:pt>
                <c:pt idx="535">
                  <c:v>42966</c:v>
                </c:pt>
                <c:pt idx="536">
                  <c:v>42967</c:v>
                </c:pt>
                <c:pt idx="537">
                  <c:v>42968</c:v>
                </c:pt>
                <c:pt idx="538">
                  <c:v>42969</c:v>
                </c:pt>
                <c:pt idx="539">
                  <c:v>42970</c:v>
                </c:pt>
                <c:pt idx="540">
                  <c:v>42971</c:v>
                </c:pt>
                <c:pt idx="541">
                  <c:v>42972</c:v>
                </c:pt>
                <c:pt idx="542">
                  <c:v>42973</c:v>
                </c:pt>
                <c:pt idx="543">
                  <c:v>42974</c:v>
                </c:pt>
                <c:pt idx="544">
                  <c:v>42975</c:v>
                </c:pt>
                <c:pt idx="545">
                  <c:v>42976</c:v>
                </c:pt>
                <c:pt idx="546">
                  <c:v>42977</c:v>
                </c:pt>
                <c:pt idx="547">
                  <c:v>42978</c:v>
                </c:pt>
                <c:pt idx="548">
                  <c:v>42979</c:v>
                </c:pt>
                <c:pt idx="549">
                  <c:v>42980</c:v>
                </c:pt>
                <c:pt idx="550">
                  <c:v>42981</c:v>
                </c:pt>
                <c:pt idx="551">
                  <c:v>42982</c:v>
                </c:pt>
                <c:pt idx="552">
                  <c:v>42983</c:v>
                </c:pt>
                <c:pt idx="553">
                  <c:v>42984</c:v>
                </c:pt>
                <c:pt idx="554">
                  <c:v>42985</c:v>
                </c:pt>
                <c:pt idx="555">
                  <c:v>42986</c:v>
                </c:pt>
                <c:pt idx="556">
                  <c:v>42987</c:v>
                </c:pt>
                <c:pt idx="557">
                  <c:v>42988</c:v>
                </c:pt>
                <c:pt idx="558">
                  <c:v>42989</c:v>
                </c:pt>
                <c:pt idx="559">
                  <c:v>42990</c:v>
                </c:pt>
                <c:pt idx="560">
                  <c:v>42991</c:v>
                </c:pt>
                <c:pt idx="561">
                  <c:v>42992</c:v>
                </c:pt>
                <c:pt idx="562">
                  <c:v>42993</c:v>
                </c:pt>
                <c:pt idx="563">
                  <c:v>42994</c:v>
                </c:pt>
                <c:pt idx="564">
                  <c:v>42995</c:v>
                </c:pt>
                <c:pt idx="565">
                  <c:v>42996</c:v>
                </c:pt>
                <c:pt idx="566">
                  <c:v>42997</c:v>
                </c:pt>
                <c:pt idx="567">
                  <c:v>42998</c:v>
                </c:pt>
                <c:pt idx="568">
                  <c:v>42999</c:v>
                </c:pt>
                <c:pt idx="569">
                  <c:v>43000</c:v>
                </c:pt>
                <c:pt idx="570">
                  <c:v>43001</c:v>
                </c:pt>
                <c:pt idx="571">
                  <c:v>43002</c:v>
                </c:pt>
                <c:pt idx="572">
                  <c:v>43003</c:v>
                </c:pt>
                <c:pt idx="573">
                  <c:v>43004</c:v>
                </c:pt>
                <c:pt idx="574">
                  <c:v>43005</c:v>
                </c:pt>
                <c:pt idx="575">
                  <c:v>43006</c:v>
                </c:pt>
                <c:pt idx="576">
                  <c:v>43007</c:v>
                </c:pt>
                <c:pt idx="577">
                  <c:v>43008</c:v>
                </c:pt>
                <c:pt idx="578">
                  <c:v>43009</c:v>
                </c:pt>
                <c:pt idx="579">
                  <c:v>43010</c:v>
                </c:pt>
                <c:pt idx="580">
                  <c:v>43011</c:v>
                </c:pt>
                <c:pt idx="581">
                  <c:v>43012</c:v>
                </c:pt>
                <c:pt idx="582">
                  <c:v>43013</c:v>
                </c:pt>
                <c:pt idx="583">
                  <c:v>43014</c:v>
                </c:pt>
                <c:pt idx="584">
                  <c:v>43015</c:v>
                </c:pt>
                <c:pt idx="585">
                  <c:v>43016</c:v>
                </c:pt>
                <c:pt idx="586">
                  <c:v>43017</c:v>
                </c:pt>
                <c:pt idx="587">
                  <c:v>43018</c:v>
                </c:pt>
                <c:pt idx="588">
                  <c:v>43019</c:v>
                </c:pt>
                <c:pt idx="589">
                  <c:v>43020</c:v>
                </c:pt>
                <c:pt idx="590">
                  <c:v>43021</c:v>
                </c:pt>
                <c:pt idx="591">
                  <c:v>43022</c:v>
                </c:pt>
                <c:pt idx="592">
                  <c:v>43023</c:v>
                </c:pt>
                <c:pt idx="593">
                  <c:v>43024</c:v>
                </c:pt>
                <c:pt idx="594">
                  <c:v>43025</c:v>
                </c:pt>
                <c:pt idx="595">
                  <c:v>43026</c:v>
                </c:pt>
                <c:pt idx="596">
                  <c:v>43027</c:v>
                </c:pt>
                <c:pt idx="597">
                  <c:v>43028</c:v>
                </c:pt>
                <c:pt idx="598">
                  <c:v>43029</c:v>
                </c:pt>
                <c:pt idx="599">
                  <c:v>43030</c:v>
                </c:pt>
                <c:pt idx="600">
                  <c:v>43031</c:v>
                </c:pt>
                <c:pt idx="601">
                  <c:v>43032</c:v>
                </c:pt>
                <c:pt idx="602">
                  <c:v>43033</c:v>
                </c:pt>
                <c:pt idx="603">
                  <c:v>43034</c:v>
                </c:pt>
                <c:pt idx="604">
                  <c:v>43035</c:v>
                </c:pt>
                <c:pt idx="605">
                  <c:v>43036</c:v>
                </c:pt>
                <c:pt idx="606">
                  <c:v>43037</c:v>
                </c:pt>
                <c:pt idx="607">
                  <c:v>43038</c:v>
                </c:pt>
                <c:pt idx="608">
                  <c:v>43039</c:v>
                </c:pt>
                <c:pt idx="609">
                  <c:v>43040</c:v>
                </c:pt>
                <c:pt idx="610">
                  <c:v>43041</c:v>
                </c:pt>
                <c:pt idx="611">
                  <c:v>43042</c:v>
                </c:pt>
                <c:pt idx="612">
                  <c:v>43043</c:v>
                </c:pt>
                <c:pt idx="613">
                  <c:v>43044</c:v>
                </c:pt>
                <c:pt idx="614">
                  <c:v>43045</c:v>
                </c:pt>
                <c:pt idx="615">
                  <c:v>43046</c:v>
                </c:pt>
                <c:pt idx="616">
                  <c:v>43047</c:v>
                </c:pt>
                <c:pt idx="617">
                  <c:v>43048</c:v>
                </c:pt>
                <c:pt idx="618">
                  <c:v>43049</c:v>
                </c:pt>
                <c:pt idx="619">
                  <c:v>43050</c:v>
                </c:pt>
                <c:pt idx="620">
                  <c:v>43051</c:v>
                </c:pt>
                <c:pt idx="621">
                  <c:v>43052</c:v>
                </c:pt>
                <c:pt idx="622">
                  <c:v>43053</c:v>
                </c:pt>
                <c:pt idx="623">
                  <c:v>43054</c:v>
                </c:pt>
                <c:pt idx="624">
                  <c:v>43055</c:v>
                </c:pt>
                <c:pt idx="625">
                  <c:v>43056</c:v>
                </c:pt>
                <c:pt idx="626">
                  <c:v>43057</c:v>
                </c:pt>
                <c:pt idx="627">
                  <c:v>43058</c:v>
                </c:pt>
                <c:pt idx="628">
                  <c:v>43059</c:v>
                </c:pt>
                <c:pt idx="629">
                  <c:v>43060</c:v>
                </c:pt>
                <c:pt idx="630">
                  <c:v>43061</c:v>
                </c:pt>
                <c:pt idx="631">
                  <c:v>43062</c:v>
                </c:pt>
                <c:pt idx="632">
                  <c:v>43063</c:v>
                </c:pt>
                <c:pt idx="633">
                  <c:v>43064</c:v>
                </c:pt>
                <c:pt idx="634">
                  <c:v>43065</c:v>
                </c:pt>
                <c:pt idx="635">
                  <c:v>43066</c:v>
                </c:pt>
                <c:pt idx="636">
                  <c:v>43067</c:v>
                </c:pt>
                <c:pt idx="637">
                  <c:v>43068</c:v>
                </c:pt>
                <c:pt idx="638">
                  <c:v>43069</c:v>
                </c:pt>
                <c:pt idx="639">
                  <c:v>43070</c:v>
                </c:pt>
                <c:pt idx="640">
                  <c:v>43071</c:v>
                </c:pt>
                <c:pt idx="641">
                  <c:v>43072</c:v>
                </c:pt>
                <c:pt idx="642">
                  <c:v>43073</c:v>
                </c:pt>
                <c:pt idx="643">
                  <c:v>43074</c:v>
                </c:pt>
                <c:pt idx="644">
                  <c:v>43075</c:v>
                </c:pt>
                <c:pt idx="645">
                  <c:v>43076</c:v>
                </c:pt>
                <c:pt idx="646">
                  <c:v>43077</c:v>
                </c:pt>
                <c:pt idx="647">
                  <c:v>43078</c:v>
                </c:pt>
                <c:pt idx="648">
                  <c:v>43079</c:v>
                </c:pt>
                <c:pt idx="649">
                  <c:v>43080</c:v>
                </c:pt>
                <c:pt idx="650">
                  <c:v>43081</c:v>
                </c:pt>
                <c:pt idx="651">
                  <c:v>43082</c:v>
                </c:pt>
                <c:pt idx="652">
                  <c:v>43083</c:v>
                </c:pt>
                <c:pt idx="653">
                  <c:v>43084</c:v>
                </c:pt>
                <c:pt idx="654">
                  <c:v>43085</c:v>
                </c:pt>
                <c:pt idx="655">
                  <c:v>43086</c:v>
                </c:pt>
                <c:pt idx="656">
                  <c:v>43087</c:v>
                </c:pt>
                <c:pt idx="657">
                  <c:v>43088</c:v>
                </c:pt>
                <c:pt idx="658">
                  <c:v>43089</c:v>
                </c:pt>
                <c:pt idx="659">
                  <c:v>43090</c:v>
                </c:pt>
                <c:pt idx="660">
                  <c:v>43091</c:v>
                </c:pt>
                <c:pt idx="661">
                  <c:v>43092</c:v>
                </c:pt>
                <c:pt idx="662">
                  <c:v>43093</c:v>
                </c:pt>
                <c:pt idx="663">
                  <c:v>43094</c:v>
                </c:pt>
                <c:pt idx="664">
                  <c:v>43095</c:v>
                </c:pt>
                <c:pt idx="665">
                  <c:v>43096</c:v>
                </c:pt>
                <c:pt idx="666">
                  <c:v>43097</c:v>
                </c:pt>
                <c:pt idx="667">
                  <c:v>43098</c:v>
                </c:pt>
                <c:pt idx="668">
                  <c:v>43099</c:v>
                </c:pt>
                <c:pt idx="669">
                  <c:v>43100</c:v>
                </c:pt>
                <c:pt idx="670">
                  <c:v>43101</c:v>
                </c:pt>
                <c:pt idx="671">
                  <c:v>43102</c:v>
                </c:pt>
                <c:pt idx="672">
                  <c:v>43103</c:v>
                </c:pt>
                <c:pt idx="673">
                  <c:v>43104</c:v>
                </c:pt>
                <c:pt idx="674">
                  <c:v>43105</c:v>
                </c:pt>
                <c:pt idx="675">
                  <c:v>43106</c:v>
                </c:pt>
                <c:pt idx="676">
                  <c:v>43107</c:v>
                </c:pt>
                <c:pt idx="677">
                  <c:v>43108</c:v>
                </c:pt>
                <c:pt idx="678">
                  <c:v>43109</c:v>
                </c:pt>
                <c:pt idx="679">
                  <c:v>43110</c:v>
                </c:pt>
                <c:pt idx="680">
                  <c:v>43111</c:v>
                </c:pt>
                <c:pt idx="681">
                  <c:v>43112</c:v>
                </c:pt>
                <c:pt idx="682">
                  <c:v>43113</c:v>
                </c:pt>
                <c:pt idx="683">
                  <c:v>43114</c:v>
                </c:pt>
                <c:pt idx="684">
                  <c:v>43115</c:v>
                </c:pt>
                <c:pt idx="685">
                  <c:v>43116</c:v>
                </c:pt>
                <c:pt idx="686">
                  <c:v>43117</c:v>
                </c:pt>
                <c:pt idx="687">
                  <c:v>43118</c:v>
                </c:pt>
                <c:pt idx="688">
                  <c:v>43119</c:v>
                </c:pt>
                <c:pt idx="689">
                  <c:v>43120</c:v>
                </c:pt>
                <c:pt idx="690">
                  <c:v>43121</c:v>
                </c:pt>
                <c:pt idx="691">
                  <c:v>43122</c:v>
                </c:pt>
                <c:pt idx="692">
                  <c:v>43123</c:v>
                </c:pt>
                <c:pt idx="693">
                  <c:v>43124</c:v>
                </c:pt>
                <c:pt idx="694">
                  <c:v>43125</c:v>
                </c:pt>
                <c:pt idx="695">
                  <c:v>43126</c:v>
                </c:pt>
                <c:pt idx="696">
                  <c:v>43127</c:v>
                </c:pt>
                <c:pt idx="697">
                  <c:v>43128</c:v>
                </c:pt>
                <c:pt idx="698">
                  <c:v>43129</c:v>
                </c:pt>
                <c:pt idx="699">
                  <c:v>43130</c:v>
                </c:pt>
                <c:pt idx="700">
                  <c:v>43131</c:v>
                </c:pt>
                <c:pt idx="701">
                  <c:v>43132</c:v>
                </c:pt>
                <c:pt idx="702">
                  <c:v>43133</c:v>
                </c:pt>
                <c:pt idx="703">
                  <c:v>43134</c:v>
                </c:pt>
                <c:pt idx="704">
                  <c:v>43135</c:v>
                </c:pt>
                <c:pt idx="705">
                  <c:v>43136</c:v>
                </c:pt>
                <c:pt idx="706">
                  <c:v>43137</c:v>
                </c:pt>
                <c:pt idx="707">
                  <c:v>43138</c:v>
                </c:pt>
                <c:pt idx="708">
                  <c:v>43139</c:v>
                </c:pt>
                <c:pt idx="709">
                  <c:v>43140</c:v>
                </c:pt>
                <c:pt idx="710">
                  <c:v>43141</c:v>
                </c:pt>
                <c:pt idx="711">
                  <c:v>43142</c:v>
                </c:pt>
                <c:pt idx="712">
                  <c:v>43143</c:v>
                </c:pt>
                <c:pt idx="713">
                  <c:v>43144</c:v>
                </c:pt>
                <c:pt idx="714">
                  <c:v>43145</c:v>
                </c:pt>
                <c:pt idx="715">
                  <c:v>43146</c:v>
                </c:pt>
                <c:pt idx="716">
                  <c:v>43147</c:v>
                </c:pt>
                <c:pt idx="717">
                  <c:v>43148</c:v>
                </c:pt>
                <c:pt idx="718">
                  <c:v>43149</c:v>
                </c:pt>
                <c:pt idx="719">
                  <c:v>43150</c:v>
                </c:pt>
                <c:pt idx="720">
                  <c:v>43151</c:v>
                </c:pt>
                <c:pt idx="721">
                  <c:v>43152</c:v>
                </c:pt>
                <c:pt idx="722">
                  <c:v>43153</c:v>
                </c:pt>
                <c:pt idx="723">
                  <c:v>43154</c:v>
                </c:pt>
                <c:pt idx="724">
                  <c:v>43155</c:v>
                </c:pt>
                <c:pt idx="725">
                  <c:v>43156</c:v>
                </c:pt>
                <c:pt idx="726">
                  <c:v>43157</c:v>
                </c:pt>
                <c:pt idx="727">
                  <c:v>43158</c:v>
                </c:pt>
                <c:pt idx="728">
                  <c:v>43159</c:v>
                </c:pt>
                <c:pt idx="729">
                  <c:v>43160</c:v>
                </c:pt>
                <c:pt idx="730">
                  <c:v>43161</c:v>
                </c:pt>
                <c:pt idx="731">
                  <c:v>43162</c:v>
                </c:pt>
                <c:pt idx="732">
                  <c:v>43163</c:v>
                </c:pt>
                <c:pt idx="733">
                  <c:v>43164</c:v>
                </c:pt>
                <c:pt idx="734">
                  <c:v>43165</c:v>
                </c:pt>
                <c:pt idx="735">
                  <c:v>43166</c:v>
                </c:pt>
                <c:pt idx="736">
                  <c:v>43167</c:v>
                </c:pt>
                <c:pt idx="737">
                  <c:v>43168</c:v>
                </c:pt>
                <c:pt idx="738">
                  <c:v>43169</c:v>
                </c:pt>
                <c:pt idx="739">
                  <c:v>43170</c:v>
                </c:pt>
                <c:pt idx="740">
                  <c:v>43171</c:v>
                </c:pt>
                <c:pt idx="741">
                  <c:v>43172</c:v>
                </c:pt>
                <c:pt idx="742">
                  <c:v>43173</c:v>
                </c:pt>
                <c:pt idx="743">
                  <c:v>43174</c:v>
                </c:pt>
                <c:pt idx="744">
                  <c:v>43175</c:v>
                </c:pt>
                <c:pt idx="745">
                  <c:v>43176</c:v>
                </c:pt>
                <c:pt idx="746">
                  <c:v>43177</c:v>
                </c:pt>
                <c:pt idx="747">
                  <c:v>43178</c:v>
                </c:pt>
                <c:pt idx="748">
                  <c:v>43179</c:v>
                </c:pt>
                <c:pt idx="749">
                  <c:v>43180</c:v>
                </c:pt>
                <c:pt idx="750">
                  <c:v>43181</c:v>
                </c:pt>
                <c:pt idx="751">
                  <c:v>43182</c:v>
                </c:pt>
                <c:pt idx="752">
                  <c:v>43183</c:v>
                </c:pt>
                <c:pt idx="753">
                  <c:v>43184</c:v>
                </c:pt>
                <c:pt idx="754">
                  <c:v>43185</c:v>
                </c:pt>
                <c:pt idx="755">
                  <c:v>43186</c:v>
                </c:pt>
                <c:pt idx="756">
                  <c:v>43187</c:v>
                </c:pt>
                <c:pt idx="757">
                  <c:v>43188</c:v>
                </c:pt>
                <c:pt idx="758">
                  <c:v>43189</c:v>
                </c:pt>
                <c:pt idx="759">
                  <c:v>43190</c:v>
                </c:pt>
                <c:pt idx="760">
                  <c:v>43191</c:v>
                </c:pt>
                <c:pt idx="761">
                  <c:v>43192</c:v>
                </c:pt>
                <c:pt idx="762">
                  <c:v>43193</c:v>
                </c:pt>
                <c:pt idx="763">
                  <c:v>43194</c:v>
                </c:pt>
                <c:pt idx="764">
                  <c:v>43195</c:v>
                </c:pt>
                <c:pt idx="765">
                  <c:v>43196</c:v>
                </c:pt>
                <c:pt idx="766">
                  <c:v>43197</c:v>
                </c:pt>
                <c:pt idx="767">
                  <c:v>43198</c:v>
                </c:pt>
                <c:pt idx="768">
                  <c:v>43199</c:v>
                </c:pt>
                <c:pt idx="769">
                  <c:v>43200</c:v>
                </c:pt>
                <c:pt idx="770">
                  <c:v>43201</c:v>
                </c:pt>
                <c:pt idx="771">
                  <c:v>43202</c:v>
                </c:pt>
                <c:pt idx="772">
                  <c:v>43203</c:v>
                </c:pt>
                <c:pt idx="773">
                  <c:v>43204</c:v>
                </c:pt>
                <c:pt idx="774">
                  <c:v>43205</c:v>
                </c:pt>
                <c:pt idx="775">
                  <c:v>43206</c:v>
                </c:pt>
                <c:pt idx="776">
                  <c:v>43207</c:v>
                </c:pt>
                <c:pt idx="777">
                  <c:v>43208</c:v>
                </c:pt>
                <c:pt idx="778">
                  <c:v>43209</c:v>
                </c:pt>
                <c:pt idx="779">
                  <c:v>43210</c:v>
                </c:pt>
                <c:pt idx="780">
                  <c:v>43211</c:v>
                </c:pt>
                <c:pt idx="781">
                  <c:v>43212</c:v>
                </c:pt>
                <c:pt idx="782">
                  <c:v>43213</c:v>
                </c:pt>
                <c:pt idx="783">
                  <c:v>43214</c:v>
                </c:pt>
                <c:pt idx="784">
                  <c:v>43215</c:v>
                </c:pt>
                <c:pt idx="785">
                  <c:v>43216</c:v>
                </c:pt>
                <c:pt idx="786">
                  <c:v>43217</c:v>
                </c:pt>
                <c:pt idx="787">
                  <c:v>43218</c:v>
                </c:pt>
                <c:pt idx="788">
                  <c:v>43219</c:v>
                </c:pt>
                <c:pt idx="789">
                  <c:v>43220</c:v>
                </c:pt>
                <c:pt idx="790">
                  <c:v>43221</c:v>
                </c:pt>
                <c:pt idx="791">
                  <c:v>43222</c:v>
                </c:pt>
                <c:pt idx="792">
                  <c:v>43223</c:v>
                </c:pt>
                <c:pt idx="793">
                  <c:v>43224</c:v>
                </c:pt>
                <c:pt idx="794">
                  <c:v>43225</c:v>
                </c:pt>
                <c:pt idx="795">
                  <c:v>43226</c:v>
                </c:pt>
                <c:pt idx="796">
                  <c:v>43227</c:v>
                </c:pt>
                <c:pt idx="797">
                  <c:v>43228</c:v>
                </c:pt>
                <c:pt idx="798">
                  <c:v>43229</c:v>
                </c:pt>
                <c:pt idx="799">
                  <c:v>43230</c:v>
                </c:pt>
                <c:pt idx="800">
                  <c:v>43231</c:v>
                </c:pt>
                <c:pt idx="801">
                  <c:v>43232</c:v>
                </c:pt>
                <c:pt idx="802">
                  <c:v>43233</c:v>
                </c:pt>
                <c:pt idx="803">
                  <c:v>43234</c:v>
                </c:pt>
                <c:pt idx="804">
                  <c:v>43235</c:v>
                </c:pt>
                <c:pt idx="805">
                  <c:v>43236</c:v>
                </c:pt>
                <c:pt idx="806">
                  <c:v>43237</c:v>
                </c:pt>
                <c:pt idx="807">
                  <c:v>43238</c:v>
                </c:pt>
                <c:pt idx="808">
                  <c:v>43239</c:v>
                </c:pt>
                <c:pt idx="809">
                  <c:v>43240</c:v>
                </c:pt>
                <c:pt idx="810">
                  <c:v>43241</c:v>
                </c:pt>
                <c:pt idx="811">
                  <c:v>43242</c:v>
                </c:pt>
                <c:pt idx="812">
                  <c:v>43243</c:v>
                </c:pt>
                <c:pt idx="813">
                  <c:v>43244</c:v>
                </c:pt>
                <c:pt idx="814">
                  <c:v>43245</c:v>
                </c:pt>
                <c:pt idx="815">
                  <c:v>43246</c:v>
                </c:pt>
                <c:pt idx="816">
                  <c:v>43247</c:v>
                </c:pt>
                <c:pt idx="817">
                  <c:v>43248</c:v>
                </c:pt>
                <c:pt idx="818">
                  <c:v>43249</c:v>
                </c:pt>
                <c:pt idx="819">
                  <c:v>43250</c:v>
                </c:pt>
                <c:pt idx="820">
                  <c:v>43251</c:v>
                </c:pt>
                <c:pt idx="821">
                  <c:v>43252</c:v>
                </c:pt>
                <c:pt idx="822">
                  <c:v>43253</c:v>
                </c:pt>
                <c:pt idx="823">
                  <c:v>43254</c:v>
                </c:pt>
                <c:pt idx="824">
                  <c:v>43255</c:v>
                </c:pt>
                <c:pt idx="825">
                  <c:v>43256</c:v>
                </c:pt>
                <c:pt idx="826">
                  <c:v>43257</c:v>
                </c:pt>
                <c:pt idx="827">
                  <c:v>43258</c:v>
                </c:pt>
                <c:pt idx="828">
                  <c:v>43259</c:v>
                </c:pt>
                <c:pt idx="829">
                  <c:v>43260</c:v>
                </c:pt>
                <c:pt idx="830">
                  <c:v>43261</c:v>
                </c:pt>
                <c:pt idx="831">
                  <c:v>43262</c:v>
                </c:pt>
                <c:pt idx="832">
                  <c:v>43263</c:v>
                </c:pt>
                <c:pt idx="833">
                  <c:v>43264</c:v>
                </c:pt>
                <c:pt idx="834">
                  <c:v>43265</c:v>
                </c:pt>
                <c:pt idx="835">
                  <c:v>43266</c:v>
                </c:pt>
                <c:pt idx="836">
                  <c:v>43267</c:v>
                </c:pt>
                <c:pt idx="837">
                  <c:v>43268</c:v>
                </c:pt>
                <c:pt idx="838">
                  <c:v>43269</c:v>
                </c:pt>
                <c:pt idx="839">
                  <c:v>43270</c:v>
                </c:pt>
                <c:pt idx="840">
                  <c:v>43271</c:v>
                </c:pt>
                <c:pt idx="841">
                  <c:v>43272</c:v>
                </c:pt>
                <c:pt idx="842">
                  <c:v>43273</c:v>
                </c:pt>
                <c:pt idx="843">
                  <c:v>43274</c:v>
                </c:pt>
                <c:pt idx="844">
                  <c:v>43275</c:v>
                </c:pt>
                <c:pt idx="845">
                  <c:v>43276</c:v>
                </c:pt>
                <c:pt idx="846">
                  <c:v>43277</c:v>
                </c:pt>
                <c:pt idx="847">
                  <c:v>43278</c:v>
                </c:pt>
                <c:pt idx="848">
                  <c:v>43279</c:v>
                </c:pt>
                <c:pt idx="849">
                  <c:v>43280</c:v>
                </c:pt>
                <c:pt idx="850">
                  <c:v>43281</c:v>
                </c:pt>
                <c:pt idx="851">
                  <c:v>43282</c:v>
                </c:pt>
                <c:pt idx="852">
                  <c:v>43283</c:v>
                </c:pt>
                <c:pt idx="853">
                  <c:v>43284</c:v>
                </c:pt>
                <c:pt idx="854">
                  <c:v>43285</c:v>
                </c:pt>
                <c:pt idx="855">
                  <c:v>43286</c:v>
                </c:pt>
                <c:pt idx="856">
                  <c:v>43287</c:v>
                </c:pt>
                <c:pt idx="857">
                  <c:v>43288</c:v>
                </c:pt>
                <c:pt idx="858">
                  <c:v>43289</c:v>
                </c:pt>
                <c:pt idx="859">
                  <c:v>43290</c:v>
                </c:pt>
                <c:pt idx="860">
                  <c:v>43291</c:v>
                </c:pt>
                <c:pt idx="861">
                  <c:v>43292</c:v>
                </c:pt>
                <c:pt idx="862">
                  <c:v>43293</c:v>
                </c:pt>
                <c:pt idx="863">
                  <c:v>43294</c:v>
                </c:pt>
                <c:pt idx="864">
                  <c:v>43295</c:v>
                </c:pt>
                <c:pt idx="865">
                  <c:v>43296</c:v>
                </c:pt>
                <c:pt idx="866">
                  <c:v>43297</c:v>
                </c:pt>
                <c:pt idx="867">
                  <c:v>43298</c:v>
                </c:pt>
                <c:pt idx="868">
                  <c:v>43299</c:v>
                </c:pt>
                <c:pt idx="869">
                  <c:v>43300</c:v>
                </c:pt>
                <c:pt idx="870">
                  <c:v>43301</c:v>
                </c:pt>
                <c:pt idx="871">
                  <c:v>43302</c:v>
                </c:pt>
                <c:pt idx="872">
                  <c:v>43303</c:v>
                </c:pt>
                <c:pt idx="873">
                  <c:v>43304</c:v>
                </c:pt>
                <c:pt idx="874">
                  <c:v>43305</c:v>
                </c:pt>
                <c:pt idx="875">
                  <c:v>43306</c:v>
                </c:pt>
                <c:pt idx="876">
                  <c:v>43307</c:v>
                </c:pt>
                <c:pt idx="877">
                  <c:v>43308</c:v>
                </c:pt>
                <c:pt idx="878">
                  <c:v>43309</c:v>
                </c:pt>
                <c:pt idx="879">
                  <c:v>43310</c:v>
                </c:pt>
                <c:pt idx="880">
                  <c:v>43311</c:v>
                </c:pt>
                <c:pt idx="881">
                  <c:v>43312</c:v>
                </c:pt>
                <c:pt idx="882">
                  <c:v>43313</c:v>
                </c:pt>
                <c:pt idx="883">
                  <c:v>43314</c:v>
                </c:pt>
                <c:pt idx="884">
                  <c:v>43315</c:v>
                </c:pt>
                <c:pt idx="885">
                  <c:v>43316</c:v>
                </c:pt>
                <c:pt idx="886">
                  <c:v>43317</c:v>
                </c:pt>
                <c:pt idx="887">
                  <c:v>43318</c:v>
                </c:pt>
                <c:pt idx="888">
                  <c:v>43319</c:v>
                </c:pt>
                <c:pt idx="889">
                  <c:v>43320</c:v>
                </c:pt>
                <c:pt idx="890">
                  <c:v>43321</c:v>
                </c:pt>
                <c:pt idx="891">
                  <c:v>43322</c:v>
                </c:pt>
                <c:pt idx="892">
                  <c:v>43323</c:v>
                </c:pt>
                <c:pt idx="893">
                  <c:v>43324</c:v>
                </c:pt>
                <c:pt idx="894">
                  <c:v>43325</c:v>
                </c:pt>
                <c:pt idx="895">
                  <c:v>43326</c:v>
                </c:pt>
                <c:pt idx="896">
                  <c:v>43327</c:v>
                </c:pt>
                <c:pt idx="897">
                  <c:v>43328</c:v>
                </c:pt>
                <c:pt idx="898">
                  <c:v>43329</c:v>
                </c:pt>
                <c:pt idx="899">
                  <c:v>43330</c:v>
                </c:pt>
                <c:pt idx="900">
                  <c:v>43331</c:v>
                </c:pt>
                <c:pt idx="901">
                  <c:v>43332</c:v>
                </c:pt>
                <c:pt idx="902">
                  <c:v>43333</c:v>
                </c:pt>
                <c:pt idx="903">
                  <c:v>43334</c:v>
                </c:pt>
                <c:pt idx="904">
                  <c:v>43335</c:v>
                </c:pt>
                <c:pt idx="905">
                  <c:v>43336</c:v>
                </c:pt>
                <c:pt idx="906">
                  <c:v>43337</c:v>
                </c:pt>
                <c:pt idx="907">
                  <c:v>43338</c:v>
                </c:pt>
                <c:pt idx="908">
                  <c:v>43339</c:v>
                </c:pt>
                <c:pt idx="909">
                  <c:v>43340</c:v>
                </c:pt>
                <c:pt idx="910">
                  <c:v>43341</c:v>
                </c:pt>
                <c:pt idx="911">
                  <c:v>43342</c:v>
                </c:pt>
                <c:pt idx="912">
                  <c:v>43343</c:v>
                </c:pt>
                <c:pt idx="913">
                  <c:v>43344</c:v>
                </c:pt>
                <c:pt idx="914">
                  <c:v>43345</c:v>
                </c:pt>
                <c:pt idx="915">
                  <c:v>43346</c:v>
                </c:pt>
                <c:pt idx="916">
                  <c:v>43347</c:v>
                </c:pt>
                <c:pt idx="917">
                  <c:v>43348</c:v>
                </c:pt>
                <c:pt idx="918">
                  <c:v>43349</c:v>
                </c:pt>
                <c:pt idx="919">
                  <c:v>43350</c:v>
                </c:pt>
                <c:pt idx="920">
                  <c:v>43351</c:v>
                </c:pt>
                <c:pt idx="921">
                  <c:v>43352</c:v>
                </c:pt>
                <c:pt idx="922">
                  <c:v>43353</c:v>
                </c:pt>
                <c:pt idx="923">
                  <c:v>43354</c:v>
                </c:pt>
                <c:pt idx="924">
                  <c:v>43355</c:v>
                </c:pt>
                <c:pt idx="925">
                  <c:v>43356</c:v>
                </c:pt>
                <c:pt idx="926">
                  <c:v>43357</c:v>
                </c:pt>
                <c:pt idx="927">
                  <c:v>43358</c:v>
                </c:pt>
                <c:pt idx="928">
                  <c:v>43359</c:v>
                </c:pt>
                <c:pt idx="929">
                  <c:v>43360</c:v>
                </c:pt>
                <c:pt idx="930">
                  <c:v>43361</c:v>
                </c:pt>
                <c:pt idx="931">
                  <c:v>43362</c:v>
                </c:pt>
                <c:pt idx="932">
                  <c:v>43363</c:v>
                </c:pt>
                <c:pt idx="933">
                  <c:v>43364</c:v>
                </c:pt>
                <c:pt idx="934">
                  <c:v>43365</c:v>
                </c:pt>
                <c:pt idx="935">
                  <c:v>43366</c:v>
                </c:pt>
                <c:pt idx="936">
                  <c:v>43367</c:v>
                </c:pt>
                <c:pt idx="937">
                  <c:v>43368</c:v>
                </c:pt>
                <c:pt idx="938">
                  <c:v>43369</c:v>
                </c:pt>
                <c:pt idx="939">
                  <c:v>43370</c:v>
                </c:pt>
                <c:pt idx="940">
                  <c:v>43371</c:v>
                </c:pt>
                <c:pt idx="941">
                  <c:v>43372</c:v>
                </c:pt>
                <c:pt idx="942">
                  <c:v>43373</c:v>
                </c:pt>
                <c:pt idx="943">
                  <c:v>43374</c:v>
                </c:pt>
                <c:pt idx="944">
                  <c:v>43375</c:v>
                </c:pt>
                <c:pt idx="945">
                  <c:v>43376</c:v>
                </c:pt>
                <c:pt idx="946">
                  <c:v>43377</c:v>
                </c:pt>
                <c:pt idx="947">
                  <c:v>43378</c:v>
                </c:pt>
                <c:pt idx="948">
                  <c:v>43379</c:v>
                </c:pt>
                <c:pt idx="949">
                  <c:v>43380</c:v>
                </c:pt>
                <c:pt idx="950">
                  <c:v>43381</c:v>
                </c:pt>
                <c:pt idx="951">
                  <c:v>43382</c:v>
                </c:pt>
                <c:pt idx="952">
                  <c:v>43383</c:v>
                </c:pt>
                <c:pt idx="953">
                  <c:v>43384</c:v>
                </c:pt>
                <c:pt idx="954">
                  <c:v>43385</c:v>
                </c:pt>
                <c:pt idx="955">
                  <c:v>43386</c:v>
                </c:pt>
                <c:pt idx="956">
                  <c:v>43387</c:v>
                </c:pt>
                <c:pt idx="957">
                  <c:v>43388</c:v>
                </c:pt>
                <c:pt idx="958">
                  <c:v>43389</c:v>
                </c:pt>
                <c:pt idx="959">
                  <c:v>43390</c:v>
                </c:pt>
                <c:pt idx="960">
                  <c:v>43391</c:v>
                </c:pt>
                <c:pt idx="961">
                  <c:v>43392</c:v>
                </c:pt>
                <c:pt idx="962">
                  <c:v>43393</c:v>
                </c:pt>
                <c:pt idx="963">
                  <c:v>43394</c:v>
                </c:pt>
                <c:pt idx="964">
                  <c:v>43395</c:v>
                </c:pt>
                <c:pt idx="965">
                  <c:v>43396</c:v>
                </c:pt>
                <c:pt idx="966">
                  <c:v>43397</c:v>
                </c:pt>
                <c:pt idx="967">
                  <c:v>43398</c:v>
                </c:pt>
                <c:pt idx="968">
                  <c:v>43399</c:v>
                </c:pt>
                <c:pt idx="969">
                  <c:v>43400</c:v>
                </c:pt>
                <c:pt idx="970">
                  <c:v>43401</c:v>
                </c:pt>
                <c:pt idx="971">
                  <c:v>43402</c:v>
                </c:pt>
                <c:pt idx="972">
                  <c:v>43403</c:v>
                </c:pt>
                <c:pt idx="973">
                  <c:v>43404</c:v>
                </c:pt>
                <c:pt idx="974">
                  <c:v>43405</c:v>
                </c:pt>
                <c:pt idx="975">
                  <c:v>43406</c:v>
                </c:pt>
                <c:pt idx="976">
                  <c:v>43407</c:v>
                </c:pt>
                <c:pt idx="977">
                  <c:v>43408</c:v>
                </c:pt>
                <c:pt idx="978">
                  <c:v>43409</c:v>
                </c:pt>
                <c:pt idx="979">
                  <c:v>43410</c:v>
                </c:pt>
                <c:pt idx="980">
                  <c:v>43411</c:v>
                </c:pt>
                <c:pt idx="981">
                  <c:v>43412</c:v>
                </c:pt>
                <c:pt idx="982">
                  <c:v>43413</c:v>
                </c:pt>
                <c:pt idx="983">
                  <c:v>43414</c:v>
                </c:pt>
                <c:pt idx="984">
                  <c:v>43415</c:v>
                </c:pt>
                <c:pt idx="985">
                  <c:v>43416</c:v>
                </c:pt>
                <c:pt idx="986">
                  <c:v>43417</c:v>
                </c:pt>
                <c:pt idx="987">
                  <c:v>43418</c:v>
                </c:pt>
                <c:pt idx="988">
                  <c:v>43419</c:v>
                </c:pt>
                <c:pt idx="989">
                  <c:v>43420</c:v>
                </c:pt>
                <c:pt idx="990">
                  <c:v>43421</c:v>
                </c:pt>
                <c:pt idx="991">
                  <c:v>43422</c:v>
                </c:pt>
                <c:pt idx="992">
                  <c:v>43423</c:v>
                </c:pt>
                <c:pt idx="993">
                  <c:v>43424</c:v>
                </c:pt>
                <c:pt idx="994">
                  <c:v>43425</c:v>
                </c:pt>
                <c:pt idx="995">
                  <c:v>43426</c:v>
                </c:pt>
                <c:pt idx="996">
                  <c:v>43427</c:v>
                </c:pt>
                <c:pt idx="997">
                  <c:v>43428</c:v>
                </c:pt>
                <c:pt idx="998">
                  <c:v>43429</c:v>
                </c:pt>
                <c:pt idx="999">
                  <c:v>43430</c:v>
                </c:pt>
                <c:pt idx="1000">
                  <c:v>43431</c:v>
                </c:pt>
                <c:pt idx="1001">
                  <c:v>43432</c:v>
                </c:pt>
                <c:pt idx="1002">
                  <c:v>43433</c:v>
                </c:pt>
                <c:pt idx="1003">
                  <c:v>43434</c:v>
                </c:pt>
                <c:pt idx="1004">
                  <c:v>43435</c:v>
                </c:pt>
                <c:pt idx="1005">
                  <c:v>43436</c:v>
                </c:pt>
                <c:pt idx="1006">
                  <c:v>43437</c:v>
                </c:pt>
                <c:pt idx="1007">
                  <c:v>43438</c:v>
                </c:pt>
                <c:pt idx="1008">
                  <c:v>43439</c:v>
                </c:pt>
                <c:pt idx="1009">
                  <c:v>43440</c:v>
                </c:pt>
                <c:pt idx="1010">
                  <c:v>43441</c:v>
                </c:pt>
                <c:pt idx="1011">
                  <c:v>43442</c:v>
                </c:pt>
                <c:pt idx="1012">
                  <c:v>43443</c:v>
                </c:pt>
                <c:pt idx="1013">
                  <c:v>43444</c:v>
                </c:pt>
                <c:pt idx="1014">
                  <c:v>43445</c:v>
                </c:pt>
                <c:pt idx="1015">
                  <c:v>43446</c:v>
                </c:pt>
                <c:pt idx="1016">
                  <c:v>43447</c:v>
                </c:pt>
                <c:pt idx="1017">
                  <c:v>43448</c:v>
                </c:pt>
                <c:pt idx="1018">
                  <c:v>43449</c:v>
                </c:pt>
                <c:pt idx="1019">
                  <c:v>43450</c:v>
                </c:pt>
                <c:pt idx="1020">
                  <c:v>43451</c:v>
                </c:pt>
                <c:pt idx="1021">
                  <c:v>43452</c:v>
                </c:pt>
                <c:pt idx="1022">
                  <c:v>43453</c:v>
                </c:pt>
                <c:pt idx="1023">
                  <c:v>43454</c:v>
                </c:pt>
                <c:pt idx="1024">
                  <c:v>43455</c:v>
                </c:pt>
                <c:pt idx="1025">
                  <c:v>43456</c:v>
                </c:pt>
                <c:pt idx="1026">
                  <c:v>43457</c:v>
                </c:pt>
                <c:pt idx="1027">
                  <c:v>43458</c:v>
                </c:pt>
                <c:pt idx="1028">
                  <c:v>43459</c:v>
                </c:pt>
                <c:pt idx="1029">
                  <c:v>43460</c:v>
                </c:pt>
                <c:pt idx="1030">
                  <c:v>43461</c:v>
                </c:pt>
                <c:pt idx="1031">
                  <c:v>43462</c:v>
                </c:pt>
                <c:pt idx="1032">
                  <c:v>43463</c:v>
                </c:pt>
                <c:pt idx="1033">
                  <c:v>43464</c:v>
                </c:pt>
                <c:pt idx="1034">
                  <c:v>43465</c:v>
                </c:pt>
                <c:pt idx="1035">
                  <c:v>43466</c:v>
                </c:pt>
                <c:pt idx="1036">
                  <c:v>43467</c:v>
                </c:pt>
                <c:pt idx="1037">
                  <c:v>43468</c:v>
                </c:pt>
                <c:pt idx="1038">
                  <c:v>43469</c:v>
                </c:pt>
                <c:pt idx="1039">
                  <c:v>43470</c:v>
                </c:pt>
                <c:pt idx="1040">
                  <c:v>43471</c:v>
                </c:pt>
                <c:pt idx="1041">
                  <c:v>43472</c:v>
                </c:pt>
                <c:pt idx="1042">
                  <c:v>43473</c:v>
                </c:pt>
                <c:pt idx="1043">
                  <c:v>43474</c:v>
                </c:pt>
                <c:pt idx="1044">
                  <c:v>43475</c:v>
                </c:pt>
                <c:pt idx="1045">
                  <c:v>43476</c:v>
                </c:pt>
                <c:pt idx="1046">
                  <c:v>43477</c:v>
                </c:pt>
                <c:pt idx="1047">
                  <c:v>43478</c:v>
                </c:pt>
                <c:pt idx="1048">
                  <c:v>43479</c:v>
                </c:pt>
                <c:pt idx="1049">
                  <c:v>43480</c:v>
                </c:pt>
                <c:pt idx="1050">
                  <c:v>43481</c:v>
                </c:pt>
                <c:pt idx="1051">
                  <c:v>43482</c:v>
                </c:pt>
                <c:pt idx="1052">
                  <c:v>43483</c:v>
                </c:pt>
                <c:pt idx="1053">
                  <c:v>43484</c:v>
                </c:pt>
                <c:pt idx="1054">
                  <c:v>43485</c:v>
                </c:pt>
                <c:pt idx="1055">
                  <c:v>43486</c:v>
                </c:pt>
                <c:pt idx="1056">
                  <c:v>43487</c:v>
                </c:pt>
                <c:pt idx="1057">
                  <c:v>43488</c:v>
                </c:pt>
                <c:pt idx="1058">
                  <c:v>43489</c:v>
                </c:pt>
                <c:pt idx="1059">
                  <c:v>43490</c:v>
                </c:pt>
                <c:pt idx="1060">
                  <c:v>43491</c:v>
                </c:pt>
                <c:pt idx="1061">
                  <c:v>43492</c:v>
                </c:pt>
                <c:pt idx="1062">
                  <c:v>43493</c:v>
                </c:pt>
                <c:pt idx="1063">
                  <c:v>43494</c:v>
                </c:pt>
                <c:pt idx="1064">
                  <c:v>43495</c:v>
                </c:pt>
                <c:pt idx="1065">
                  <c:v>43496</c:v>
                </c:pt>
                <c:pt idx="1066">
                  <c:v>43497</c:v>
                </c:pt>
                <c:pt idx="1067">
                  <c:v>43498</c:v>
                </c:pt>
                <c:pt idx="1068">
                  <c:v>43499</c:v>
                </c:pt>
                <c:pt idx="1069">
                  <c:v>43500</c:v>
                </c:pt>
                <c:pt idx="1070">
                  <c:v>43501</c:v>
                </c:pt>
                <c:pt idx="1071">
                  <c:v>43502</c:v>
                </c:pt>
                <c:pt idx="1072">
                  <c:v>43503</c:v>
                </c:pt>
                <c:pt idx="1073">
                  <c:v>43504</c:v>
                </c:pt>
                <c:pt idx="1074">
                  <c:v>43505</c:v>
                </c:pt>
                <c:pt idx="1075">
                  <c:v>43506</c:v>
                </c:pt>
                <c:pt idx="1076">
                  <c:v>43507</c:v>
                </c:pt>
                <c:pt idx="1077">
                  <c:v>43508</c:v>
                </c:pt>
                <c:pt idx="1078">
                  <c:v>43509</c:v>
                </c:pt>
                <c:pt idx="1079">
                  <c:v>43510</c:v>
                </c:pt>
                <c:pt idx="1080">
                  <c:v>43511</c:v>
                </c:pt>
                <c:pt idx="1081">
                  <c:v>43512</c:v>
                </c:pt>
                <c:pt idx="1082">
                  <c:v>43513</c:v>
                </c:pt>
                <c:pt idx="1083">
                  <c:v>43514</c:v>
                </c:pt>
                <c:pt idx="1084">
                  <c:v>43515</c:v>
                </c:pt>
                <c:pt idx="1085">
                  <c:v>43516</c:v>
                </c:pt>
                <c:pt idx="1086">
                  <c:v>43517</c:v>
                </c:pt>
                <c:pt idx="1087">
                  <c:v>43518</c:v>
                </c:pt>
                <c:pt idx="1088">
                  <c:v>43519</c:v>
                </c:pt>
                <c:pt idx="1089">
                  <c:v>43520</c:v>
                </c:pt>
                <c:pt idx="1090">
                  <c:v>43521</c:v>
                </c:pt>
                <c:pt idx="1091">
                  <c:v>43522</c:v>
                </c:pt>
                <c:pt idx="1092">
                  <c:v>43523</c:v>
                </c:pt>
                <c:pt idx="1093">
                  <c:v>43524</c:v>
                </c:pt>
                <c:pt idx="1094">
                  <c:v>43525</c:v>
                </c:pt>
                <c:pt idx="1095">
                  <c:v>43526</c:v>
                </c:pt>
                <c:pt idx="1096">
                  <c:v>43527</c:v>
                </c:pt>
                <c:pt idx="1097">
                  <c:v>43528</c:v>
                </c:pt>
                <c:pt idx="1098">
                  <c:v>43529</c:v>
                </c:pt>
                <c:pt idx="1099">
                  <c:v>43530</c:v>
                </c:pt>
                <c:pt idx="1100">
                  <c:v>43531</c:v>
                </c:pt>
                <c:pt idx="1101">
                  <c:v>43532</c:v>
                </c:pt>
                <c:pt idx="1102">
                  <c:v>43533</c:v>
                </c:pt>
                <c:pt idx="1103">
                  <c:v>43534</c:v>
                </c:pt>
                <c:pt idx="1104">
                  <c:v>43535</c:v>
                </c:pt>
                <c:pt idx="1105">
                  <c:v>43536</c:v>
                </c:pt>
                <c:pt idx="1106">
                  <c:v>43537</c:v>
                </c:pt>
                <c:pt idx="1107">
                  <c:v>43538</c:v>
                </c:pt>
                <c:pt idx="1108">
                  <c:v>43539</c:v>
                </c:pt>
                <c:pt idx="1109">
                  <c:v>43540</c:v>
                </c:pt>
                <c:pt idx="1110">
                  <c:v>43541</c:v>
                </c:pt>
                <c:pt idx="1111">
                  <c:v>43542</c:v>
                </c:pt>
                <c:pt idx="1112">
                  <c:v>43543</c:v>
                </c:pt>
                <c:pt idx="1113">
                  <c:v>43544</c:v>
                </c:pt>
                <c:pt idx="1114">
                  <c:v>43545</c:v>
                </c:pt>
                <c:pt idx="1115">
                  <c:v>43546</c:v>
                </c:pt>
                <c:pt idx="1116">
                  <c:v>43547</c:v>
                </c:pt>
                <c:pt idx="1117">
                  <c:v>43548</c:v>
                </c:pt>
                <c:pt idx="1118">
                  <c:v>43549</c:v>
                </c:pt>
                <c:pt idx="1119">
                  <c:v>43550</c:v>
                </c:pt>
                <c:pt idx="1120">
                  <c:v>43551</c:v>
                </c:pt>
                <c:pt idx="1121">
                  <c:v>43552</c:v>
                </c:pt>
                <c:pt idx="1122">
                  <c:v>43553</c:v>
                </c:pt>
                <c:pt idx="1123">
                  <c:v>43554</c:v>
                </c:pt>
                <c:pt idx="1124">
                  <c:v>43555</c:v>
                </c:pt>
                <c:pt idx="1125">
                  <c:v>43556</c:v>
                </c:pt>
                <c:pt idx="1126">
                  <c:v>43557</c:v>
                </c:pt>
                <c:pt idx="1127">
                  <c:v>43558</c:v>
                </c:pt>
                <c:pt idx="1128">
                  <c:v>43559</c:v>
                </c:pt>
                <c:pt idx="1129">
                  <c:v>43560</c:v>
                </c:pt>
                <c:pt idx="1130">
                  <c:v>43561</c:v>
                </c:pt>
                <c:pt idx="1131">
                  <c:v>43562</c:v>
                </c:pt>
                <c:pt idx="1132">
                  <c:v>43563</c:v>
                </c:pt>
                <c:pt idx="1133">
                  <c:v>43564</c:v>
                </c:pt>
                <c:pt idx="1134">
                  <c:v>43565</c:v>
                </c:pt>
                <c:pt idx="1135">
                  <c:v>43566</c:v>
                </c:pt>
                <c:pt idx="1136">
                  <c:v>43567</c:v>
                </c:pt>
                <c:pt idx="1137">
                  <c:v>43568</c:v>
                </c:pt>
                <c:pt idx="1138">
                  <c:v>43569</c:v>
                </c:pt>
                <c:pt idx="1139">
                  <c:v>43570</c:v>
                </c:pt>
                <c:pt idx="1140">
                  <c:v>43571</c:v>
                </c:pt>
                <c:pt idx="1141">
                  <c:v>43572</c:v>
                </c:pt>
                <c:pt idx="1142">
                  <c:v>43573</c:v>
                </c:pt>
                <c:pt idx="1143">
                  <c:v>43574</c:v>
                </c:pt>
                <c:pt idx="1144">
                  <c:v>43575</c:v>
                </c:pt>
                <c:pt idx="1145">
                  <c:v>43576</c:v>
                </c:pt>
                <c:pt idx="1146">
                  <c:v>43577</c:v>
                </c:pt>
                <c:pt idx="1147">
                  <c:v>43578</c:v>
                </c:pt>
                <c:pt idx="1148">
                  <c:v>43579</c:v>
                </c:pt>
                <c:pt idx="1149">
                  <c:v>43580</c:v>
                </c:pt>
                <c:pt idx="1150">
                  <c:v>43581</c:v>
                </c:pt>
                <c:pt idx="1151">
                  <c:v>43582</c:v>
                </c:pt>
                <c:pt idx="1152">
                  <c:v>43583</c:v>
                </c:pt>
                <c:pt idx="1153">
                  <c:v>43584</c:v>
                </c:pt>
                <c:pt idx="1154">
                  <c:v>43585</c:v>
                </c:pt>
                <c:pt idx="1155">
                  <c:v>43586</c:v>
                </c:pt>
                <c:pt idx="1156">
                  <c:v>43587</c:v>
                </c:pt>
                <c:pt idx="1157">
                  <c:v>43588</c:v>
                </c:pt>
                <c:pt idx="1158">
                  <c:v>43589</c:v>
                </c:pt>
                <c:pt idx="1159">
                  <c:v>43590</c:v>
                </c:pt>
                <c:pt idx="1160">
                  <c:v>43591</c:v>
                </c:pt>
                <c:pt idx="1161">
                  <c:v>43592</c:v>
                </c:pt>
                <c:pt idx="1162">
                  <c:v>43593</c:v>
                </c:pt>
                <c:pt idx="1163">
                  <c:v>43594</c:v>
                </c:pt>
                <c:pt idx="1164">
                  <c:v>43595</c:v>
                </c:pt>
                <c:pt idx="1165">
                  <c:v>43596</c:v>
                </c:pt>
                <c:pt idx="1166">
                  <c:v>43597</c:v>
                </c:pt>
                <c:pt idx="1167">
                  <c:v>43598</c:v>
                </c:pt>
                <c:pt idx="1168">
                  <c:v>43599</c:v>
                </c:pt>
                <c:pt idx="1169">
                  <c:v>43600</c:v>
                </c:pt>
                <c:pt idx="1170">
                  <c:v>43601</c:v>
                </c:pt>
                <c:pt idx="1171">
                  <c:v>43602</c:v>
                </c:pt>
                <c:pt idx="1172">
                  <c:v>43603</c:v>
                </c:pt>
                <c:pt idx="1173">
                  <c:v>43604</c:v>
                </c:pt>
                <c:pt idx="1174">
                  <c:v>43605</c:v>
                </c:pt>
                <c:pt idx="1175">
                  <c:v>43606</c:v>
                </c:pt>
                <c:pt idx="1176">
                  <c:v>43607</c:v>
                </c:pt>
                <c:pt idx="1177">
                  <c:v>43608</c:v>
                </c:pt>
                <c:pt idx="1178">
                  <c:v>43609</c:v>
                </c:pt>
                <c:pt idx="1179">
                  <c:v>43610</c:v>
                </c:pt>
                <c:pt idx="1180">
                  <c:v>43611</c:v>
                </c:pt>
                <c:pt idx="1181">
                  <c:v>43612</c:v>
                </c:pt>
                <c:pt idx="1182">
                  <c:v>43613</c:v>
                </c:pt>
                <c:pt idx="1183">
                  <c:v>43614</c:v>
                </c:pt>
                <c:pt idx="1184">
                  <c:v>43615</c:v>
                </c:pt>
                <c:pt idx="1185">
                  <c:v>43616</c:v>
                </c:pt>
                <c:pt idx="1186">
                  <c:v>43617</c:v>
                </c:pt>
                <c:pt idx="1187">
                  <c:v>43618</c:v>
                </c:pt>
                <c:pt idx="1188">
                  <c:v>43619</c:v>
                </c:pt>
                <c:pt idx="1189">
                  <c:v>43620</c:v>
                </c:pt>
                <c:pt idx="1190">
                  <c:v>43621</c:v>
                </c:pt>
                <c:pt idx="1191">
                  <c:v>43622</c:v>
                </c:pt>
                <c:pt idx="1192">
                  <c:v>43623</c:v>
                </c:pt>
                <c:pt idx="1193">
                  <c:v>43624</c:v>
                </c:pt>
                <c:pt idx="1194">
                  <c:v>43625</c:v>
                </c:pt>
                <c:pt idx="1195">
                  <c:v>43626</c:v>
                </c:pt>
                <c:pt idx="1196">
                  <c:v>43627</c:v>
                </c:pt>
                <c:pt idx="1197">
                  <c:v>43628</c:v>
                </c:pt>
                <c:pt idx="1198">
                  <c:v>43629</c:v>
                </c:pt>
                <c:pt idx="1199">
                  <c:v>43630</c:v>
                </c:pt>
                <c:pt idx="1200">
                  <c:v>43631</c:v>
                </c:pt>
                <c:pt idx="1201">
                  <c:v>43632</c:v>
                </c:pt>
                <c:pt idx="1202">
                  <c:v>43633</c:v>
                </c:pt>
                <c:pt idx="1203">
                  <c:v>43634</c:v>
                </c:pt>
                <c:pt idx="1204">
                  <c:v>43635</c:v>
                </c:pt>
                <c:pt idx="1205">
                  <c:v>43636</c:v>
                </c:pt>
                <c:pt idx="1206">
                  <c:v>43637</c:v>
                </c:pt>
                <c:pt idx="1207">
                  <c:v>43638</c:v>
                </c:pt>
                <c:pt idx="1208">
                  <c:v>43639</c:v>
                </c:pt>
                <c:pt idx="1209">
                  <c:v>43640</c:v>
                </c:pt>
                <c:pt idx="1210">
                  <c:v>43641</c:v>
                </c:pt>
                <c:pt idx="1211">
                  <c:v>43642</c:v>
                </c:pt>
                <c:pt idx="1212">
                  <c:v>43643</c:v>
                </c:pt>
                <c:pt idx="1213">
                  <c:v>43644</c:v>
                </c:pt>
                <c:pt idx="1214">
                  <c:v>43645</c:v>
                </c:pt>
                <c:pt idx="1215">
                  <c:v>43646</c:v>
                </c:pt>
                <c:pt idx="1216">
                  <c:v>43647</c:v>
                </c:pt>
                <c:pt idx="1217">
                  <c:v>43648</c:v>
                </c:pt>
                <c:pt idx="1218">
                  <c:v>43649</c:v>
                </c:pt>
                <c:pt idx="1219">
                  <c:v>43650</c:v>
                </c:pt>
                <c:pt idx="1220">
                  <c:v>43651</c:v>
                </c:pt>
                <c:pt idx="1221">
                  <c:v>43652</c:v>
                </c:pt>
                <c:pt idx="1222">
                  <c:v>43653</c:v>
                </c:pt>
                <c:pt idx="1223">
                  <c:v>43654</c:v>
                </c:pt>
                <c:pt idx="1224">
                  <c:v>43655</c:v>
                </c:pt>
                <c:pt idx="1225">
                  <c:v>43656</c:v>
                </c:pt>
                <c:pt idx="1226">
                  <c:v>43657</c:v>
                </c:pt>
                <c:pt idx="1227">
                  <c:v>43658</c:v>
                </c:pt>
                <c:pt idx="1228">
                  <c:v>43659</c:v>
                </c:pt>
                <c:pt idx="1229">
                  <c:v>43660</c:v>
                </c:pt>
                <c:pt idx="1230">
                  <c:v>43661</c:v>
                </c:pt>
                <c:pt idx="1231">
                  <c:v>43662</c:v>
                </c:pt>
                <c:pt idx="1232">
                  <c:v>43663</c:v>
                </c:pt>
                <c:pt idx="1233">
                  <c:v>43664</c:v>
                </c:pt>
                <c:pt idx="1234">
                  <c:v>43665</c:v>
                </c:pt>
                <c:pt idx="1235">
                  <c:v>43666</c:v>
                </c:pt>
                <c:pt idx="1236">
                  <c:v>43667</c:v>
                </c:pt>
                <c:pt idx="1237">
                  <c:v>43668</c:v>
                </c:pt>
                <c:pt idx="1238">
                  <c:v>43669</c:v>
                </c:pt>
                <c:pt idx="1239">
                  <c:v>43670</c:v>
                </c:pt>
                <c:pt idx="1240">
                  <c:v>43671</c:v>
                </c:pt>
                <c:pt idx="1241">
                  <c:v>43672</c:v>
                </c:pt>
                <c:pt idx="1242">
                  <c:v>43673</c:v>
                </c:pt>
                <c:pt idx="1243">
                  <c:v>43674</c:v>
                </c:pt>
                <c:pt idx="1244">
                  <c:v>43675</c:v>
                </c:pt>
                <c:pt idx="1245">
                  <c:v>43676</c:v>
                </c:pt>
                <c:pt idx="1246">
                  <c:v>43677</c:v>
                </c:pt>
                <c:pt idx="1247">
                  <c:v>43678</c:v>
                </c:pt>
                <c:pt idx="1248">
                  <c:v>43679</c:v>
                </c:pt>
                <c:pt idx="1249">
                  <c:v>43680</c:v>
                </c:pt>
                <c:pt idx="1250">
                  <c:v>43681</c:v>
                </c:pt>
                <c:pt idx="1251">
                  <c:v>43682</c:v>
                </c:pt>
                <c:pt idx="1252">
                  <c:v>43683</c:v>
                </c:pt>
                <c:pt idx="1253">
                  <c:v>43684</c:v>
                </c:pt>
                <c:pt idx="1254">
                  <c:v>43685</c:v>
                </c:pt>
                <c:pt idx="1255">
                  <c:v>43686</c:v>
                </c:pt>
                <c:pt idx="1256">
                  <c:v>43687</c:v>
                </c:pt>
                <c:pt idx="1257">
                  <c:v>43688</c:v>
                </c:pt>
                <c:pt idx="1258">
                  <c:v>43689</c:v>
                </c:pt>
                <c:pt idx="1259">
                  <c:v>43690</c:v>
                </c:pt>
                <c:pt idx="1260">
                  <c:v>43691</c:v>
                </c:pt>
                <c:pt idx="1261">
                  <c:v>43692</c:v>
                </c:pt>
                <c:pt idx="1262">
                  <c:v>43693</c:v>
                </c:pt>
                <c:pt idx="1263">
                  <c:v>43694</c:v>
                </c:pt>
                <c:pt idx="1264">
                  <c:v>43695</c:v>
                </c:pt>
                <c:pt idx="1265">
                  <c:v>43696</c:v>
                </c:pt>
                <c:pt idx="1266">
                  <c:v>43697</c:v>
                </c:pt>
                <c:pt idx="1267">
                  <c:v>43698</c:v>
                </c:pt>
                <c:pt idx="1268">
                  <c:v>43699</c:v>
                </c:pt>
                <c:pt idx="1269">
                  <c:v>43700</c:v>
                </c:pt>
                <c:pt idx="1270">
                  <c:v>43701</c:v>
                </c:pt>
                <c:pt idx="1271">
                  <c:v>43702</c:v>
                </c:pt>
                <c:pt idx="1272">
                  <c:v>43703</c:v>
                </c:pt>
                <c:pt idx="1273">
                  <c:v>43704</c:v>
                </c:pt>
                <c:pt idx="1274">
                  <c:v>43705</c:v>
                </c:pt>
                <c:pt idx="1275">
                  <c:v>43706</c:v>
                </c:pt>
                <c:pt idx="1276">
                  <c:v>43707</c:v>
                </c:pt>
                <c:pt idx="1277">
                  <c:v>43708</c:v>
                </c:pt>
                <c:pt idx="1278">
                  <c:v>43709</c:v>
                </c:pt>
                <c:pt idx="1279">
                  <c:v>43710</c:v>
                </c:pt>
                <c:pt idx="1280">
                  <c:v>43711</c:v>
                </c:pt>
                <c:pt idx="1281">
                  <c:v>43712</c:v>
                </c:pt>
                <c:pt idx="1282">
                  <c:v>43713</c:v>
                </c:pt>
                <c:pt idx="1283">
                  <c:v>43714</c:v>
                </c:pt>
                <c:pt idx="1284">
                  <c:v>43715</c:v>
                </c:pt>
                <c:pt idx="1285">
                  <c:v>43716</c:v>
                </c:pt>
                <c:pt idx="1286">
                  <c:v>43717</c:v>
                </c:pt>
                <c:pt idx="1287">
                  <c:v>43718</c:v>
                </c:pt>
                <c:pt idx="1288">
                  <c:v>43719</c:v>
                </c:pt>
                <c:pt idx="1289">
                  <c:v>43720</c:v>
                </c:pt>
                <c:pt idx="1290">
                  <c:v>43721</c:v>
                </c:pt>
                <c:pt idx="1291">
                  <c:v>43722</c:v>
                </c:pt>
                <c:pt idx="1292">
                  <c:v>43723</c:v>
                </c:pt>
                <c:pt idx="1293">
                  <c:v>43724</c:v>
                </c:pt>
                <c:pt idx="1294">
                  <c:v>43725</c:v>
                </c:pt>
                <c:pt idx="1295">
                  <c:v>43726</c:v>
                </c:pt>
                <c:pt idx="1296">
                  <c:v>43727</c:v>
                </c:pt>
                <c:pt idx="1297">
                  <c:v>43728</c:v>
                </c:pt>
                <c:pt idx="1298">
                  <c:v>43729</c:v>
                </c:pt>
                <c:pt idx="1299">
                  <c:v>43730</c:v>
                </c:pt>
                <c:pt idx="1300">
                  <c:v>43731</c:v>
                </c:pt>
                <c:pt idx="1301">
                  <c:v>43732</c:v>
                </c:pt>
                <c:pt idx="1302">
                  <c:v>43733</c:v>
                </c:pt>
                <c:pt idx="1303">
                  <c:v>43734</c:v>
                </c:pt>
                <c:pt idx="1304">
                  <c:v>43735</c:v>
                </c:pt>
                <c:pt idx="1305">
                  <c:v>43736</c:v>
                </c:pt>
                <c:pt idx="1306">
                  <c:v>43737</c:v>
                </c:pt>
                <c:pt idx="1307">
                  <c:v>43738</c:v>
                </c:pt>
                <c:pt idx="1308">
                  <c:v>43739</c:v>
                </c:pt>
                <c:pt idx="1309">
                  <c:v>43740</c:v>
                </c:pt>
                <c:pt idx="1310">
                  <c:v>43741</c:v>
                </c:pt>
                <c:pt idx="1311">
                  <c:v>43742</c:v>
                </c:pt>
                <c:pt idx="1312">
                  <c:v>43743</c:v>
                </c:pt>
                <c:pt idx="1313">
                  <c:v>43744</c:v>
                </c:pt>
                <c:pt idx="1314">
                  <c:v>43745</c:v>
                </c:pt>
                <c:pt idx="1315">
                  <c:v>43746</c:v>
                </c:pt>
                <c:pt idx="1316">
                  <c:v>43747</c:v>
                </c:pt>
                <c:pt idx="1317">
                  <c:v>43748</c:v>
                </c:pt>
                <c:pt idx="1318">
                  <c:v>43749</c:v>
                </c:pt>
                <c:pt idx="1319">
                  <c:v>43750</c:v>
                </c:pt>
                <c:pt idx="1320">
                  <c:v>43751</c:v>
                </c:pt>
                <c:pt idx="1321">
                  <c:v>43752</c:v>
                </c:pt>
                <c:pt idx="1322">
                  <c:v>43753</c:v>
                </c:pt>
                <c:pt idx="1323">
                  <c:v>43754</c:v>
                </c:pt>
                <c:pt idx="1324">
                  <c:v>43755</c:v>
                </c:pt>
                <c:pt idx="1325">
                  <c:v>43756</c:v>
                </c:pt>
                <c:pt idx="1326">
                  <c:v>43757</c:v>
                </c:pt>
                <c:pt idx="1327">
                  <c:v>43758</c:v>
                </c:pt>
                <c:pt idx="1328">
                  <c:v>43759</c:v>
                </c:pt>
                <c:pt idx="1329">
                  <c:v>43760</c:v>
                </c:pt>
                <c:pt idx="1330">
                  <c:v>43761</c:v>
                </c:pt>
                <c:pt idx="1331">
                  <c:v>43762</c:v>
                </c:pt>
                <c:pt idx="1332">
                  <c:v>43763</c:v>
                </c:pt>
                <c:pt idx="1333">
                  <c:v>43764</c:v>
                </c:pt>
                <c:pt idx="1334">
                  <c:v>43765</c:v>
                </c:pt>
                <c:pt idx="1335">
                  <c:v>43766</c:v>
                </c:pt>
                <c:pt idx="1336">
                  <c:v>43767</c:v>
                </c:pt>
                <c:pt idx="1337">
                  <c:v>43768</c:v>
                </c:pt>
                <c:pt idx="1338">
                  <c:v>43769</c:v>
                </c:pt>
                <c:pt idx="1339">
                  <c:v>43770</c:v>
                </c:pt>
                <c:pt idx="1340">
                  <c:v>43771</c:v>
                </c:pt>
                <c:pt idx="1341">
                  <c:v>43772</c:v>
                </c:pt>
                <c:pt idx="1342">
                  <c:v>43773</c:v>
                </c:pt>
                <c:pt idx="1343">
                  <c:v>43774</c:v>
                </c:pt>
                <c:pt idx="1344">
                  <c:v>43775</c:v>
                </c:pt>
                <c:pt idx="1345">
                  <c:v>43776</c:v>
                </c:pt>
                <c:pt idx="1346">
                  <c:v>43777</c:v>
                </c:pt>
                <c:pt idx="1347">
                  <c:v>43778</c:v>
                </c:pt>
                <c:pt idx="1348">
                  <c:v>43779</c:v>
                </c:pt>
                <c:pt idx="1349">
                  <c:v>43780</c:v>
                </c:pt>
                <c:pt idx="1350">
                  <c:v>43781</c:v>
                </c:pt>
                <c:pt idx="1351">
                  <c:v>43782</c:v>
                </c:pt>
                <c:pt idx="1352">
                  <c:v>43783</c:v>
                </c:pt>
                <c:pt idx="1353">
                  <c:v>43784</c:v>
                </c:pt>
                <c:pt idx="1354">
                  <c:v>43785</c:v>
                </c:pt>
                <c:pt idx="1355">
                  <c:v>43786</c:v>
                </c:pt>
                <c:pt idx="1356">
                  <c:v>43787</c:v>
                </c:pt>
                <c:pt idx="1357">
                  <c:v>43788</c:v>
                </c:pt>
                <c:pt idx="1358">
                  <c:v>43789</c:v>
                </c:pt>
                <c:pt idx="1359">
                  <c:v>43790</c:v>
                </c:pt>
                <c:pt idx="1360">
                  <c:v>43791</c:v>
                </c:pt>
                <c:pt idx="1361">
                  <c:v>43792</c:v>
                </c:pt>
                <c:pt idx="1362">
                  <c:v>43793</c:v>
                </c:pt>
                <c:pt idx="1363">
                  <c:v>43794</c:v>
                </c:pt>
                <c:pt idx="1364">
                  <c:v>43795</c:v>
                </c:pt>
                <c:pt idx="1365">
                  <c:v>43796</c:v>
                </c:pt>
                <c:pt idx="1366">
                  <c:v>43797</c:v>
                </c:pt>
                <c:pt idx="1367">
                  <c:v>43798</c:v>
                </c:pt>
                <c:pt idx="1368">
                  <c:v>43799</c:v>
                </c:pt>
                <c:pt idx="1369">
                  <c:v>43800</c:v>
                </c:pt>
                <c:pt idx="1370">
                  <c:v>43801</c:v>
                </c:pt>
                <c:pt idx="1371">
                  <c:v>43802</c:v>
                </c:pt>
                <c:pt idx="1372">
                  <c:v>43803</c:v>
                </c:pt>
                <c:pt idx="1373">
                  <c:v>43804</c:v>
                </c:pt>
                <c:pt idx="1374">
                  <c:v>43805</c:v>
                </c:pt>
                <c:pt idx="1375">
                  <c:v>43806</c:v>
                </c:pt>
                <c:pt idx="1376">
                  <c:v>43807</c:v>
                </c:pt>
                <c:pt idx="1377">
                  <c:v>43808</c:v>
                </c:pt>
                <c:pt idx="1378">
                  <c:v>43809</c:v>
                </c:pt>
                <c:pt idx="1379">
                  <c:v>43810</c:v>
                </c:pt>
                <c:pt idx="1380">
                  <c:v>43811</c:v>
                </c:pt>
                <c:pt idx="1381">
                  <c:v>43812</c:v>
                </c:pt>
                <c:pt idx="1382">
                  <c:v>43813</c:v>
                </c:pt>
                <c:pt idx="1383">
                  <c:v>43814</c:v>
                </c:pt>
                <c:pt idx="1384">
                  <c:v>43815</c:v>
                </c:pt>
                <c:pt idx="1385">
                  <c:v>43816</c:v>
                </c:pt>
                <c:pt idx="1386">
                  <c:v>43817</c:v>
                </c:pt>
                <c:pt idx="1387">
                  <c:v>43818</c:v>
                </c:pt>
                <c:pt idx="1388">
                  <c:v>43819</c:v>
                </c:pt>
                <c:pt idx="1389">
                  <c:v>43820</c:v>
                </c:pt>
                <c:pt idx="1390">
                  <c:v>43821</c:v>
                </c:pt>
                <c:pt idx="1391">
                  <c:v>43822</c:v>
                </c:pt>
                <c:pt idx="1392">
                  <c:v>43823</c:v>
                </c:pt>
                <c:pt idx="1393">
                  <c:v>43824</c:v>
                </c:pt>
                <c:pt idx="1394">
                  <c:v>43825</c:v>
                </c:pt>
                <c:pt idx="1395">
                  <c:v>43826</c:v>
                </c:pt>
                <c:pt idx="1396">
                  <c:v>43827</c:v>
                </c:pt>
                <c:pt idx="1397">
                  <c:v>43828</c:v>
                </c:pt>
                <c:pt idx="1398">
                  <c:v>43829</c:v>
                </c:pt>
                <c:pt idx="1399">
                  <c:v>43830</c:v>
                </c:pt>
                <c:pt idx="1400">
                  <c:v>43831</c:v>
                </c:pt>
                <c:pt idx="1401">
                  <c:v>43832</c:v>
                </c:pt>
                <c:pt idx="1402">
                  <c:v>43833</c:v>
                </c:pt>
                <c:pt idx="1403">
                  <c:v>43834</c:v>
                </c:pt>
                <c:pt idx="1404">
                  <c:v>43835</c:v>
                </c:pt>
                <c:pt idx="1405">
                  <c:v>43836</c:v>
                </c:pt>
                <c:pt idx="1406">
                  <c:v>43837</c:v>
                </c:pt>
                <c:pt idx="1407">
                  <c:v>43838</c:v>
                </c:pt>
                <c:pt idx="1408">
                  <c:v>43839</c:v>
                </c:pt>
                <c:pt idx="1409">
                  <c:v>43840</c:v>
                </c:pt>
                <c:pt idx="1410">
                  <c:v>43841</c:v>
                </c:pt>
                <c:pt idx="1411">
                  <c:v>43842</c:v>
                </c:pt>
                <c:pt idx="1412">
                  <c:v>43843</c:v>
                </c:pt>
                <c:pt idx="1413">
                  <c:v>43844</c:v>
                </c:pt>
                <c:pt idx="1414">
                  <c:v>43845</c:v>
                </c:pt>
                <c:pt idx="1415">
                  <c:v>43846</c:v>
                </c:pt>
                <c:pt idx="1416">
                  <c:v>43847</c:v>
                </c:pt>
                <c:pt idx="1417">
                  <c:v>43848</c:v>
                </c:pt>
                <c:pt idx="1418">
                  <c:v>43849</c:v>
                </c:pt>
                <c:pt idx="1419">
                  <c:v>43850</c:v>
                </c:pt>
                <c:pt idx="1420">
                  <c:v>43851</c:v>
                </c:pt>
                <c:pt idx="1421">
                  <c:v>43852</c:v>
                </c:pt>
                <c:pt idx="1422">
                  <c:v>43853</c:v>
                </c:pt>
                <c:pt idx="1423">
                  <c:v>43854</c:v>
                </c:pt>
                <c:pt idx="1424">
                  <c:v>43855</c:v>
                </c:pt>
                <c:pt idx="1425">
                  <c:v>43856</c:v>
                </c:pt>
                <c:pt idx="1426">
                  <c:v>43857</c:v>
                </c:pt>
                <c:pt idx="1427">
                  <c:v>43858</c:v>
                </c:pt>
                <c:pt idx="1428">
                  <c:v>43859</c:v>
                </c:pt>
                <c:pt idx="1429">
                  <c:v>43860</c:v>
                </c:pt>
                <c:pt idx="1430">
                  <c:v>43861</c:v>
                </c:pt>
                <c:pt idx="1431">
                  <c:v>43862</c:v>
                </c:pt>
                <c:pt idx="1432">
                  <c:v>43863</c:v>
                </c:pt>
                <c:pt idx="1433">
                  <c:v>43864</c:v>
                </c:pt>
                <c:pt idx="1434">
                  <c:v>43865</c:v>
                </c:pt>
                <c:pt idx="1435">
                  <c:v>43866</c:v>
                </c:pt>
                <c:pt idx="1436">
                  <c:v>43867</c:v>
                </c:pt>
                <c:pt idx="1437">
                  <c:v>43868</c:v>
                </c:pt>
                <c:pt idx="1438">
                  <c:v>43869</c:v>
                </c:pt>
                <c:pt idx="1439">
                  <c:v>43870</c:v>
                </c:pt>
                <c:pt idx="1440">
                  <c:v>43871</c:v>
                </c:pt>
                <c:pt idx="1441">
                  <c:v>43872</c:v>
                </c:pt>
                <c:pt idx="1442">
                  <c:v>43873</c:v>
                </c:pt>
                <c:pt idx="1443">
                  <c:v>43874</c:v>
                </c:pt>
                <c:pt idx="1444">
                  <c:v>43875</c:v>
                </c:pt>
                <c:pt idx="1445">
                  <c:v>43876</c:v>
                </c:pt>
                <c:pt idx="1446">
                  <c:v>43877</c:v>
                </c:pt>
                <c:pt idx="1447">
                  <c:v>43878</c:v>
                </c:pt>
                <c:pt idx="1448">
                  <c:v>43879</c:v>
                </c:pt>
                <c:pt idx="1449">
                  <c:v>43880</c:v>
                </c:pt>
                <c:pt idx="1450">
                  <c:v>43881</c:v>
                </c:pt>
                <c:pt idx="1451">
                  <c:v>43882</c:v>
                </c:pt>
                <c:pt idx="1452">
                  <c:v>43883</c:v>
                </c:pt>
                <c:pt idx="1453">
                  <c:v>43884</c:v>
                </c:pt>
                <c:pt idx="1454">
                  <c:v>43885</c:v>
                </c:pt>
                <c:pt idx="1455">
                  <c:v>43886</c:v>
                </c:pt>
                <c:pt idx="1456">
                  <c:v>43887</c:v>
                </c:pt>
                <c:pt idx="1457">
                  <c:v>43888</c:v>
                </c:pt>
                <c:pt idx="1458">
                  <c:v>43889</c:v>
                </c:pt>
                <c:pt idx="1459">
                  <c:v>43890</c:v>
                </c:pt>
                <c:pt idx="1460">
                  <c:v>43891</c:v>
                </c:pt>
                <c:pt idx="1461">
                  <c:v>43892</c:v>
                </c:pt>
                <c:pt idx="1462">
                  <c:v>43893</c:v>
                </c:pt>
                <c:pt idx="1463">
                  <c:v>43894</c:v>
                </c:pt>
                <c:pt idx="1464">
                  <c:v>43895</c:v>
                </c:pt>
                <c:pt idx="1465">
                  <c:v>43896</c:v>
                </c:pt>
                <c:pt idx="1466">
                  <c:v>43897</c:v>
                </c:pt>
                <c:pt idx="1467">
                  <c:v>43898</c:v>
                </c:pt>
                <c:pt idx="1468">
                  <c:v>43899</c:v>
                </c:pt>
                <c:pt idx="1469">
                  <c:v>43900</c:v>
                </c:pt>
                <c:pt idx="1470">
                  <c:v>43901</c:v>
                </c:pt>
                <c:pt idx="1471">
                  <c:v>43902</c:v>
                </c:pt>
                <c:pt idx="1472">
                  <c:v>43903</c:v>
                </c:pt>
                <c:pt idx="1473">
                  <c:v>43904</c:v>
                </c:pt>
                <c:pt idx="1474">
                  <c:v>43905</c:v>
                </c:pt>
                <c:pt idx="1475">
                  <c:v>43906</c:v>
                </c:pt>
                <c:pt idx="1476">
                  <c:v>43907</c:v>
                </c:pt>
                <c:pt idx="1477">
                  <c:v>43908</c:v>
                </c:pt>
                <c:pt idx="1478">
                  <c:v>43909</c:v>
                </c:pt>
                <c:pt idx="1479">
                  <c:v>43910</c:v>
                </c:pt>
                <c:pt idx="1480">
                  <c:v>43911</c:v>
                </c:pt>
                <c:pt idx="1481">
                  <c:v>43912</c:v>
                </c:pt>
                <c:pt idx="1482">
                  <c:v>43913</c:v>
                </c:pt>
                <c:pt idx="1483">
                  <c:v>43914</c:v>
                </c:pt>
                <c:pt idx="1484">
                  <c:v>43915</c:v>
                </c:pt>
                <c:pt idx="1485">
                  <c:v>43916</c:v>
                </c:pt>
                <c:pt idx="1486">
                  <c:v>43917</c:v>
                </c:pt>
                <c:pt idx="1487">
                  <c:v>43918</c:v>
                </c:pt>
                <c:pt idx="1488">
                  <c:v>43919</c:v>
                </c:pt>
                <c:pt idx="1489">
                  <c:v>43920</c:v>
                </c:pt>
                <c:pt idx="1490">
                  <c:v>43921</c:v>
                </c:pt>
                <c:pt idx="1491">
                  <c:v>43922</c:v>
                </c:pt>
                <c:pt idx="1492">
                  <c:v>43923</c:v>
                </c:pt>
                <c:pt idx="1493">
                  <c:v>43924</c:v>
                </c:pt>
                <c:pt idx="1494">
                  <c:v>43925</c:v>
                </c:pt>
                <c:pt idx="1495">
                  <c:v>43926</c:v>
                </c:pt>
                <c:pt idx="1496">
                  <c:v>43927</c:v>
                </c:pt>
                <c:pt idx="1497">
                  <c:v>43928</c:v>
                </c:pt>
                <c:pt idx="1498">
                  <c:v>43929</c:v>
                </c:pt>
                <c:pt idx="1499">
                  <c:v>43930</c:v>
                </c:pt>
                <c:pt idx="1500">
                  <c:v>43931</c:v>
                </c:pt>
                <c:pt idx="1501">
                  <c:v>43932</c:v>
                </c:pt>
                <c:pt idx="1502">
                  <c:v>43933</c:v>
                </c:pt>
                <c:pt idx="1503">
                  <c:v>43934</c:v>
                </c:pt>
                <c:pt idx="1504">
                  <c:v>43935</c:v>
                </c:pt>
                <c:pt idx="1505">
                  <c:v>43936</c:v>
                </c:pt>
                <c:pt idx="1506">
                  <c:v>43937</c:v>
                </c:pt>
                <c:pt idx="1507">
                  <c:v>43938</c:v>
                </c:pt>
                <c:pt idx="1508">
                  <c:v>43939</c:v>
                </c:pt>
                <c:pt idx="1509">
                  <c:v>43940</c:v>
                </c:pt>
                <c:pt idx="1510">
                  <c:v>43941</c:v>
                </c:pt>
                <c:pt idx="1511">
                  <c:v>43942</c:v>
                </c:pt>
                <c:pt idx="1512">
                  <c:v>43943</c:v>
                </c:pt>
                <c:pt idx="1513">
                  <c:v>43944</c:v>
                </c:pt>
                <c:pt idx="1514">
                  <c:v>43945</c:v>
                </c:pt>
                <c:pt idx="1515">
                  <c:v>43946</c:v>
                </c:pt>
                <c:pt idx="1516">
                  <c:v>43947</c:v>
                </c:pt>
                <c:pt idx="1517">
                  <c:v>43948</c:v>
                </c:pt>
                <c:pt idx="1518">
                  <c:v>43949</c:v>
                </c:pt>
                <c:pt idx="1519">
                  <c:v>43950</c:v>
                </c:pt>
                <c:pt idx="1520">
                  <c:v>43951</c:v>
                </c:pt>
                <c:pt idx="1521">
                  <c:v>43952</c:v>
                </c:pt>
                <c:pt idx="1522">
                  <c:v>43953</c:v>
                </c:pt>
                <c:pt idx="1523">
                  <c:v>43954</c:v>
                </c:pt>
                <c:pt idx="1524">
                  <c:v>43955</c:v>
                </c:pt>
                <c:pt idx="1525">
                  <c:v>43956</c:v>
                </c:pt>
                <c:pt idx="1526">
                  <c:v>43957</c:v>
                </c:pt>
                <c:pt idx="1527">
                  <c:v>43958</c:v>
                </c:pt>
                <c:pt idx="1528">
                  <c:v>43959</c:v>
                </c:pt>
                <c:pt idx="1529">
                  <c:v>43960</c:v>
                </c:pt>
                <c:pt idx="1530">
                  <c:v>43961</c:v>
                </c:pt>
                <c:pt idx="1531">
                  <c:v>43962</c:v>
                </c:pt>
                <c:pt idx="1532">
                  <c:v>43963</c:v>
                </c:pt>
                <c:pt idx="1533">
                  <c:v>43964</c:v>
                </c:pt>
                <c:pt idx="1534">
                  <c:v>43965</c:v>
                </c:pt>
                <c:pt idx="1535">
                  <c:v>43966</c:v>
                </c:pt>
                <c:pt idx="1536">
                  <c:v>43967</c:v>
                </c:pt>
                <c:pt idx="1537">
                  <c:v>43968</c:v>
                </c:pt>
                <c:pt idx="1538">
                  <c:v>43969</c:v>
                </c:pt>
                <c:pt idx="1539">
                  <c:v>43970</c:v>
                </c:pt>
                <c:pt idx="1540">
                  <c:v>43971</c:v>
                </c:pt>
                <c:pt idx="1541">
                  <c:v>43972</c:v>
                </c:pt>
                <c:pt idx="1542">
                  <c:v>43973</c:v>
                </c:pt>
                <c:pt idx="1543">
                  <c:v>43974</c:v>
                </c:pt>
                <c:pt idx="1544">
                  <c:v>43975</c:v>
                </c:pt>
                <c:pt idx="1545">
                  <c:v>43976</c:v>
                </c:pt>
                <c:pt idx="1546">
                  <c:v>43977</c:v>
                </c:pt>
                <c:pt idx="1547">
                  <c:v>43978</c:v>
                </c:pt>
                <c:pt idx="1548">
                  <c:v>43979</c:v>
                </c:pt>
                <c:pt idx="1549">
                  <c:v>43980</c:v>
                </c:pt>
                <c:pt idx="1550">
                  <c:v>43981</c:v>
                </c:pt>
                <c:pt idx="1551">
                  <c:v>43982</c:v>
                </c:pt>
                <c:pt idx="1552">
                  <c:v>43983</c:v>
                </c:pt>
                <c:pt idx="1553">
                  <c:v>43984</c:v>
                </c:pt>
                <c:pt idx="1554">
                  <c:v>43985</c:v>
                </c:pt>
                <c:pt idx="1555">
                  <c:v>43986</c:v>
                </c:pt>
                <c:pt idx="1556">
                  <c:v>43987</c:v>
                </c:pt>
                <c:pt idx="1557">
                  <c:v>43988</c:v>
                </c:pt>
                <c:pt idx="1558">
                  <c:v>43989</c:v>
                </c:pt>
                <c:pt idx="1559">
                  <c:v>43990</c:v>
                </c:pt>
                <c:pt idx="1560">
                  <c:v>43991</c:v>
                </c:pt>
                <c:pt idx="1561">
                  <c:v>43992</c:v>
                </c:pt>
                <c:pt idx="1562">
                  <c:v>43993</c:v>
                </c:pt>
                <c:pt idx="1563">
                  <c:v>43994</c:v>
                </c:pt>
                <c:pt idx="1564">
                  <c:v>43995</c:v>
                </c:pt>
                <c:pt idx="1565">
                  <c:v>43996</c:v>
                </c:pt>
                <c:pt idx="1566">
                  <c:v>43997</c:v>
                </c:pt>
                <c:pt idx="1567">
                  <c:v>43998</c:v>
                </c:pt>
                <c:pt idx="1568">
                  <c:v>43999</c:v>
                </c:pt>
                <c:pt idx="1569">
                  <c:v>44000</c:v>
                </c:pt>
                <c:pt idx="1570">
                  <c:v>44001</c:v>
                </c:pt>
                <c:pt idx="1571">
                  <c:v>44002</c:v>
                </c:pt>
                <c:pt idx="1572">
                  <c:v>44003</c:v>
                </c:pt>
                <c:pt idx="1573">
                  <c:v>44004</c:v>
                </c:pt>
                <c:pt idx="1574">
                  <c:v>44005</c:v>
                </c:pt>
                <c:pt idx="1575">
                  <c:v>44006</c:v>
                </c:pt>
                <c:pt idx="1576">
                  <c:v>44007</c:v>
                </c:pt>
                <c:pt idx="1577">
                  <c:v>44008</c:v>
                </c:pt>
                <c:pt idx="1578">
                  <c:v>44009</c:v>
                </c:pt>
                <c:pt idx="1579">
                  <c:v>44010</c:v>
                </c:pt>
                <c:pt idx="1580">
                  <c:v>44011</c:v>
                </c:pt>
                <c:pt idx="1581">
                  <c:v>44012</c:v>
                </c:pt>
                <c:pt idx="1582">
                  <c:v>44013</c:v>
                </c:pt>
                <c:pt idx="1583">
                  <c:v>44014</c:v>
                </c:pt>
                <c:pt idx="1584">
                  <c:v>44015</c:v>
                </c:pt>
                <c:pt idx="1585">
                  <c:v>44016</c:v>
                </c:pt>
                <c:pt idx="1586">
                  <c:v>44017</c:v>
                </c:pt>
                <c:pt idx="1587">
                  <c:v>44018</c:v>
                </c:pt>
                <c:pt idx="1588">
                  <c:v>44019</c:v>
                </c:pt>
                <c:pt idx="1589">
                  <c:v>44020</c:v>
                </c:pt>
                <c:pt idx="1590">
                  <c:v>44021</c:v>
                </c:pt>
                <c:pt idx="1591">
                  <c:v>44022</c:v>
                </c:pt>
                <c:pt idx="1592">
                  <c:v>44023</c:v>
                </c:pt>
                <c:pt idx="1593">
                  <c:v>44024</c:v>
                </c:pt>
                <c:pt idx="1594">
                  <c:v>44025</c:v>
                </c:pt>
                <c:pt idx="1595">
                  <c:v>44026</c:v>
                </c:pt>
                <c:pt idx="1596">
                  <c:v>44027</c:v>
                </c:pt>
                <c:pt idx="1597">
                  <c:v>44028</c:v>
                </c:pt>
                <c:pt idx="1598">
                  <c:v>44029</c:v>
                </c:pt>
                <c:pt idx="1599">
                  <c:v>44030</c:v>
                </c:pt>
                <c:pt idx="1600">
                  <c:v>44031</c:v>
                </c:pt>
                <c:pt idx="1601">
                  <c:v>44032</c:v>
                </c:pt>
                <c:pt idx="1602">
                  <c:v>44033</c:v>
                </c:pt>
                <c:pt idx="1603">
                  <c:v>44034</c:v>
                </c:pt>
                <c:pt idx="1604">
                  <c:v>44035</c:v>
                </c:pt>
                <c:pt idx="1605">
                  <c:v>44036</c:v>
                </c:pt>
                <c:pt idx="1606">
                  <c:v>44037</c:v>
                </c:pt>
                <c:pt idx="1607">
                  <c:v>44038</c:v>
                </c:pt>
                <c:pt idx="1608">
                  <c:v>44039</c:v>
                </c:pt>
                <c:pt idx="1609">
                  <c:v>44040</c:v>
                </c:pt>
                <c:pt idx="1610">
                  <c:v>44041</c:v>
                </c:pt>
                <c:pt idx="1611">
                  <c:v>44042</c:v>
                </c:pt>
                <c:pt idx="1612">
                  <c:v>44043</c:v>
                </c:pt>
                <c:pt idx="1613">
                  <c:v>44044</c:v>
                </c:pt>
                <c:pt idx="1614">
                  <c:v>44045</c:v>
                </c:pt>
                <c:pt idx="1615">
                  <c:v>44046</c:v>
                </c:pt>
                <c:pt idx="1616">
                  <c:v>44047</c:v>
                </c:pt>
                <c:pt idx="1617">
                  <c:v>44048</c:v>
                </c:pt>
                <c:pt idx="1618">
                  <c:v>44049</c:v>
                </c:pt>
                <c:pt idx="1619">
                  <c:v>44050</c:v>
                </c:pt>
                <c:pt idx="1620">
                  <c:v>44051</c:v>
                </c:pt>
                <c:pt idx="1621">
                  <c:v>44052</c:v>
                </c:pt>
                <c:pt idx="1622">
                  <c:v>44053</c:v>
                </c:pt>
                <c:pt idx="1623">
                  <c:v>44054</c:v>
                </c:pt>
                <c:pt idx="1624">
                  <c:v>44055</c:v>
                </c:pt>
                <c:pt idx="1625">
                  <c:v>44056</c:v>
                </c:pt>
                <c:pt idx="1626">
                  <c:v>44057</c:v>
                </c:pt>
                <c:pt idx="1627">
                  <c:v>44058</c:v>
                </c:pt>
                <c:pt idx="1628">
                  <c:v>44059</c:v>
                </c:pt>
                <c:pt idx="1629">
                  <c:v>44060</c:v>
                </c:pt>
                <c:pt idx="1630">
                  <c:v>44061</c:v>
                </c:pt>
                <c:pt idx="1631">
                  <c:v>44062</c:v>
                </c:pt>
                <c:pt idx="1632">
                  <c:v>44063</c:v>
                </c:pt>
                <c:pt idx="1633">
                  <c:v>44064</c:v>
                </c:pt>
                <c:pt idx="1634">
                  <c:v>44065</c:v>
                </c:pt>
                <c:pt idx="1635">
                  <c:v>44066</c:v>
                </c:pt>
                <c:pt idx="1636">
                  <c:v>44067</c:v>
                </c:pt>
                <c:pt idx="1637">
                  <c:v>44068</c:v>
                </c:pt>
                <c:pt idx="1638">
                  <c:v>44069</c:v>
                </c:pt>
                <c:pt idx="1639">
                  <c:v>44070</c:v>
                </c:pt>
                <c:pt idx="1640">
                  <c:v>44071</c:v>
                </c:pt>
                <c:pt idx="1641">
                  <c:v>44072</c:v>
                </c:pt>
                <c:pt idx="1642">
                  <c:v>44073</c:v>
                </c:pt>
                <c:pt idx="1643">
                  <c:v>44074</c:v>
                </c:pt>
                <c:pt idx="1644">
                  <c:v>44075</c:v>
                </c:pt>
                <c:pt idx="1645">
                  <c:v>44076</c:v>
                </c:pt>
                <c:pt idx="1646">
                  <c:v>44077</c:v>
                </c:pt>
                <c:pt idx="1647">
                  <c:v>44078</c:v>
                </c:pt>
                <c:pt idx="1648">
                  <c:v>44079</c:v>
                </c:pt>
                <c:pt idx="1649">
                  <c:v>44080</c:v>
                </c:pt>
                <c:pt idx="1650">
                  <c:v>44081</c:v>
                </c:pt>
                <c:pt idx="1651">
                  <c:v>44082</c:v>
                </c:pt>
                <c:pt idx="1652">
                  <c:v>44083</c:v>
                </c:pt>
                <c:pt idx="1653">
                  <c:v>44084</c:v>
                </c:pt>
                <c:pt idx="1654">
                  <c:v>44085</c:v>
                </c:pt>
                <c:pt idx="1655">
                  <c:v>44086</c:v>
                </c:pt>
                <c:pt idx="1656">
                  <c:v>44087</c:v>
                </c:pt>
                <c:pt idx="1657">
                  <c:v>44088</c:v>
                </c:pt>
                <c:pt idx="1658">
                  <c:v>44089</c:v>
                </c:pt>
                <c:pt idx="1659">
                  <c:v>44090</c:v>
                </c:pt>
                <c:pt idx="1660">
                  <c:v>44091</c:v>
                </c:pt>
                <c:pt idx="1661">
                  <c:v>44092</c:v>
                </c:pt>
                <c:pt idx="1662">
                  <c:v>44093</c:v>
                </c:pt>
                <c:pt idx="1663">
                  <c:v>44094</c:v>
                </c:pt>
                <c:pt idx="1664">
                  <c:v>44095</c:v>
                </c:pt>
                <c:pt idx="1665">
                  <c:v>44096</c:v>
                </c:pt>
                <c:pt idx="1666">
                  <c:v>44097</c:v>
                </c:pt>
                <c:pt idx="1667">
                  <c:v>44098</c:v>
                </c:pt>
                <c:pt idx="1668">
                  <c:v>44099</c:v>
                </c:pt>
                <c:pt idx="1669">
                  <c:v>44100</c:v>
                </c:pt>
                <c:pt idx="1670">
                  <c:v>44101</c:v>
                </c:pt>
                <c:pt idx="1671">
                  <c:v>44102</c:v>
                </c:pt>
                <c:pt idx="1672">
                  <c:v>44103</c:v>
                </c:pt>
                <c:pt idx="1673">
                  <c:v>44104</c:v>
                </c:pt>
                <c:pt idx="1674">
                  <c:v>44105</c:v>
                </c:pt>
                <c:pt idx="1675">
                  <c:v>44106</c:v>
                </c:pt>
                <c:pt idx="1676">
                  <c:v>44107</c:v>
                </c:pt>
                <c:pt idx="1677">
                  <c:v>44108</c:v>
                </c:pt>
                <c:pt idx="1678">
                  <c:v>44109</c:v>
                </c:pt>
                <c:pt idx="1679">
                  <c:v>44110</c:v>
                </c:pt>
                <c:pt idx="1680">
                  <c:v>44111</c:v>
                </c:pt>
                <c:pt idx="1681">
                  <c:v>44112</c:v>
                </c:pt>
                <c:pt idx="1682">
                  <c:v>44113</c:v>
                </c:pt>
                <c:pt idx="1683">
                  <c:v>44114</c:v>
                </c:pt>
                <c:pt idx="1684">
                  <c:v>44115</c:v>
                </c:pt>
                <c:pt idx="1685">
                  <c:v>44116</c:v>
                </c:pt>
                <c:pt idx="1686">
                  <c:v>44117</c:v>
                </c:pt>
                <c:pt idx="1687">
                  <c:v>44118</c:v>
                </c:pt>
                <c:pt idx="1688">
                  <c:v>44119</c:v>
                </c:pt>
                <c:pt idx="1689">
                  <c:v>44120</c:v>
                </c:pt>
                <c:pt idx="1690">
                  <c:v>44121</c:v>
                </c:pt>
                <c:pt idx="1691">
                  <c:v>44122</c:v>
                </c:pt>
                <c:pt idx="1692">
                  <c:v>44123</c:v>
                </c:pt>
                <c:pt idx="1693">
                  <c:v>44124</c:v>
                </c:pt>
                <c:pt idx="1694">
                  <c:v>44125</c:v>
                </c:pt>
                <c:pt idx="1695">
                  <c:v>44126</c:v>
                </c:pt>
                <c:pt idx="1696">
                  <c:v>44127</c:v>
                </c:pt>
                <c:pt idx="1697">
                  <c:v>44128</c:v>
                </c:pt>
                <c:pt idx="1698">
                  <c:v>44129</c:v>
                </c:pt>
                <c:pt idx="1699">
                  <c:v>44130</c:v>
                </c:pt>
                <c:pt idx="1700">
                  <c:v>44131</c:v>
                </c:pt>
                <c:pt idx="1701">
                  <c:v>44132</c:v>
                </c:pt>
                <c:pt idx="1702">
                  <c:v>44133</c:v>
                </c:pt>
                <c:pt idx="1703">
                  <c:v>44134</c:v>
                </c:pt>
                <c:pt idx="1704">
                  <c:v>44135</c:v>
                </c:pt>
                <c:pt idx="1705">
                  <c:v>44136</c:v>
                </c:pt>
                <c:pt idx="1706">
                  <c:v>44137</c:v>
                </c:pt>
                <c:pt idx="1707">
                  <c:v>44138</c:v>
                </c:pt>
                <c:pt idx="1708">
                  <c:v>44139</c:v>
                </c:pt>
                <c:pt idx="1709">
                  <c:v>44140</c:v>
                </c:pt>
                <c:pt idx="1710">
                  <c:v>44141</c:v>
                </c:pt>
                <c:pt idx="1711">
                  <c:v>44142</c:v>
                </c:pt>
                <c:pt idx="1712">
                  <c:v>44143</c:v>
                </c:pt>
                <c:pt idx="1713">
                  <c:v>44144</c:v>
                </c:pt>
                <c:pt idx="1714">
                  <c:v>44145</c:v>
                </c:pt>
                <c:pt idx="1715">
                  <c:v>44146</c:v>
                </c:pt>
                <c:pt idx="1716">
                  <c:v>44147</c:v>
                </c:pt>
                <c:pt idx="1717">
                  <c:v>44148</c:v>
                </c:pt>
                <c:pt idx="1718">
                  <c:v>44149</c:v>
                </c:pt>
                <c:pt idx="1719">
                  <c:v>44150</c:v>
                </c:pt>
                <c:pt idx="1720">
                  <c:v>44151</c:v>
                </c:pt>
                <c:pt idx="1721">
                  <c:v>44152</c:v>
                </c:pt>
                <c:pt idx="1722">
                  <c:v>44153</c:v>
                </c:pt>
                <c:pt idx="1723">
                  <c:v>44154</c:v>
                </c:pt>
                <c:pt idx="1724">
                  <c:v>44155</c:v>
                </c:pt>
                <c:pt idx="1725">
                  <c:v>44156</c:v>
                </c:pt>
                <c:pt idx="1726">
                  <c:v>44157</c:v>
                </c:pt>
                <c:pt idx="1727">
                  <c:v>44158</c:v>
                </c:pt>
                <c:pt idx="1728">
                  <c:v>44159</c:v>
                </c:pt>
                <c:pt idx="1729">
                  <c:v>44160</c:v>
                </c:pt>
                <c:pt idx="1730">
                  <c:v>44161</c:v>
                </c:pt>
                <c:pt idx="1731">
                  <c:v>44162</c:v>
                </c:pt>
                <c:pt idx="1732">
                  <c:v>44163</c:v>
                </c:pt>
                <c:pt idx="1733">
                  <c:v>44164</c:v>
                </c:pt>
                <c:pt idx="1734">
                  <c:v>44165</c:v>
                </c:pt>
                <c:pt idx="1735">
                  <c:v>44166</c:v>
                </c:pt>
                <c:pt idx="1736">
                  <c:v>44167</c:v>
                </c:pt>
                <c:pt idx="1737">
                  <c:v>44168</c:v>
                </c:pt>
                <c:pt idx="1738">
                  <c:v>44169</c:v>
                </c:pt>
                <c:pt idx="1739">
                  <c:v>44170</c:v>
                </c:pt>
                <c:pt idx="1740">
                  <c:v>44171</c:v>
                </c:pt>
                <c:pt idx="1741">
                  <c:v>44172</c:v>
                </c:pt>
                <c:pt idx="1742">
                  <c:v>44173</c:v>
                </c:pt>
                <c:pt idx="1743">
                  <c:v>44174</c:v>
                </c:pt>
                <c:pt idx="1744">
                  <c:v>44175</c:v>
                </c:pt>
                <c:pt idx="1745">
                  <c:v>44176</c:v>
                </c:pt>
                <c:pt idx="1746">
                  <c:v>44177</c:v>
                </c:pt>
                <c:pt idx="1747">
                  <c:v>44178</c:v>
                </c:pt>
                <c:pt idx="1748">
                  <c:v>44179</c:v>
                </c:pt>
                <c:pt idx="1749">
                  <c:v>44180</c:v>
                </c:pt>
                <c:pt idx="1750">
                  <c:v>44181</c:v>
                </c:pt>
                <c:pt idx="1751">
                  <c:v>44182</c:v>
                </c:pt>
                <c:pt idx="1752">
                  <c:v>44183</c:v>
                </c:pt>
                <c:pt idx="1753">
                  <c:v>44184</c:v>
                </c:pt>
                <c:pt idx="1754">
                  <c:v>44185</c:v>
                </c:pt>
                <c:pt idx="1755">
                  <c:v>44186</c:v>
                </c:pt>
                <c:pt idx="1756">
                  <c:v>44187</c:v>
                </c:pt>
                <c:pt idx="1757">
                  <c:v>44188</c:v>
                </c:pt>
                <c:pt idx="1758">
                  <c:v>44189</c:v>
                </c:pt>
                <c:pt idx="1759">
                  <c:v>44190</c:v>
                </c:pt>
                <c:pt idx="1760">
                  <c:v>44191</c:v>
                </c:pt>
                <c:pt idx="1761">
                  <c:v>44192</c:v>
                </c:pt>
                <c:pt idx="1762">
                  <c:v>44193</c:v>
                </c:pt>
                <c:pt idx="1763">
                  <c:v>44194</c:v>
                </c:pt>
                <c:pt idx="1764">
                  <c:v>44195</c:v>
                </c:pt>
                <c:pt idx="1765">
                  <c:v>44196</c:v>
                </c:pt>
                <c:pt idx="1766">
                  <c:v>44197</c:v>
                </c:pt>
                <c:pt idx="1767">
                  <c:v>44198</c:v>
                </c:pt>
                <c:pt idx="1768">
                  <c:v>44199</c:v>
                </c:pt>
                <c:pt idx="1769">
                  <c:v>44200</c:v>
                </c:pt>
                <c:pt idx="1770">
                  <c:v>44201</c:v>
                </c:pt>
                <c:pt idx="1771">
                  <c:v>44202</c:v>
                </c:pt>
                <c:pt idx="1772">
                  <c:v>44203</c:v>
                </c:pt>
                <c:pt idx="1773">
                  <c:v>44204</c:v>
                </c:pt>
                <c:pt idx="1774">
                  <c:v>44205</c:v>
                </c:pt>
                <c:pt idx="1775">
                  <c:v>44206</c:v>
                </c:pt>
                <c:pt idx="1776">
                  <c:v>44207</c:v>
                </c:pt>
                <c:pt idx="1777">
                  <c:v>44208</c:v>
                </c:pt>
                <c:pt idx="1778">
                  <c:v>44209</c:v>
                </c:pt>
                <c:pt idx="1779">
                  <c:v>44210</c:v>
                </c:pt>
                <c:pt idx="1780">
                  <c:v>44211</c:v>
                </c:pt>
                <c:pt idx="1781">
                  <c:v>44212</c:v>
                </c:pt>
                <c:pt idx="1782">
                  <c:v>44213</c:v>
                </c:pt>
                <c:pt idx="1783">
                  <c:v>44214</c:v>
                </c:pt>
                <c:pt idx="1784">
                  <c:v>44215</c:v>
                </c:pt>
                <c:pt idx="1785">
                  <c:v>44216</c:v>
                </c:pt>
                <c:pt idx="1786">
                  <c:v>44217</c:v>
                </c:pt>
                <c:pt idx="1787">
                  <c:v>44218</c:v>
                </c:pt>
                <c:pt idx="1788">
                  <c:v>44219</c:v>
                </c:pt>
                <c:pt idx="1789">
                  <c:v>44220</c:v>
                </c:pt>
                <c:pt idx="1790">
                  <c:v>44221</c:v>
                </c:pt>
                <c:pt idx="1791">
                  <c:v>44222</c:v>
                </c:pt>
                <c:pt idx="1792">
                  <c:v>44223</c:v>
                </c:pt>
                <c:pt idx="1793">
                  <c:v>44224</c:v>
                </c:pt>
                <c:pt idx="1794">
                  <c:v>44225</c:v>
                </c:pt>
                <c:pt idx="1795">
                  <c:v>44226</c:v>
                </c:pt>
                <c:pt idx="1796">
                  <c:v>44227</c:v>
                </c:pt>
                <c:pt idx="1797">
                  <c:v>44228</c:v>
                </c:pt>
                <c:pt idx="1798">
                  <c:v>44229</c:v>
                </c:pt>
                <c:pt idx="1799">
                  <c:v>44230</c:v>
                </c:pt>
                <c:pt idx="1800">
                  <c:v>44231</c:v>
                </c:pt>
                <c:pt idx="1801">
                  <c:v>44232</c:v>
                </c:pt>
                <c:pt idx="1802">
                  <c:v>44233</c:v>
                </c:pt>
                <c:pt idx="1803">
                  <c:v>44234</c:v>
                </c:pt>
                <c:pt idx="1804">
                  <c:v>44235</c:v>
                </c:pt>
                <c:pt idx="1805">
                  <c:v>44236</c:v>
                </c:pt>
                <c:pt idx="1806">
                  <c:v>44237</c:v>
                </c:pt>
                <c:pt idx="1807">
                  <c:v>44238</c:v>
                </c:pt>
                <c:pt idx="1808">
                  <c:v>44239</c:v>
                </c:pt>
                <c:pt idx="1809">
                  <c:v>44240</c:v>
                </c:pt>
                <c:pt idx="1810">
                  <c:v>44241</c:v>
                </c:pt>
                <c:pt idx="1811">
                  <c:v>44242</c:v>
                </c:pt>
                <c:pt idx="1812">
                  <c:v>44243</c:v>
                </c:pt>
                <c:pt idx="1813">
                  <c:v>44244</c:v>
                </c:pt>
                <c:pt idx="1814">
                  <c:v>44245</c:v>
                </c:pt>
                <c:pt idx="1815">
                  <c:v>44246</c:v>
                </c:pt>
                <c:pt idx="1816">
                  <c:v>44247</c:v>
                </c:pt>
                <c:pt idx="1817">
                  <c:v>44248</c:v>
                </c:pt>
                <c:pt idx="1818">
                  <c:v>44249</c:v>
                </c:pt>
                <c:pt idx="1819">
                  <c:v>44250</c:v>
                </c:pt>
                <c:pt idx="1820">
                  <c:v>44251</c:v>
                </c:pt>
                <c:pt idx="1821">
                  <c:v>44252</c:v>
                </c:pt>
                <c:pt idx="1822">
                  <c:v>44253</c:v>
                </c:pt>
                <c:pt idx="1823">
                  <c:v>44254</c:v>
                </c:pt>
                <c:pt idx="1824">
                  <c:v>44255</c:v>
                </c:pt>
                <c:pt idx="1825">
                  <c:v>44256</c:v>
                </c:pt>
                <c:pt idx="1826">
                  <c:v>44257</c:v>
                </c:pt>
                <c:pt idx="1827">
                  <c:v>44258</c:v>
                </c:pt>
                <c:pt idx="1828">
                  <c:v>44259</c:v>
                </c:pt>
                <c:pt idx="1829">
                  <c:v>44260</c:v>
                </c:pt>
                <c:pt idx="1830">
                  <c:v>44261</c:v>
                </c:pt>
                <c:pt idx="1831">
                  <c:v>44262</c:v>
                </c:pt>
                <c:pt idx="1832">
                  <c:v>44263</c:v>
                </c:pt>
                <c:pt idx="1833">
                  <c:v>44264</c:v>
                </c:pt>
                <c:pt idx="1834">
                  <c:v>44265</c:v>
                </c:pt>
                <c:pt idx="1835">
                  <c:v>44266</c:v>
                </c:pt>
                <c:pt idx="1836">
                  <c:v>44267</c:v>
                </c:pt>
                <c:pt idx="1837">
                  <c:v>44268</c:v>
                </c:pt>
                <c:pt idx="1838">
                  <c:v>44269</c:v>
                </c:pt>
                <c:pt idx="1839">
                  <c:v>44270</c:v>
                </c:pt>
                <c:pt idx="1840">
                  <c:v>44271</c:v>
                </c:pt>
                <c:pt idx="1841">
                  <c:v>44272</c:v>
                </c:pt>
                <c:pt idx="1842">
                  <c:v>44273</c:v>
                </c:pt>
                <c:pt idx="1843">
                  <c:v>44274</c:v>
                </c:pt>
                <c:pt idx="1844">
                  <c:v>44275</c:v>
                </c:pt>
                <c:pt idx="1845">
                  <c:v>44276</c:v>
                </c:pt>
                <c:pt idx="1846">
                  <c:v>44277</c:v>
                </c:pt>
                <c:pt idx="1847">
                  <c:v>44278</c:v>
                </c:pt>
                <c:pt idx="1848">
                  <c:v>44279</c:v>
                </c:pt>
                <c:pt idx="1849">
                  <c:v>44280</c:v>
                </c:pt>
                <c:pt idx="1850">
                  <c:v>44281</c:v>
                </c:pt>
                <c:pt idx="1851">
                  <c:v>44282</c:v>
                </c:pt>
                <c:pt idx="1852">
                  <c:v>44283</c:v>
                </c:pt>
                <c:pt idx="1853">
                  <c:v>44284</c:v>
                </c:pt>
                <c:pt idx="1854">
                  <c:v>44285</c:v>
                </c:pt>
                <c:pt idx="1855">
                  <c:v>44286</c:v>
                </c:pt>
                <c:pt idx="1856">
                  <c:v>44287</c:v>
                </c:pt>
                <c:pt idx="1857">
                  <c:v>44288</c:v>
                </c:pt>
                <c:pt idx="1858">
                  <c:v>44289</c:v>
                </c:pt>
                <c:pt idx="1859">
                  <c:v>44290</c:v>
                </c:pt>
                <c:pt idx="1860">
                  <c:v>44291</c:v>
                </c:pt>
                <c:pt idx="1861">
                  <c:v>44292</c:v>
                </c:pt>
                <c:pt idx="1862">
                  <c:v>44293</c:v>
                </c:pt>
                <c:pt idx="1863">
                  <c:v>44294</c:v>
                </c:pt>
                <c:pt idx="1864">
                  <c:v>44295</c:v>
                </c:pt>
                <c:pt idx="1865">
                  <c:v>44296</c:v>
                </c:pt>
                <c:pt idx="1866">
                  <c:v>44297</c:v>
                </c:pt>
                <c:pt idx="1867">
                  <c:v>44298</c:v>
                </c:pt>
                <c:pt idx="1868">
                  <c:v>44299</c:v>
                </c:pt>
                <c:pt idx="1869">
                  <c:v>44300</c:v>
                </c:pt>
                <c:pt idx="1870">
                  <c:v>44301</c:v>
                </c:pt>
                <c:pt idx="1871">
                  <c:v>44302</c:v>
                </c:pt>
                <c:pt idx="1872">
                  <c:v>44303</c:v>
                </c:pt>
                <c:pt idx="1873">
                  <c:v>44304</c:v>
                </c:pt>
                <c:pt idx="1874">
                  <c:v>44305</c:v>
                </c:pt>
                <c:pt idx="1875">
                  <c:v>44306</c:v>
                </c:pt>
                <c:pt idx="1876">
                  <c:v>44307</c:v>
                </c:pt>
                <c:pt idx="1877">
                  <c:v>44308</c:v>
                </c:pt>
                <c:pt idx="1878">
                  <c:v>44309</c:v>
                </c:pt>
                <c:pt idx="1879">
                  <c:v>44310</c:v>
                </c:pt>
                <c:pt idx="1880">
                  <c:v>44311</c:v>
                </c:pt>
                <c:pt idx="1881">
                  <c:v>44312</c:v>
                </c:pt>
                <c:pt idx="1882">
                  <c:v>44313</c:v>
                </c:pt>
                <c:pt idx="1883">
                  <c:v>44314</c:v>
                </c:pt>
                <c:pt idx="1884">
                  <c:v>44315</c:v>
                </c:pt>
                <c:pt idx="1885">
                  <c:v>44316</c:v>
                </c:pt>
                <c:pt idx="1886">
                  <c:v>44317</c:v>
                </c:pt>
                <c:pt idx="1887">
                  <c:v>44318</c:v>
                </c:pt>
                <c:pt idx="1888">
                  <c:v>44319</c:v>
                </c:pt>
                <c:pt idx="1889">
                  <c:v>44320</c:v>
                </c:pt>
                <c:pt idx="1890">
                  <c:v>44321</c:v>
                </c:pt>
                <c:pt idx="1891">
                  <c:v>44322</c:v>
                </c:pt>
                <c:pt idx="1892">
                  <c:v>44323</c:v>
                </c:pt>
                <c:pt idx="1893">
                  <c:v>44324</c:v>
                </c:pt>
                <c:pt idx="1894">
                  <c:v>44325</c:v>
                </c:pt>
                <c:pt idx="1895">
                  <c:v>44326</c:v>
                </c:pt>
                <c:pt idx="1896">
                  <c:v>44327</c:v>
                </c:pt>
                <c:pt idx="1897">
                  <c:v>44328</c:v>
                </c:pt>
                <c:pt idx="1898">
                  <c:v>44329</c:v>
                </c:pt>
                <c:pt idx="1899">
                  <c:v>44330</c:v>
                </c:pt>
                <c:pt idx="1900">
                  <c:v>44331</c:v>
                </c:pt>
                <c:pt idx="1901">
                  <c:v>44332</c:v>
                </c:pt>
                <c:pt idx="1902">
                  <c:v>44333</c:v>
                </c:pt>
                <c:pt idx="1903">
                  <c:v>44334</c:v>
                </c:pt>
                <c:pt idx="1904">
                  <c:v>44335</c:v>
                </c:pt>
                <c:pt idx="1905">
                  <c:v>44336</c:v>
                </c:pt>
                <c:pt idx="1906">
                  <c:v>44337</c:v>
                </c:pt>
                <c:pt idx="1907">
                  <c:v>44338</c:v>
                </c:pt>
                <c:pt idx="1908">
                  <c:v>44339</c:v>
                </c:pt>
                <c:pt idx="1909">
                  <c:v>44340</c:v>
                </c:pt>
                <c:pt idx="1910">
                  <c:v>44341</c:v>
                </c:pt>
                <c:pt idx="1911">
                  <c:v>44342</c:v>
                </c:pt>
                <c:pt idx="1912">
                  <c:v>44343</c:v>
                </c:pt>
                <c:pt idx="1913">
                  <c:v>44344</c:v>
                </c:pt>
                <c:pt idx="1914">
                  <c:v>44345</c:v>
                </c:pt>
                <c:pt idx="1915">
                  <c:v>44346</c:v>
                </c:pt>
                <c:pt idx="1916">
                  <c:v>44347</c:v>
                </c:pt>
                <c:pt idx="1917">
                  <c:v>44348</c:v>
                </c:pt>
                <c:pt idx="1918">
                  <c:v>44349</c:v>
                </c:pt>
                <c:pt idx="1919">
                  <c:v>44350</c:v>
                </c:pt>
                <c:pt idx="1920">
                  <c:v>44351</c:v>
                </c:pt>
                <c:pt idx="1921">
                  <c:v>44352</c:v>
                </c:pt>
                <c:pt idx="1922">
                  <c:v>44353</c:v>
                </c:pt>
                <c:pt idx="1923">
                  <c:v>44354</c:v>
                </c:pt>
                <c:pt idx="1924">
                  <c:v>44355</c:v>
                </c:pt>
                <c:pt idx="1925">
                  <c:v>44356</c:v>
                </c:pt>
                <c:pt idx="1926">
                  <c:v>44357</c:v>
                </c:pt>
                <c:pt idx="1927">
                  <c:v>44358</c:v>
                </c:pt>
                <c:pt idx="1928">
                  <c:v>44359</c:v>
                </c:pt>
                <c:pt idx="1929">
                  <c:v>44360</c:v>
                </c:pt>
                <c:pt idx="1930">
                  <c:v>44361</c:v>
                </c:pt>
                <c:pt idx="1931">
                  <c:v>44362</c:v>
                </c:pt>
                <c:pt idx="1932">
                  <c:v>44363</c:v>
                </c:pt>
                <c:pt idx="1933">
                  <c:v>44364</c:v>
                </c:pt>
                <c:pt idx="1934">
                  <c:v>44365</c:v>
                </c:pt>
                <c:pt idx="1935">
                  <c:v>44366</c:v>
                </c:pt>
                <c:pt idx="1936">
                  <c:v>44367</c:v>
                </c:pt>
                <c:pt idx="1937">
                  <c:v>44368</c:v>
                </c:pt>
                <c:pt idx="1938">
                  <c:v>44369</c:v>
                </c:pt>
                <c:pt idx="1939">
                  <c:v>44370</c:v>
                </c:pt>
                <c:pt idx="1940">
                  <c:v>44371</c:v>
                </c:pt>
                <c:pt idx="1941">
                  <c:v>44372</c:v>
                </c:pt>
                <c:pt idx="1942">
                  <c:v>44373</c:v>
                </c:pt>
                <c:pt idx="1943">
                  <c:v>44374</c:v>
                </c:pt>
                <c:pt idx="1944">
                  <c:v>44375</c:v>
                </c:pt>
                <c:pt idx="1945">
                  <c:v>44376</c:v>
                </c:pt>
                <c:pt idx="1946">
                  <c:v>44377</c:v>
                </c:pt>
                <c:pt idx="1947">
                  <c:v>44378</c:v>
                </c:pt>
                <c:pt idx="1948">
                  <c:v>44379</c:v>
                </c:pt>
                <c:pt idx="1949">
                  <c:v>44380</c:v>
                </c:pt>
                <c:pt idx="1950">
                  <c:v>44381</c:v>
                </c:pt>
                <c:pt idx="1951">
                  <c:v>44382</c:v>
                </c:pt>
                <c:pt idx="1952">
                  <c:v>44383</c:v>
                </c:pt>
                <c:pt idx="1953">
                  <c:v>44384</c:v>
                </c:pt>
                <c:pt idx="1954">
                  <c:v>44385</c:v>
                </c:pt>
                <c:pt idx="1955">
                  <c:v>44386</c:v>
                </c:pt>
                <c:pt idx="1956">
                  <c:v>44387</c:v>
                </c:pt>
                <c:pt idx="1957">
                  <c:v>44388</c:v>
                </c:pt>
                <c:pt idx="1958">
                  <c:v>44389</c:v>
                </c:pt>
                <c:pt idx="1959">
                  <c:v>44390</c:v>
                </c:pt>
                <c:pt idx="1960">
                  <c:v>44391</c:v>
                </c:pt>
                <c:pt idx="1961">
                  <c:v>44392</c:v>
                </c:pt>
                <c:pt idx="1962">
                  <c:v>44393</c:v>
                </c:pt>
                <c:pt idx="1963">
                  <c:v>44394</c:v>
                </c:pt>
                <c:pt idx="1964">
                  <c:v>44395</c:v>
                </c:pt>
                <c:pt idx="1965">
                  <c:v>44396</c:v>
                </c:pt>
                <c:pt idx="1966">
                  <c:v>44397</c:v>
                </c:pt>
                <c:pt idx="1967">
                  <c:v>44398</c:v>
                </c:pt>
                <c:pt idx="1968">
                  <c:v>44399</c:v>
                </c:pt>
                <c:pt idx="1969">
                  <c:v>44400</c:v>
                </c:pt>
                <c:pt idx="1970">
                  <c:v>44401</c:v>
                </c:pt>
                <c:pt idx="1971">
                  <c:v>44402</c:v>
                </c:pt>
                <c:pt idx="1972">
                  <c:v>44403</c:v>
                </c:pt>
                <c:pt idx="1973">
                  <c:v>44404</c:v>
                </c:pt>
                <c:pt idx="1974">
                  <c:v>44405</c:v>
                </c:pt>
                <c:pt idx="1975">
                  <c:v>44406</c:v>
                </c:pt>
                <c:pt idx="1976">
                  <c:v>44407</c:v>
                </c:pt>
                <c:pt idx="1977">
                  <c:v>44408</c:v>
                </c:pt>
                <c:pt idx="1978">
                  <c:v>44409</c:v>
                </c:pt>
                <c:pt idx="1979">
                  <c:v>44410</c:v>
                </c:pt>
                <c:pt idx="1980">
                  <c:v>44411</c:v>
                </c:pt>
                <c:pt idx="1981">
                  <c:v>44412</c:v>
                </c:pt>
                <c:pt idx="1982">
                  <c:v>44413</c:v>
                </c:pt>
                <c:pt idx="1983">
                  <c:v>44414</c:v>
                </c:pt>
                <c:pt idx="1984">
                  <c:v>44415</c:v>
                </c:pt>
                <c:pt idx="1985">
                  <c:v>44416</c:v>
                </c:pt>
                <c:pt idx="1986">
                  <c:v>44417</c:v>
                </c:pt>
                <c:pt idx="1987">
                  <c:v>44418</c:v>
                </c:pt>
                <c:pt idx="1988">
                  <c:v>44419</c:v>
                </c:pt>
                <c:pt idx="1989">
                  <c:v>44420</c:v>
                </c:pt>
                <c:pt idx="1990">
                  <c:v>44421</c:v>
                </c:pt>
                <c:pt idx="1991">
                  <c:v>44422</c:v>
                </c:pt>
                <c:pt idx="1992">
                  <c:v>44423</c:v>
                </c:pt>
                <c:pt idx="1993">
                  <c:v>44424</c:v>
                </c:pt>
                <c:pt idx="1994">
                  <c:v>44425</c:v>
                </c:pt>
                <c:pt idx="1995">
                  <c:v>44426</c:v>
                </c:pt>
                <c:pt idx="1996">
                  <c:v>44427</c:v>
                </c:pt>
                <c:pt idx="1997">
                  <c:v>44428</c:v>
                </c:pt>
                <c:pt idx="1998">
                  <c:v>44429</c:v>
                </c:pt>
                <c:pt idx="1999">
                  <c:v>44430</c:v>
                </c:pt>
                <c:pt idx="2000">
                  <c:v>44431</c:v>
                </c:pt>
                <c:pt idx="2001">
                  <c:v>44432</c:v>
                </c:pt>
                <c:pt idx="2002">
                  <c:v>44433</c:v>
                </c:pt>
                <c:pt idx="2003">
                  <c:v>44434</c:v>
                </c:pt>
                <c:pt idx="2004">
                  <c:v>44435</c:v>
                </c:pt>
                <c:pt idx="2005">
                  <c:v>44436</c:v>
                </c:pt>
                <c:pt idx="2006">
                  <c:v>44437</c:v>
                </c:pt>
                <c:pt idx="2007">
                  <c:v>44438</c:v>
                </c:pt>
                <c:pt idx="2008">
                  <c:v>44439</c:v>
                </c:pt>
                <c:pt idx="2009">
                  <c:v>44440</c:v>
                </c:pt>
                <c:pt idx="2010">
                  <c:v>44441</c:v>
                </c:pt>
                <c:pt idx="2011">
                  <c:v>44442</c:v>
                </c:pt>
                <c:pt idx="2012">
                  <c:v>44443</c:v>
                </c:pt>
                <c:pt idx="2013">
                  <c:v>44444</c:v>
                </c:pt>
                <c:pt idx="2014">
                  <c:v>44445</c:v>
                </c:pt>
                <c:pt idx="2015">
                  <c:v>44446</c:v>
                </c:pt>
                <c:pt idx="2016">
                  <c:v>44447</c:v>
                </c:pt>
                <c:pt idx="2017">
                  <c:v>44448</c:v>
                </c:pt>
                <c:pt idx="2018">
                  <c:v>44449</c:v>
                </c:pt>
                <c:pt idx="2019">
                  <c:v>44450</c:v>
                </c:pt>
                <c:pt idx="2020">
                  <c:v>44451</c:v>
                </c:pt>
                <c:pt idx="2021">
                  <c:v>44452</c:v>
                </c:pt>
                <c:pt idx="2022">
                  <c:v>44453</c:v>
                </c:pt>
                <c:pt idx="2023">
                  <c:v>44454</c:v>
                </c:pt>
                <c:pt idx="2024">
                  <c:v>44455</c:v>
                </c:pt>
                <c:pt idx="2025">
                  <c:v>44456</c:v>
                </c:pt>
                <c:pt idx="2026">
                  <c:v>44457</c:v>
                </c:pt>
                <c:pt idx="2027">
                  <c:v>44458</c:v>
                </c:pt>
                <c:pt idx="2028">
                  <c:v>44459</c:v>
                </c:pt>
                <c:pt idx="2029">
                  <c:v>44460</c:v>
                </c:pt>
                <c:pt idx="2030">
                  <c:v>44461</c:v>
                </c:pt>
                <c:pt idx="2031">
                  <c:v>44462</c:v>
                </c:pt>
                <c:pt idx="2032">
                  <c:v>44463</c:v>
                </c:pt>
                <c:pt idx="2033">
                  <c:v>44464</c:v>
                </c:pt>
                <c:pt idx="2034">
                  <c:v>44465</c:v>
                </c:pt>
                <c:pt idx="2035">
                  <c:v>44466</c:v>
                </c:pt>
                <c:pt idx="2036">
                  <c:v>44467</c:v>
                </c:pt>
                <c:pt idx="2037">
                  <c:v>44468</c:v>
                </c:pt>
                <c:pt idx="2038">
                  <c:v>44469</c:v>
                </c:pt>
                <c:pt idx="2039">
                  <c:v>44470</c:v>
                </c:pt>
                <c:pt idx="2040">
                  <c:v>44471</c:v>
                </c:pt>
                <c:pt idx="2041">
                  <c:v>44472</c:v>
                </c:pt>
                <c:pt idx="2042">
                  <c:v>44473</c:v>
                </c:pt>
                <c:pt idx="2043">
                  <c:v>44474</c:v>
                </c:pt>
                <c:pt idx="2044">
                  <c:v>44475</c:v>
                </c:pt>
                <c:pt idx="2045">
                  <c:v>44476</c:v>
                </c:pt>
                <c:pt idx="2046">
                  <c:v>44477</c:v>
                </c:pt>
                <c:pt idx="2047">
                  <c:v>44478</c:v>
                </c:pt>
                <c:pt idx="2048">
                  <c:v>44479</c:v>
                </c:pt>
                <c:pt idx="2049">
                  <c:v>44480</c:v>
                </c:pt>
                <c:pt idx="2050">
                  <c:v>44481</c:v>
                </c:pt>
                <c:pt idx="2051">
                  <c:v>44482</c:v>
                </c:pt>
                <c:pt idx="2052">
                  <c:v>44483</c:v>
                </c:pt>
                <c:pt idx="2053">
                  <c:v>44484</c:v>
                </c:pt>
                <c:pt idx="2054">
                  <c:v>44485</c:v>
                </c:pt>
                <c:pt idx="2055">
                  <c:v>44486</c:v>
                </c:pt>
                <c:pt idx="2056">
                  <c:v>44487</c:v>
                </c:pt>
                <c:pt idx="2057">
                  <c:v>44488</c:v>
                </c:pt>
                <c:pt idx="2058">
                  <c:v>44489</c:v>
                </c:pt>
                <c:pt idx="2059">
                  <c:v>44490</c:v>
                </c:pt>
                <c:pt idx="2060">
                  <c:v>44491</c:v>
                </c:pt>
                <c:pt idx="2061">
                  <c:v>44492</c:v>
                </c:pt>
                <c:pt idx="2062">
                  <c:v>44493</c:v>
                </c:pt>
                <c:pt idx="2063">
                  <c:v>44494</c:v>
                </c:pt>
                <c:pt idx="2064">
                  <c:v>44495</c:v>
                </c:pt>
                <c:pt idx="2065">
                  <c:v>44496</c:v>
                </c:pt>
                <c:pt idx="2066">
                  <c:v>44497</c:v>
                </c:pt>
                <c:pt idx="2067">
                  <c:v>44498</c:v>
                </c:pt>
                <c:pt idx="2068">
                  <c:v>44499</c:v>
                </c:pt>
                <c:pt idx="2069">
                  <c:v>44500</c:v>
                </c:pt>
                <c:pt idx="2070">
                  <c:v>44501</c:v>
                </c:pt>
                <c:pt idx="2071">
                  <c:v>44502</c:v>
                </c:pt>
                <c:pt idx="2072">
                  <c:v>44503</c:v>
                </c:pt>
                <c:pt idx="2073">
                  <c:v>44504</c:v>
                </c:pt>
                <c:pt idx="2074">
                  <c:v>44505</c:v>
                </c:pt>
                <c:pt idx="2075">
                  <c:v>44506</c:v>
                </c:pt>
                <c:pt idx="2076">
                  <c:v>44507</c:v>
                </c:pt>
                <c:pt idx="2077">
                  <c:v>44508</c:v>
                </c:pt>
                <c:pt idx="2078">
                  <c:v>44509</c:v>
                </c:pt>
                <c:pt idx="2079">
                  <c:v>44510</c:v>
                </c:pt>
                <c:pt idx="2080">
                  <c:v>44511</c:v>
                </c:pt>
                <c:pt idx="2081">
                  <c:v>44512</c:v>
                </c:pt>
                <c:pt idx="2082">
                  <c:v>44513</c:v>
                </c:pt>
                <c:pt idx="2083">
                  <c:v>44514</c:v>
                </c:pt>
                <c:pt idx="2084">
                  <c:v>44515</c:v>
                </c:pt>
                <c:pt idx="2085">
                  <c:v>44516</c:v>
                </c:pt>
                <c:pt idx="2086">
                  <c:v>44517</c:v>
                </c:pt>
                <c:pt idx="2087">
                  <c:v>44518</c:v>
                </c:pt>
                <c:pt idx="2088">
                  <c:v>44519</c:v>
                </c:pt>
                <c:pt idx="2089">
                  <c:v>44520</c:v>
                </c:pt>
                <c:pt idx="2090">
                  <c:v>44521</c:v>
                </c:pt>
                <c:pt idx="2091">
                  <c:v>44522</c:v>
                </c:pt>
                <c:pt idx="2092">
                  <c:v>44523</c:v>
                </c:pt>
                <c:pt idx="2093">
                  <c:v>44524</c:v>
                </c:pt>
                <c:pt idx="2094">
                  <c:v>44525</c:v>
                </c:pt>
                <c:pt idx="2095">
                  <c:v>44526</c:v>
                </c:pt>
                <c:pt idx="2096">
                  <c:v>44527</c:v>
                </c:pt>
                <c:pt idx="2097">
                  <c:v>44528</c:v>
                </c:pt>
                <c:pt idx="2098">
                  <c:v>44529</c:v>
                </c:pt>
                <c:pt idx="2099">
                  <c:v>44530</c:v>
                </c:pt>
                <c:pt idx="2100">
                  <c:v>44531</c:v>
                </c:pt>
                <c:pt idx="2101">
                  <c:v>44532</c:v>
                </c:pt>
                <c:pt idx="2102">
                  <c:v>44533</c:v>
                </c:pt>
                <c:pt idx="2103">
                  <c:v>44534</c:v>
                </c:pt>
                <c:pt idx="2104">
                  <c:v>44535</c:v>
                </c:pt>
                <c:pt idx="2105">
                  <c:v>44536</c:v>
                </c:pt>
                <c:pt idx="2106">
                  <c:v>44537</c:v>
                </c:pt>
                <c:pt idx="2107">
                  <c:v>44538</c:v>
                </c:pt>
                <c:pt idx="2108">
                  <c:v>44539</c:v>
                </c:pt>
                <c:pt idx="2109">
                  <c:v>44540</c:v>
                </c:pt>
                <c:pt idx="2110">
                  <c:v>44541</c:v>
                </c:pt>
                <c:pt idx="2111">
                  <c:v>44542</c:v>
                </c:pt>
                <c:pt idx="2112">
                  <c:v>44543</c:v>
                </c:pt>
                <c:pt idx="2113">
                  <c:v>44544</c:v>
                </c:pt>
                <c:pt idx="2114">
                  <c:v>44545</c:v>
                </c:pt>
                <c:pt idx="2115">
                  <c:v>44546</c:v>
                </c:pt>
                <c:pt idx="2116">
                  <c:v>44547</c:v>
                </c:pt>
                <c:pt idx="2117">
                  <c:v>44548</c:v>
                </c:pt>
                <c:pt idx="2118">
                  <c:v>44549</c:v>
                </c:pt>
                <c:pt idx="2119">
                  <c:v>44550</c:v>
                </c:pt>
                <c:pt idx="2120">
                  <c:v>44551</c:v>
                </c:pt>
                <c:pt idx="2121">
                  <c:v>44552</c:v>
                </c:pt>
                <c:pt idx="2122">
                  <c:v>44553</c:v>
                </c:pt>
                <c:pt idx="2123">
                  <c:v>44554</c:v>
                </c:pt>
                <c:pt idx="2124">
                  <c:v>44555</c:v>
                </c:pt>
                <c:pt idx="2125">
                  <c:v>44556</c:v>
                </c:pt>
                <c:pt idx="2126">
                  <c:v>44557</c:v>
                </c:pt>
                <c:pt idx="2127">
                  <c:v>44558</c:v>
                </c:pt>
                <c:pt idx="2128">
                  <c:v>44559</c:v>
                </c:pt>
                <c:pt idx="2129">
                  <c:v>44560</c:v>
                </c:pt>
                <c:pt idx="2130">
                  <c:v>44561</c:v>
                </c:pt>
                <c:pt idx="2131">
                  <c:v>44562</c:v>
                </c:pt>
                <c:pt idx="2132">
                  <c:v>44563</c:v>
                </c:pt>
                <c:pt idx="2133">
                  <c:v>44564</c:v>
                </c:pt>
                <c:pt idx="2134">
                  <c:v>44565</c:v>
                </c:pt>
                <c:pt idx="2135">
                  <c:v>44566</c:v>
                </c:pt>
                <c:pt idx="2136">
                  <c:v>44567</c:v>
                </c:pt>
                <c:pt idx="2137">
                  <c:v>44568</c:v>
                </c:pt>
                <c:pt idx="2138">
                  <c:v>44569</c:v>
                </c:pt>
                <c:pt idx="2139">
                  <c:v>44570</c:v>
                </c:pt>
                <c:pt idx="2140">
                  <c:v>44571</c:v>
                </c:pt>
                <c:pt idx="2141">
                  <c:v>44572</c:v>
                </c:pt>
                <c:pt idx="2142">
                  <c:v>44573</c:v>
                </c:pt>
                <c:pt idx="2143">
                  <c:v>44574</c:v>
                </c:pt>
                <c:pt idx="2144">
                  <c:v>44575</c:v>
                </c:pt>
                <c:pt idx="2145">
                  <c:v>44576</c:v>
                </c:pt>
                <c:pt idx="2146">
                  <c:v>44577</c:v>
                </c:pt>
                <c:pt idx="2147">
                  <c:v>44578</c:v>
                </c:pt>
                <c:pt idx="2148">
                  <c:v>44579</c:v>
                </c:pt>
                <c:pt idx="2149">
                  <c:v>44580</c:v>
                </c:pt>
                <c:pt idx="2150">
                  <c:v>44581</c:v>
                </c:pt>
                <c:pt idx="2151">
                  <c:v>44582</c:v>
                </c:pt>
                <c:pt idx="2152">
                  <c:v>44583</c:v>
                </c:pt>
                <c:pt idx="2153">
                  <c:v>44584</c:v>
                </c:pt>
                <c:pt idx="2154">
                  <c:v>44585</c:v>
                </c:pt>
                <c:pt idx="2155">
                  <c:v>44586</c:v>
                </c:pt>
                <c:pt idx="2156">
                  <c:v>44587</c:v>
                </c:pt>
                <c:pt idx="2157">
                  <c:v>44588</c:v>
                </c:pt>
                <c:pt idx="2158">
                  <c:v>44589</c:v>
                </c:pt>
                <c:pt idx="2159">
                  <c:v>44590</c:v>
                </c:pt>
                <c:pt idx="2160">
                  <c:v>44591</c:v>
                </c:pt>
                <c:pt idx="2161">
                  <c:v>44592</c:v>
                </c:pt>
                <c:pt idx="2162">
                  <c:v>44593</c:v>
                </c:pt>
                <c:pt idx="2163">
                  <c:v>44594</c:v>
                </c:pt>
                <c:pt idx="2164">
                  <c:v>44595</c:v>
                </c:pt>
                <c:pt idx="2165">
                  <c:v>44596</c:v>
                </c:pt>
                <c:pt idx="2166">
                  <c:v>44597</c:v>
                </c:pt>
                <c:pt idx="2167">
                  <c:v>44598</c:v>
                </c:pt>
                <c:pt idx="2168">
                  <c:v>44599</c:v>
                </c:pt>
                <c:pt idx="2169">
                  <c:v>44600</c:v>
                </c:pt>
                <c:pt idx="2170">
                  <c:v>44601</c:v>
                </c:pt>
                <c:pt idx="2171">
                  <c:v>44602</c:v>
                </c:pt>
                <c:pt idx="2172">
                  <c:v>44603</c:v>
                </c:pt>
                <c:pt idx="2173">
                  <c:v>44604</c:v>
                </c:pt>
                <c:pt idx="2174">
                  <c:v>44605</c:v>
                </c:pt>
                <c:pt idx="2175">
                  <c:v>44606</c:v>
                </c:pt>
                <c:pt idx="2176">
                  <c:v>44607</c:v>
                </c:pt>
                <c:pt idx="2177">
                  <c:v>44608</c:v>
                </c:pt>
                <c:pt idx="2178">
                  <c:v>44609</c:v>
                </c:pt>
                <c:pt idx="2179">
                  <c:v>44610</c:v>
                </c:pt>
                <c:pt idx="2180">
                  <c:v>44611</c:v>
                </c:pt>
                <c:pt idx="2181">
                  <c:v>44612</c:v>
                </c:pt>
                <c:pt idx="2182">
                  <c:v>44613</c:v>
                </c:pt>
                <c:pt idx="2183">
                  <c:v>44614</c:v>
                </c:pt>
                <c:pt idx="2184">
                  <c:v>44615</c:v>
                </c:pt>
                <c:pt idx="2185">
                  <c:v>44616</c:v>
                </c:pt>
                <c:pt idx="2186">
                  <c:v>44617</c:v>
                </c:pt>
                <c:pt idx="2187">
                  <c:v>44618</c:v>
                </c:pt>
                <c:pt idx="2188">
                  <c:v>44619</c:v>
                </c:pt>
                <c:pt idx="2189">
                  <c:v>44620</c:v>
                </c:pt>
                <c:pt idx="2190">
                  <c:v>44621</c:v>
                </c:pt>
                <c:pt idx="2191">
                  <c:v>44622</c:v>
                </c:pt>
                <c:pt idx="2192">
                  <c:v>44623</c:v>
                </c:pt>
                <c:pt idx="2193">
                  <c:v>44624</c:v>
                </c:pt>
                <c:pt idx="2194">
                  <c:v>44625</c:v>
                </c:pt>
                <c:pt idx="2195">
                  <c:v>44626</c:v>
                </c:pt>
                <c:pt idx="2196">
                  <c:v>44627</c:v>
                </c:pt>
                <c:pt idx="2197">
                  <c:v>44628</c:v>
                </c:pt>
                <c:pt idx="2198">
                  <c:v>44629</c:v>
                </c:pt>
                <c:pt idx="2199">
                  <c:v>44630</c:v>
                </c:pt>
                <c:pt idx="2200">
                  <c:v>44631</c:v>
                </c:pt>
                <c:pt idx="2201">
                  <c:v>44632</c:v>
                </c:pt>
                <c:pt idx="2202">
                  <c:v>44633</c:v>
                </c:pt>
                <c:pt idx="2203">
                  <c:v>44634</c:v>
                </c:pt>
                <c:pt idx="2204">
                  <c:v>44635</c:v>
                </c:pt>
                <c:pt idx="2205">
                  <c:v>44636</c:v>
                </c:pt>
                <c:pt idx="2206">
                  <c:v>44637</c:v>
                </c:pt>
                <c:pt idx="2207">
                  <c:v>44638</c:v>
                </c:pt>
                <c:pt idx="2208">
                  <c:v>44639</c:v>
                </c:pt>
                <c:pt idx="2209">
                  <c:v>44640</c:v>
                </c:pt>
                <c:pt idx="2210">
                  <c:v>44641</c:v>
                </c:pt>
                <c:pt idx="2211">
                  <c:v>44642</c:v>
                </c:pt>
                <c:pt idx="2212">
                  <c:v>44643</c:v>
                </c:pt>
                <c:pt idx="2213">
                  <c:v>44644</c:v>
                </c:pt>
                <c:pt idx="2214">
                  <c:v>44645</c:v>
                </c:pt>
                <c:pt idx="2215">
                  <c:v>44646</c:v>
                </c:pt>
                <c:pt idx="2216">
                  <c:v>44647</c:v>
                </c:pt>
                <c:pt idx="2217">
                  <c:v>44648</c:v>
                </c:pt>
                <c:pt idx="2218">
                  <c:v>44649</c:v>
                </c:pt>
                <c:pt idx="2219">
                  <c:v>44650</c:v>
                </c:pt>
                <c:pt idx="2220">
                  <c:v>44651</c:v>
                </c:pt>
                <c:pt idx="2221">
                  <c:v>44652</c:v>
                </c:pt>
                <c:pt idx="2222">
                  <c:v>44653</c:v>
                </c:pt>
                <c:pt idx="2223">
                  <c:v>44654</c:v>
                </c:pt>
                <c:pt idx="2224">
                  <c:v>44655</c:v>
                </c:pt>
                <c:pt idx="2225">
                  <c:v>44656</c:v>
                </c:pt>
                <c:pt idx="2226">
                  <c:v>44657</c:v>
                </c:pt>
                <c:pt idx="2227">
                  <c:v>44658</c:v>
                </c:pt>
                <c:pt idx="2228">
                  <c:v>44659</c:v>
                </c:pt>
                <c:pt idx="2229">
                  <c:v>44660</c:v>
                </c:pt>
                <c:pt idx="2230">
                  <c:v>44661</c:v>
                </c:pt>
                <c:pt idx="2231">
                  <c:v>44662</c:v>
                </c:pt>
                <c:pt idx="2232">
                  <c:v>44663</c:v>
                </c:pt>
                <c:pt idx="2233">
                  <c:v>44664</c:v>
                </c:pt>
                <c:pt idx="2234">
                  <c:v>44665</c:v>
                </c:pt>
                <c:pt idx="2235">
                  <c:v>44666</c:v>
                </c:pt>
                <c:pt idx="2236">
                  <c:v>44667</c:v>
                </c:pt>
                <c:pt idx="2237">
                  <c:v>44668</c:v>
                </c:pt>
                <c:pt idx="2238">
                  <c:v>44669</c:v>
                </c:pt>
                <c:pt idx="2239">
                  <c:v>44670</c:v>
                </c:pt>
                <c:pt idx="2240">
                  <c:v>44671</c:v>
                </c:pt>
                <c:pt idx="2241">
                  <c:v>44672</c:v>
                </c:pt>
                <c:pt idx="2242">
                  <c:v>44673</c:v>
                </c:pt>
                <c:pt idx="2243">
                  <c:v>44674</c:v>
                </c:pt>
                <c:pt idx="2244">
                  <c:v>44675</c:v>
                </c:pt>
                <c:pt idx="2245">
                  <c:v>44676</c:v>
                </c:pt>
                <c:pt idx="2246">
                  <c:v>44677</c:v>
                </c:pt>
                <c:pt idx="2247">
                  <c:v>44678</c:v>
                </c:pt>
                <c:pt idx="2248">
                  <c:v>44679</c:v>
                </c:pt>
                <c:pt idx="2249">
                  <c:v>44680</c:v>
                </c:pt>
                <c:pt idx="2250">
                  <c:v>44681</c:v>
                </c:pt>
                <c:pt idx="2251">
                  <c:v>44682</c:v>
                </c:pt>
                <c:pt idx="2252">
                  <c:v>44683</c:v>
                </c:pt>
                <c:pt idx="2253">
                  <c:v>44684</c:v>
                </c:pt>
                <c:pt idx="2254">
                  <c:v>44685</c:v>
                </c:pt>
                <c:pt idx="2255">
                  <c:v>44686</c:v>
                </c:pt>
                <c:pt idx="2256">
                  <c:v>44687</c:v>
                </c:pt>
                <c:pt idx="2257">
                  <c:v>44688</c:v>
                </c:pt>
                <c:pt idx="2258">
                  <c:v>44689</c:v>
                </c:pt>
                <c:pt idx="2259">
                  <c:v>44690</c:v>
                </c:pt>
                <c:pt idx="2260">
                  <c:v>44691</c:v>
                </c:pt>
                <c:pt idx="2261">
                  <c:v>44692</c:v>
                </c:pt>
                <c:pt idx="2262">
                  <c:v>44693</c:v>
                </c:pt>
                <c:pt idx="2263">
                  <c:v>44694</c:v>
                </c:pt>
                <c:pt idx="2264">
                  <c:v>44695</c:v>
                </c:pt>
                <c:pt idx="2265">
                  <c:v>44696</c:v>
                </c:pt>
                <c:pt idx="2266">
                  <c:v>44697</c:v>
                </c:pt>
                <c:pt idx="2267">
                  <c:v>44698</c:v>
                </c:pt>
                <c:pt idx="2268">
                  <c:v>44699</c:v>
                </c:pt>
                <c:pt idx="2269">
                  <c:v>44700</c:v>
                </c:pt>
                <c:pt idx="2270">
                  <c:v>44701</c:v>
                </c:pt>
                <c:pt idx="2271">
                  <c:v>44702</c:v>
                </c:pt>
                <c:pt idx="2272">
                  <c:v>44703</c:v>
                </c:pt>
                <c:pt idx="2273">
                  <c:v>44704</c:v>
                </c:pt>
                <c:pt idx="2274">
                  <c:v>44705</c:v>
                </c:pt>
                <c:pt idx="2275">
                  <c:v>44706</c:v>
                </c:pt>
                <c:pt idx="2276">
                  <c:v>44707</c:v>
                </c:pt>
                <c:pt idx="2277">
                  <c:v>44708</c:v>
                </c:pt>
                <c:pt idx="2278">
                  <c:v>44709</c:v>
                </c:pt>
                <c:pt idx="2279">
                  <c:v>44710</c:v>
                </c:pt>
                <c:pt idx="2280">
                  <c:v>44711</c:v>
                </c:pt>
                <c:pt idx="2281">
                  <c:v>44712</c:v>
                </c:pt>
                <c:pt idx="2282">
                  <c:v>44713</c:v>
                </c:pt>
                <c:pt idx="2283">
                  <c:v>44714</c:v>
                </c:pt>
                <c:pt idx="2284">
                  <c:v>44715</c:v>
                </c:pt>
                <c:pt idx="2285">
                  <c:v>44716</c:v>
                </c:pt>
                <c:pt idx="2286">
                  <c:v>44717</c:v>
                </c:pt>
                <c:pt idx="2287">
                  <c:v>44718</c:v>
                </c:pt>
                <c:pt idx="2288">
                  <c:v>44719</c:v>
                </c:pt>
                <c:pt idx="2289">
                  <c:v>44720</c:v>
                </c:pt>
                <c:pt idx="2290">
                  <c:v>44721</c:v>
                </c:pt>
                <c:pt idx="2291">
                  <c:v>44722</c:v>
                </c:pt>
                <c:pt idx="2292">
                  <c:v>44723</c:v>
                </c:pt>
                <c:pt idx="2293">
                  <c:v>44724</c:v>
                </c:pt>
                <c:pt idx="2294">
                  <c:v>44725</c:v>
                </c:pt>
                <c:pt idx="2295">
                  <c:v>44726</c:v>
                </c:pt>
                <c:pt idx="2296">
                  <c:v>44727</c:v>
                </c:pt>
                <c:pt idx="2297">
                  <c:v>44728</c:v>
                </c:pt>
                <c:pt idx="2298">
                  <c:v>44729</c:v>
                </c:pt>
                <c:pt idx="2299">
                  <c:v>44730</c:v>
                </c:pt>
                <c:pt idx="2300">
                  <c:v>44731</c:v>
                </c:pt>
                <c:pt idx="2301">
                  <c:v>44732</c:v>
                </c:pt>
                <c:pt idx="2302">
                  <c:v>44733</c:v>
                </c:pt>
                <c:pt idx="2303">
                  <c:v>44734</c:v>
                </c:pt>
                <c:pt idx="2304">
                  <c:v>44735</c:v>
                </c:pt>
                <c:pt idx="2305">
                  <c:v>44736</c:v>
                </c:pt>
                <c:pt idx="2306">
                  <c:v>44737</c:v>
                </c:pt>
                <c:pt idx="2307">
                  <c:v>44738</c:v>
                </c:pt>
                <c:pt idx="2308">
                  <c:v>44739</c:v>
                </c:pt>
                <c:pt idx="2309">
                  <c:v>44740</c:v>
                </c:pt>
                <c:pt idx="2310">
                  <c:v>44741</c:v>
                </c:pt>
                <c:pt idx="2311">
                  <c:v>44742</c:v>
                </c:pt>
                <c:pt idx="2312">
                  <c:v>44743</c:v>
                </c:pt>
                <c:pt idx="2313">
                  <c:v>44744</c:v>
                </c:pt>
                <c:pt idx="2314">
                  <c:v>44745</c:v>
                </c:pt>
                <c:pt idx="2315">
                  <c:v>44746</c:v>
                </c:pt>
                <c:pt idx="2316">
                  <c:v>44747</c:v>
                </c:pt>
                <c:pt idx="2317">
                  <c:v>44748</c:v>
                </c:pt>
                <c:pt idx="2318">
                  <c:v>44749</c:v>
                </c:pt>
                <c:pt idx="2319">
                  <c:v>44750</c:v>
                </c:pt>
                <c:pt idx="2320">
                  <c:v>44751</c:v>
                </c:pt>
                <c:pt idx="2321">
                  <c:v>44752</c:v>
                </c:pt>
                <c:pt idx="2322">
                  <c:v>44753</c:v>
                </c:pt>
                <c:pt idx="2323">
                  <c:v>44754</c:v>
                </c:pt>
                <c:pt idx="2324">
                  <c:v>44755</c:v>
                </c:pt>
                <c:pt idx="2325">
                  <c:v>44756</c:v>
                </c:pt>
                <c:pt idx="2326">
                  <c:v>44757</c:v>
                </c:pt>
                <c:pt idx="2327">
                  <c:v>44758</c:v>
                </c:pt>
                <c:pt idx="2328">
                  <c:v>44759</c:v>
                </c:pt>
                <c:pt idx="2329">
                  <c:v>44760</c:v>
                </c:pt>
                <c:pt idx="2330">
                  <c:v>44761</c:v>
                </c:pt>
                <c:pt idx="2331">
                  <c:v>44762</c:v>
                </c:pt>
                <c:pt idx="2332">
                  <c:v>44763</c:v>
                </c:pt>
                <c:pt idx="2333">
                  <c:v>44764</c:v>
                </c:pt>
                <c:pt idx="2334">
                  <c:v>44765</c:v>
                </c:pt>
                <c:pt idx="2335">
                  <c:v>44766</c:v>
                </c:pt>
                <c:pt idx="2336">
                  <c:v>44767</c:v>
                </c:pt>
                <c:pt idx="2337">
                  <c:v>44768</c:v>
                </c:pt>
                <c:pt idx="2338">
                  <c:v>44769</c:v>
                </c:pt>
                <c:pt idx="2339">
                  <c:v>44770</c:v>
                </c:pt>
                <c:pt idx="2340">
                  <c:v>44771</c:v>
                </c:pt>
                <c:pt idx="2341">
                  <c:v>44772</c:v>
                </c:pt>
                <c:pt idx="2342">
                  <c:v>44773</c:v>
                </c:pt>
                <c:pt idx="2343">
                  <c:v>44774</c:v>
                </c:pt>
                <c:pt idx="2344">
                  <c:v>44775</c:v>
                </c:pt>
                <c:pt idx="2345">
                  <c:v>44776</c:v>
                </c:pt>
                <c:pt idx="2346">
                  <c:v>44777</c:v>
                </c:pt>
                <c:pt idx="2347">
                  <c:v>44778</c:v>
                </c:pt>
                <c:pt idx="2348">
                  <c:v>44779</c:v>
                </c:pt>
                <c:pt idx="2349">
                  <c:v>44780</c:v>
                </c:pt>
                <c:pt idx="2350">
                  <c:v>44781</c:v>
                </c:pt>
                <c:pt idx="2351">
                  <c:v>44782</c:v>
                </c:pt>
                <c:pt idx="2352">
                  <c:v>44783</c:v>
                </c:pt>
                <c:pt idx="2353">
                  <c:v>44784</c:v>
                </c:pt>
                <c:pt idx="2354">
                  <c:v>44785</c:v>
                </c:pt>
                <c:pt idx="2355">
                  <c:v>44786</c:v>
                </c:pt>
                <c:pt idx="2356">
                  <c:v>44787</c:v>
                </c:pt>
                <c:pt idx="2357">
                  <c:v>44788</c:v>
                </c:pt>
                <c:pt idx="2358">
                  <c:v>44789</c:v>
                </c:pt>
                <c:pt idx="2359">
                  <c:v>44790</c:v>
                </c:pt>
                <c:pt idx="2360">
                  <c:v>44791</c:v>
                </c:pt>
                <c:pt idx="2361">
                  <c:v>44792</c:v>
                </c:pt>
                <c:pt idx="2362">
                  <c:v>44793</c:v>
                </c:pt>
                <c:pt idx="2363">
                  <c:v>44794</c:v>
                </c:pt>
                <c:pt idx="2364">
                  <c:v>44795</c:v>
                </c:pt>
                <c:pt idx="2365">
                  <c:v>44796</c:v>
                </c:pt>
                <c:pt idx="2366">
                  <c:v>44797</c:v>
                </c:pt>
                <c:pt idx="2367">
                  <c:v>44798</c:v>
                </c:pt>
                <c:pt idx="2368">
                  <c:v>44799</c:v>
                </c:pt>
                <c:pt idx="2369">
                  <c:v>44800</c:v>
                </c:pt>
                <c:pt idx="2370">
                  <c:v>44801</c:v>
                </c:pt>
                <c:pt idx="2371">
                  <c:v>44802</c:v>
                </c:pt>
                <c:pt idx="2372">
                  <c:v>44803</c:v>
                </c:pt>
                <c:pt idx="2373">
                  <c:v>44804</c:v>
                </c:pt>
                <c:pt idx="2374">
                  <c:v>44805</c:v>
                </c:pt>
                <c:pt idx="2375">
                  <c:v>44806</c:v>
                </c:pt>
                <c:pt idx="2376">
                  <c:v>44807</c:v>
                </c:pt>
                <c:pt idx="2377">
                  <c:v>44808</c:v>
                </c:pt>
                <c:pt idx="2378">
                  <c:v>44809</c:v>
                </c:pt>
                <c:pt idx="2379">
                  <c:v>44810</c:v>
                </c:pt>
                <c:pt idx="2380">
                  <c:v>44811</c:v>
                </c:pt>
                <c:pt idx="2381">
                  <c:v>44812</c:v>
                </c:pt>
                <c:pt idx="2382">
                  <c:v>44813</c:v>
                </c:pt>
                <c:pt idx="2383">
                  <c:v>44814</c:v>
                </c:pt>
                <c:pt idx="2384">
                  <c:v>44815</c:v>
                </c:pt>
                <c:pt idx="2385">
                  <c:v>44816</c:v>
                </c:pt>
                <c:pt idx="2386">
                  <c:v>44817</c:v>
                </c:pt>
                <c:pt idx="2387">
                  <c:v>44818</c:v>
                </c:pt>
                <c:pt idx="2388">
                  <c:v>44819</c:v>
                </c:pt>
                <c:pt idx="2389">
                  <c:v>44820</c:v>
                </c:pt>
                <c:pt idx="2390">
                  <c:v>44821</c:v>
                </c:pt>
                <c:pt idx="2391">
                  <c:v>44822</c:v>
                </c:pt>
                <c:pt idx="2392">
                  <c:v>44823</c:v>
                </c:pt>
                <c:pt idx="2393">
                  <c:v>44824</c:v>
                </c:pt>
                <c:pt idx="2394">
                  <c:v>44825</c:v>
                </c:pt>
                <c:pt idx="2395">
                  <c:v>44826</c:v>
                </c:pt>
                <c:pt idx="2396">
                  <c:v>44827</c:v>
                </c:pt>
                <c:pt idx="2397">
                  <c:v>44828</c:v>
                </c:pt>
                <c:pt idx="2398">
                  <c:v>44829</c:v>
                </c:pt>
                <c:pt idx="2399">
                  <c:v>44830</c:v>
                </c:pt>
                <c:pt idx="2400">
                  <c:v>44831</c:v>
                </c:pt>
                <c:pt idx="2401">
                  <c:v>44832</c:v>
                </c:pt>
                <c:pt idx="2402">
                  <c:v>44833</c:v>
                </c:pt>
                <c:pt idx="2403">
                  <c:v>44834</c:v>
                </c:pt>
                <c:pt idx="2404">
                  <c:v>44835</c:v>
                </c:pt>
                <c:pt idx="2405">
                  <c:v>44836</c:v>
                </c:pt>
                <c:pt idx="2406">
                  <c:v>44837</c:v>
                </c:pt>
                <c:pt idx="2407">
                  <c:v>44838</c:v>
                </c:pt>
                <c:pt idx="2408">
                  <c:v>44839</c:v>
                </c:pt>
                <c:pt idx="2409">
                  <c:v>44840</c:v>
                </c:pt>
                <c:pt idx="2410">
                  <c:v>44841</c:v>
                </c:pt>
                <c:pt idx="2411">
                  <c:v>44842</c:v>
                </c:pt>
                <c:pt idx="2412">
                  <c:v>44843</c:v>
                </c:pt>
                <c:pt idx="2413">
                  <c:v>44844</c:v>
                </c:pt>
                <c:pt idx="2414">
                  <c:v>44845</c:v>
                </c:pt>
                <c:pt idx="2415">
                  <c:v>44846</c:v>
                </c:pt>
                <c:pt idx="2416">
                  <c:v>44847</c:v>
                </c:pt>
                <c:pt idx="2417">
                  <c:v>44848</c:v>
                </c:pt>
                <c:pt idx="2418">
                  <c:v>44849</c:v>
                </c:pt>
                <c:pt idx="2419">
                  <c:v>44850</c:v>
                </c:pt>
                <c:pt idx="2420">
                  <c:v>44851</c:v>
                </c:pt>
                <c:pt idx="2421">
                  <c:v>44852</c:v>
                </c:pt>
                <c:pt idx="2422">
                  <c:v>44853</c:v>
                </c:pt>
                <c:pt idx="2423">
                  <c:v>44854</c:v>
                </c:pt>
                <c:pt idx="2424">
                  <c:v>44855</c:v>
                </c:pt>
                <c:pt idx="2425">
                  <c:v>44856</c:v>
                </c:pt>
                <c:pt idx="2426">
                  <c:v>44857</c:v>
                </c:pt>
                <c:pt idx="2427">
                  <c:v>44858</c:v>
                </c:pt>
                <c:pt idx="2428">
                  <c:v>44859</c:v>
                </c:pt>
                <c:pt idx="2429">
                  <c:v>44860</c:v>
                </c:pt>
                <c:pt idx="2430">
                  <c:v>44861</c:v>
                </c:pt>
                <c:pt idx="2431">
                  <c:v>44862</c:v>
                </c:pt>
                <c:pt idx="2432">
                  <c:v>44863</c:v>
                </c:pt>
                <c:pt idx="2433">
                  <c:v>44864</c:v>
                </c:pt>
                <c:pt idx="2434">
                  <c:v>44865</c:v>
                </c:pt>
                <c:pt idx="2435">
                  <c:v>44866</c:v>
                </c:pt>
                <c:pt idx="2436">
                  <c:v>44867</c:v>
                </c:pt>
                <c:pt idx="2437">
                  <c:v>44868</c:v>
                </c:pt>
                <c:pt idx="2438">
                  <c:v>44869</c:v>
                </c:pt>
                <c:pt idx="2439">
                  <c:v>44870</c:v>
                </c:pt>
                <c:pt idx="2440">
                  <c:v>44871</c:v>
                </c:pt>
                <c:pt idx="2441">
                  <c:v>44872</c:v>
                </c:pt>
                <c:pt idx="2442">
                  <c:v>44873</c:v>
                </c:pt>
                <c:pt idx="2443">
                  <c:v>44874</c:v>
                </c:pt>
                <c:pt idx="2444">
                  <c:v>44875</c:v>
                </c:pt>
                <c:pt idx="2445">
                  <c:v>44876</c:v>
                </c:pt>
                <c:pt idx="2446">
                  <c:v>44877</c:v>
                </c:pt>
                <c:pt idx="2447">
                  <c:v>44878</c:v>
                </c:pt>
                <c:pt idx="2448">
                  <c:v>44879</c:v>
                </c:pt>
                <c:pt idx="2449">
                  <c:v>44880</c:v>
                </c:pt>
                <c:pt idx="2450">
                  <c:v>44881</c:v>
                </c:pt>
                <c:pt idx="2451">
                  <c:v>44882</c:v>
                </c:pt>
                <c:pt idx="2452">
                  <c:v>44883</c:v>
                </c:pt>
                <c:pt idx="2453">
                  <c:v>44884</c:v>
                </c:pt>
                <c:pt idx="2454">
                  <c:v>44885</c:v>
                </c:pt>
                <c:pt idx="2455">
                  <c:v>44886</c:v>
                </c:pt>
                <c:pt idx="2456">
                  <c:v>44887</c:v>
                </c:pt>
                <c:pt idx="2457">
                  <c:v>44888</c:v>
                </c:pt>
                <c:pt idx="2458">
                  <c:v>44889</c:v>
                </c:pt>
                <c:pt idx="2459">
                  <c:v>44890</c:v>
                </c:pt>
                <c:pt idx="2460">
                  <c:v>44891</c:v>
                </c:pt>
                <c:pt idx="2461">
                  <c:v>44892</c:v>
                </c:pt>
                <c:pt idx="2462">
                  <c:v>44893</c:v>
                </c:pt>
                <c:pt idx="2463">
                  <c:v>44894</c:v>
                </c:pt>
                <c:pt idx="2464">
                  <c:v>44895</c:v>
                </c:pt>
                <c:pt idx="2465">
                  <c:v>44896</c:v>
                </c:pt>
                <c:pt idx="2466">
                  <c:v>44897</c:v>
                </c:pt>
                <c:pt idx="2467">
                  <c:v>44898</c:v>
                </c:pt>
                <c:pt idx="2468">
                  <c:v>44899</c:v>
                </c:pt>
                <c:pt idx="2469">
                  <c:v>44900</c:v>
                </c:pt>
                <c:pt idx="2470">
                  <c:v>44901</c:v>
                </c:pt>
                <c:pt idx="2471">
                  <c:v>44902</c:v>
                </c:pt>
                <c:pt idx="2472">
                  <c:v>44903</c:v>
                </c:pt>
                <c:pt idx="2473">
                  <c:v>44904</c:v>
                </c:pt>
                <c:pt idx="2474">
                  <c:v>44905</c:v>
                </c:pt>
                <c:pt idx="2475">
                  <c:v>44906</c:v>
                </c:pt>
                <c:pt idx="2476">
                  <c:v>44907</c:v>
                </c:pt>
                <c:pt idx="2477">
                  <c:v>44908</c:v>
                </c:pt>
                <c:pt idx="2478">
                  <c:v>44909</c:v>
                </c:pt>
                <c:pt idx="2479">
                  <c:v>44910</c:v>
                </c:pt>
                <c:pt idx="2480">
                  <c:v>44911</c:v>
                </c:pt>
                <c:pt idx="2481">
                  <c:v>44912</c:v>
                </c:pt>
                <c:pt idx="2482">
                  <c:v>44913</c:v>
                </c:pt>
                <c:pt idx="2483">
                  <c:v>44914</c:v>
                </c:pt>
                <c:pt idx="2484">
                  <c:v>44915</c:v>
                </c:pt>
                <c:pt idx="2485">
                  <c:v>44916</c:v>
                </c:pt>
                <c:pt idx="2486">
                  <c:v>44917</c:v>
                </c:pt>
                <c:pt idx="2487">
                  <c:v>44918</c:v>
                </c:pt>
                <c:pt idx="2488">
                  <c:v>44919</c:v>
                </c:pt>
                <c:pt idx="2489">
                  <c:v>44920</c:v>
                </c:pt>
                <c:pt idx="2490">
                  <c:v>44921</c:v>
                </c:pt>
                <c:pt idx="2491">
                  <c:v>44922</c:v>
                </c:pt>
                <c:pt idx="2492">
                  <c:v>44923</c:v>
                </c:pt>
                <c:pt idx="2493">
                  <c:v>44924</c:v>
                </c:pt>
                <c:pt idx="2494">
                  <c:v>44925</c:v>
                </c:pt>
                <c:pt idx="2495">
                  <c:v>44926</c:v>
                </c:pt>
                <c:pt idx="2496">
                  <c:v>44927</c:v>
                </c:pt>
                <c:pt idx="2497">
                  <c:v>44928</c:v>
                </c:pt>
                <c:pt idx="2498">
                  <c:v>44929</c:v>
                </c:pt>
                <c:pt idx="2499">
                  <c:v>44930</c:v>
                </c:pt>
                <c:pt idx="2500">
                  <c:v>44931</c:v>
                </c:pt>
                <c:pt idx="2501">
                  <c:v>44932</c:v>
                </c:pt>
                <c:pt idx="2502">
                  <c:v>44933</c:v>
                </c:pt>
                <c:pt idx="2503">
                  <c:v>44934</c:v>
                </c:pt>
                <c:pt idx="2504">
                  <c:v>44935</c:v>
                </c:pt>
                <c:pt idx="2505">
                  <c:v>44936</c:v>
                </c:pt>
                <c:pt idx="2506">
                  <c:v>44937</c:v>
                </c:pt>
                <c:pt idx="2507">
                  <c:v>44938</c:v>
                </c:pt>
                <c:pt idx="2508">
                  <c:v>44939</c:v>
                </c:pt>
                <c:pt idx="2509">
                  <c:v>44940</c:v>
                </c:pt>
                <c:pt idx="2510">
                  <c:v>44941</c:v>
                </c:pt>
                <c:pt idx="2511">
                  <c:v>44942</c:v>
                </c:pt>
                <c:pt idx="2512">
                  <c:v>44943</c:v>
                </c:pt>
                <c:pt idx="2513">
                  <c:v>44944</c:v>
                </c:pt>
                <c:pt idx="2514">
                  <c:v>44945</c:v>
                </c:pt>
                <c:pt idx="2515">
                  <c:v>44946</c:v>
                </c:pt>
                <c:pt idx="2516">
                  <c:v>44947</c:v>
                </c:pt>
                <c:pt idx="2517">
                  <c:v>44948</c:v>
                </c:pt>
                <c:pt idx="2518">
                  <c:v>44949</c:v>
                </c:pt>
                <c:pt idx="2519">
                  <c:v>44950</c:v>
                </c:pt>
                <c:pt idx="2520">
                  <c:v>44951</c:v>
                </c:pt>
                <c:pt idx="2521">
                  <c:v>44952</c:v>
                </c:pt>
                <c:pt idx="2522">
                  <c:v>44953</c:v>
                </c:pt>
                <c:pt idx="2523">
                  <c:v>44954</c:v>
                </c:pt>
                <c:pt idx="2524">
                  <c:v>44955</c:v>
                </c:pt>
                <c:pt idx="2525">
                  <c:v>44956</c:v>
                </c:pt>
                <c:pt idx="2526">
                  <c:v>44957</c:v>
                </c:pt>
                <c:pt idx="2527">
                  <c:v>44958</c:v>
                </c:pt>
                <c:pt idx="2528">
                  <c:v>44959</c:v>
                </c:pt>
                <c:pt idx="2529">
                  <c:v>44960</c:v>
                </c:pt>
                <c:pt idx="2530">
                  <c:v>44961</c:v>
                </c:pt>
                <c:pt idx="2531">
                  <c:v>44962</c:v>
                </c:pt>
                <c:pt idx="2532">
                  <c:v>44963</c:v>
                </c:pt>
                <c:pt idx="2533">
                  <c:v>44964</c:v>
                </c:pt>
                <c:pt idx="2534">
                  <c:v>44965</c:v>
                </c:pt>
                <c:pt idx="2535">
                  <c:v>44966</c:v>
                </c:pt>
                <c:pt idx="2536">
                  <c:v>44967</c:v>
                </c:pt>
                <c:pt idx="2537">
                  <c:v>44968</c:v>
                </c:pt>
                <c:pt idx="2538">
                  <c:v>44969</c:v>
                </c:pt>
                <c:pt idx="2539">
                  <c:v>44970</c:v>
                </c:pt>
                <c:pt idx="2540">
                  <c:v>44971</c:v>
                </c:pt>
                <c:pt idx="2541">
                  <c:v>44972</c:v>
                </c:pt>
                <c:pt idx="2542">
                  <c:v>44973</c:v>
                </c:pt>
                <c:pt idx="2543">
                  <c:v>44974</c:v>
                </c:pt>
                <c:pt idx="2544">
                  <c:v>44975</c:v>
                </c:pt>
                <c:pt idx="2545">
                  <c:v>44976</c:v>
                </c:pt>
                <c:pt idx="2546">
                  <c:v>44977</c:v>
                </c:pt>
                <c:pt idx="2547">
                  <c:v>44978</c:v>
                </c:pt>
                <c:pt idx="2548">
                  <c:v>44979</c:v>
                </c:pt>
                <c:pt idx="2549">
                  <c:v>44980</c:v>
                </c:pt>
                <c:pt idx="2550">
                  <c:v>44981</c:v>
                </c:pt>
                <c:pt idx="2551">
                  <c:v>44982</c:v>
                </c:pt>
                <c:pt idx="2552">
                  <c:v>44983</c:v>
                </c:pt>
                <c:pt idx="2553">
                  <c:v>44984</c:v>
                </c:pt>
                <c:pt idx="2554">
                  <c:v>44985</c:v>
                </c:pt>
                <c:pt idx="2555">
                  <c:v>44986</c:v>
                </c:pt>
                <c:pt idx="2556">
                  <c:v>44987</c:v>
                </c:pt>
                <c:pt idx="2557">
                  <c:v>44988</c:v>
                </c:pt>
                <c:pt idx="2558">
                  <c:v>44989</c:v>
                </c:pt>
                <c:pt idx="2559">
                  <c:v>44990</c:v>
                </c:pt>
                <c:pt idx="2560">
                  <c:v>44991</c:v>
                </c:pt>
                <c:pt idx="2561">
                  <c:v>44992</c:v>
                </c:pt>
                <c:pt idx="2562">
                  <c:v>44993</c:v>
                </c:pt>
                <c:pt idx="2563">
                  <c:v>44994</c:v>
                </c:pt>
                <c:pt idx="2564">
                  <c:v>44995</c:v>
                </c:pt>
                <c:pt idx="2565">
                  <c:v>44996</c:v>
                </c:pt>
                <c:pt idx="2566">
                  <c:v>44997</c:v>
                </c:pt>
                <c:pt idx="2567">
                  <c:v>44998</c:v>
                </c:pt>
                <c:pt idx="2568">
                  <c:v>44999</c:v>
                </c:pt>
                <c:pt idx="2569">
                  <c:v>45000</c:v>
                </c:pt>
                <c:pt idx="2570">
                  <c:v>45001</c:v>
                </c:pt>
                <c:pt idx="2571">
                  <c:v>45002</c:v>
                </c:pt>
                <c:pt idx="2572">
                  <c:v>45003</c:v>
                </c:pt>
                <c:pt idx="2573">
                  <c:v>45004</c:v>
                </c:pt>
                <c:pt idx="2574">
                  <c:v>45005</c:v>
                </c:pt>
                <c:pt idx="2575">
                  <c:v>45006</c:v>
                </c:pt>
                <c:pt idx="2576">
                  <c:v>45007</c:v>
                </c:pt>
                <c:pt idx="2577">
                  <c:v>45008</c:v>
                </c:pt>
                <c:pt idx="2578">
                  <c:v>45009</c:v>
                </c:pt>
                <c:pt idx="2579">
                  <c:v>45010</c:v>
                </c:pt>
                <c:pt idx="2580">
                  <c:v>45011</c:v>
                </c:pt>
                <c:pt idx="2581">
                  <c:v>45012</c:v>
                </c:pt>
                <c:pt idx="2582">
                  <c:v>45013</c:v>
                </c:pt>
                <c:pt idx="2583">
                  <c:v>45014</c:v>
                </c:pt>
                <c:pt idx="2584">
                  <c:v>45015</c:v>
                </c:pt>
                <c:pt idx="2585">
                  <c:v>45016</c:v>
                </c:pt>
                <c:pt idx="2586">
                  <c:v>45017</c:v>
                </c:pt>
                <c:pt idx="2587">
                  <c:v>45018</c:v>
                </c:pt>
                <c:pt idx="2588">
                  <c:v>45019</c:v>
                </c:pt>
                <c:pt idx="2589">
                  <c:v>45020</c:v>
                </c:pt>
                <c:pt idx="2590">
                  <c:v>45021</c:v>
                </c:pt>
                <c:pt idx="2591">
                  <c:v>45022</c:v>
                </c:pt>
                <c:pt idx="2592">
                  <c:v>45023</c:v>
                </c:pt>
                <c:pt idx="2593">
                  <c:v>45024</c:v>
                </c:pt>
                <c:pt idx="2594">
                  <c:v>45025</c:v>
                </c:pt>
                <c:pt idx="2595">
                  <c:v>45026</c:v>
                </c:pt>
                <c:pt idx="2596">
                  <c:v>45027</c:v>
                </c:pt>
                <c:pt idx="2597">
                  <c:v>45028</c:v>
                </c:pt>
                <c:pt idx="2598">
                  <c:v>45029</c:v>
                </c:pt>
                <c:pt idx="2599">
                  <c:v>45030</c:v>
                </c:pt>
                <c:pt idx="2600">
                  <c:v>45031</c:v>
                </c:pt>
                <c:pt idx="2601">
                  <c:v>45032</c:v>
                </c:pt>
                <c:pt idx="2602">
                  <c:v>45033</c:v>
                </c:pt>
                <c:pt idx="2603">
                  <c:v>45034</c:v>
                </c:pt>
                <c:pt idx="2604">
                  <c:v>45035</c:v>
                </c:pt>
                <c:pt idx="2605">
                  <c:v>45036</c:v>
                </c:pt>
                <c:pt idx="2606">
                  <c:v>45037</c:v>
                </c:pt>
                <c:pt idx="2607">
                  <c:v>45038</c:v>
                </c:pt>
                <c:pt idx="2608">
                  <c:v>45039</c:v>
                </c:pt>
                <c:pt idx="2609">
                  <c:v>45040</c:v>
                </c:pt>
                <c:pt idx="2610">
                  <c:v>45041</c:v>
                </c:pt>
                <c:pt idx="2611">
                  <c:v>45042</c:v>
                </c:pt>
                <c:pt idx="2612">
                  <c:v>45043</c:v>
                </c:pt>
                <c:pt idx="2613">
                  <c:v>45044</c:v>
                </c:pt>
                <c:pt idx="2614">
                  <c:v>45045</c:v>
                </c:pt>
                <c:pt idx="2615">
                  <c:v>45046</c:v>
                </c:pt>
                <c:pt idx="2616">
                  <c:v>45047</c:v>
                </c:pt>
                <c:pt idx="2617">
                  <c:v>45048</c:v>
                </c:pt>
                <c:pt idx="2618">
                  <c:v>45049</c:v>
                </c:pt>
                <c:pt idx="2619">
                  <c:v>45050</c:v>
                </c:pt>
                <c:pt idx="2620">
                  <c:v>45051</c:v>
                </c:pt>
                <c:pt idx="2621">
                  <c:v>45052</c:v>
                </c:pt>
                <c:pt idx="2622">
                  <c:v>45053</c:v>
                </c:pt>
                <c:pt idx="2623">
                  <c:v>45054</c:v>
                </c:pt>
                <c:pt idx="2624">
                  <c:v>45055</c:v>
                </c:pt>
                <c:pt idx="2625">
                  <c:v>45056</c:v>
                </c:pt>
                <c:pt idx="2626">
                  <c:v>45057</c:v>
                </c:pt>
                <c:pt idx="2627">
                  <c:v>45058</c:v>
                </c:pt>
                <c:pt idx="2628">
                  <c:v>45059</c:v>
                </c:pt>
                <c:pt idx="2629">
                  <c:v>45060</c:v>
                </c:pt>
                <c:pt idx="2630">
                  <c:v>45061</c:v>
                </c:pt>
                <c:pt idx="2631">
                  <c:v>45062</c:v>
                </c:pt>
                <c:pt idx="2632">
                  <c:v>45063</c:v>
                </c:pt>
                <c:pt idx="2633">
                  <c:v>45064</c:v>
                </c:pt>
                <c:pt idx="2634">
                  <c:v>45065</c:v>
                </c:pt>
                <c:pt idx="2635">
                  <c:v>45066</c:v>
                </c:pt>
                <c:pt idx="2636">
                  <c:v>45067</c:v>
                </c:pt>
                <c:pt idx="2637">
                  <c:v>45068</c:v>
                </c:pt>
                <c:pt idx="2638">
                  <c:v>45069</c:v>
                </c:pt>
                <c:pt idx="2639">
                  <c:v>45070</c:v>
                </c:pt>
                <c:pt idx="2640">
                  <c:v>45071</c:v>
                </c:pt>
                <c:pt idx="2641">
                  <c:v>45072</c:v>
                </c:pt>
                <c:pt idx="2642">
                  <c:v>45073</c:v>
                </c:pt>
                <c:pt idx="2643">
                  <c:v>45074</c:v>
                </c:pt>
                <c:pt idx="2644">
                  <c:v>45075</c:v>
                </c:pt>
                <c:pt idx="2645">
                  <c:v>45076</c:v>
                </c:pt>
                <c:pt idx="2646">
                  <c:v>45077</c:v>
                </c:pt>
                <c:pt idx="2647">
                  <c:v>45078</c:v>
                </c:pt>
                <c:pt idx="2648">
                  <c:v>45079</c:v>
                </c:pt>
                <c:pt idx="2649">
                  <c:v>45080</c:v>
                </c:pt>
                <c:pt idx="2650">
                  <c:v>45081</c:v>
                </c:pt>
                <c:pt idx="2651">
                  <c:v>45082</c:v>
                </c:pt>
                <c:pt idx="2652">
                  <c:v>45083</c:v>
                </c:pt>
                <c:pt idx="2653">
                  <c:v>45084</c:v>
                </c:pt>
                <c:pt idx="2654">
                  <c:v>45085</c:v>
                </c:pt>
                <c:pt idx="2655">
                  <c:v>45086</c:v>
                </c:pt>
                <c:pt idx="2656">
                  <c:v>45087</c:v>
                </c:pt>
                <c:pt idx="2657">
                  <c:v>45088</c:v>
                </c:pt>
                <c:pt idx="2658">
                  <c:v>45089</c:v>
                </c:pt>
                <c:pt idx="2659">
                  <c:v>45090</c:v>
                </c:pt>
                <c:pt idx="2660">
                  <c:v>45091</c:v>
                </c:pt>
                <c:pt idx="2661">
                  <c:v>45092</c:v>
                </c:pt>
                <c:pt idx="2662">
                  <c:v>45093</c:v>
                </c:pt>
                <c:pt idx="2663">
                  <c:v>45094</c:v>
                </c:pt>
                <c:pt idx="2664">
                  <c:v>45095</c:v>
                </c:pt>
                <c:pt idx="2665">
                  <c:v>45096</c:v>
                </c:pt>
                <c:pt idx="2666">
                  <c:v>45097</c:v>
                </c:pt>
                <c:pt idx="2667">
                  <c:v>45098</c:v>
                </c:pt>
                <c:pt idx="2668">
                  <c:v>45099</c:v>
                </c:pt>
                <c:pt idx="2669">
                  <c:v>45100</c:v>
                </c:pt>
                <c:pt idx="2670">
                  <c:v>45101</c:v>
                </c:pt>
                <c:pt idx="2671">
                  <c:v>45102</c:v>
                </c:pt>
                <c:pt idx="2672">
                  <c:v>45103</c:v>
                </c:pt>
                <c:pt idx="2673">
                  <c:v>45104</c:v>
                </c:pt>
                <c:pt idx="2674">
                  <c:v>45105</c:v>
                </c:pt>
                <c:pt idx="2675">
                  <c:v>45106</c:v>
                </c:pt>
                <c:pt idx="2676">
                  <c:v>45107</c:v>
                </c:pt>
                <c:pt idx="2677">
                  <c:v>45108</c:v>
                </c:pt>
                <c:pt idx="2678">
                  <c:v>45109</c:v>
                </c:pt>
                <c:pt idx="2679">
                  <c:v>45110</c:v>
                </c:pt>
                <c:pt idx="2680">
                  <c:v>45111</c:v>
                </c:pt>
                <c:pt idx="2681">
                  <c:v>45112</c:v>
                </c:pt>
                <c:pt idx="2682">
                  <c:v>45113</c:v>
                </c:pt>
                <c:pt idx="2683">
                  <c:v>45114</c:v>
                </c:pt>
                <c:pt idx="2684">
                  <c:v>45115</c:v>
                </c:pt>
                <c:pt idx="2685">
                  <c:v>45116</c:v>
                </c:pt>
                <c:pt idx="2686">
                  <c:v>45117</c:v>
                </c:pt>
                <c:pt idx="2687">
                  <c:v>45118</c:v>
                </c:pt>
                <c:pt idx="2688">
                  <c:v>45119</c:v>
                </c:pt>
                <c:pt idx="2689">
                  <c:v>45120</c:v>
                </c:pt>
                <c:pt idx="2690">
                  <c:v>45121</c:v>
                </c:pt>
                <c:pt idx="2691">
                  <c:v>45122</c:v>
                </c:pt>
                <c:pt idx="2692">
                  <c:v>45123</c:v>
                </c:pt>
                <c:pt idx="2693">
                  <c:v>45124</c:v>
                </c:pt>
                <c:pt idx="2694">
                  <c:v>45125</c:v>
                </c:pt>
                <c:pt idx="2695">
                  <c:v>45126</c:v>
                </c:pt>
                <c:pt idx="2696">
                  <c:v>45127</c:v>
                </c:pt>
                <c:pt idx="2697">
                  <c:v>45128</c:v>
                </c:pt>
                <c:pt idx="2698">
                  <c:v>45129</c:v>
                </c:pt>
                <c:pt idx="2699">
                  <c:v>45130</c:v>
                </c:pt>
                <c:pt idx="2700">
                  <c:v>45131</c:v>
                </c:pt>
                <c:pt idx="2701">
                  <c:v>45132</c:v>
                </c:pt>
                <c:pt idx="2702">
                  <c:v>45133</c:v>
                </c:pt>
                <c:pt idx="2703">
                  <c:v>45134</c:v>
                </c:pt>
                <c:pt idx="2704">
                  <c:v>45135</c:v>
                </c:pt>
                <c:pt idx="2705">
                  <c:v>45136</c:v>
                </c:pt>
                <c:pt idx="2706">
                  <c:v>45137</c:v>
                </c:pt>
                <c:pt idx="2707">
                  <c:v>45138</c:v>
                </c:pt>
                <c:pt idx="2708">
                  <c:v>45139</c:v>
                </c:pt>
                <c:pt idx="2709">
                  <c:v>45140</c:v>
                </c:pt>
                <c:pt idx="2710">
                  <c:v>45141</c:v>
                </c:pt>
                <c:pt idx="2711">
                  <c:v>45142</c:v>
                </c:pt>
                <c:pt idx="2712">
                  <c:v>45143</c:v>
                </c:pt>
                <c:pt idx="2713">
                  <c:v>45144</c:v>
                </c:pt>
                <c:pt idx="2714">
                  <c:v>45145</c:v>
                </c:pt>
                <c:pt idx="2715">
                  <c:v>45146</c:v>
                </c:pt>
                <c:pt idx="2716">
                  <c:v>45147</c:v>
                </c:pt>
                <c:pt idx="2717">
                  <c:v>45148</c:v>
                </c:pt>
                <c:pt idx="2718">
                  <c:v>45149</c:v>
                </c:pt>
                <c:pt idx="2719">
                  <c:v>45150</c:v>
                </c:pt>
                <c:pt idx="2720">
                  <c:v>45151</c:v>
                </c:pt>
                <c:pt idx="2721">
                  <c:v>45152</c:v>
                </c:pt>
                <c:pt idx="2722">
                  <c:v>45153</c:v>
                </c:pt>
                <c:pt idx="2723">
                  <c:v>45154</c:v>
                </c:pt>
                <c:pt idx="2724">
                  <c:v>45155</c:v>
                </c:pt>
                <c:pt idx="2725">
                  <c:v>45156</c:v>
                </c:pt>
                <c:pt idx="2726">
                  <c:v>45157</c:v>
                </c:pt>
                <c:pt idx="2727">
                  <c:v>45158</c:v>
                </c:pt>
                <c:pt idx="2728">
                  <c:v>45159</c:v>
                </c:pt>
                <c:pt idx="2729">
                  <c:v>45160</c:v>
                </c:pt>
                <c:pt idx="2730">
                  <c:v>45161</c:v>
                </c:pt>
                <c:pt idx="2731">
                  <c:v>45162</c:v>
                </c:pt>
                <c:pt idx="2732">
                  <c:v>45163</c:v>
                </c:pt>
                <c:pt idx="2733">
                  <c:v>45164</c:v>
                </c:pt>
                <c:pt idx="2734">
                  <c:v>45165</c:v>
                </c:pt>
                <c:pt idx="2735">
                  <c:v>45166</c:v>
                </c:pt>
                <c:pt idx="2736">
                  <c:v>45167</c:v>
                </c:pt>
                <c:pt idx="2737">
                  <c:v>45168</c:v>
                </c:pt>
                <c:pt idx="2738">
                  <c:v>45169</c:v>
                </c:pt>
                <c:pt idx="2739">
                  <c:v>45170</c:v>
                </c:pt>
                <c:pt idx="2740">
                  <c:v>45171</c:v>
                </c:pt>
                <c:pt idx="2741">
                  <c:v>45172</c:v>
                </c:pt>
                <c:pt idx="2742">
                  <c:v>45173</c:v>
                </c:pt>
                <c:pt idx="2743">
                  <c:v>45174</c:v>
                </c:pt>
                <c:pt idx="2744">
                  <c:v>45175</c:v>
                </c:pt>
                <c:pt idx="2745">
                  <c:v>45176</c:v>
                </c:pt>
                <c:pt idx="2746">
                  <c:v>45177</c:v>
                </c:pt>
                <c:pt idx="2747">
                  <c:v>45178</c:v>
                </c:pt>
                <c:pt idx="2748">
                  <c:v>45179</c:v>
                </c:pt>
                <c:pt idx="2749">
                  <c:v>45180</c:v>
                </c:pt>
                <c:pt idx="2750">
                  <c:v>45181</c:v>
                </c:pt>
                <c:pt idx="2751">
                  <c:v>45182</c:v>
                </c:pt>
                <c:pt idx="2752">
                  <c:v>45183</c:v>
                </c:pt>
                <c:pt idx="2753">
                  <c:v>45184</c:v>
                </c:pt>
                <c:pt idx="2754">
                  <c:v>45185</c:v>
                </c:pt>
                <c:pt idx="2755">
                  <c:v>45186</c:v>
                </c:pt>
                <c:pt idx="2756">
                  <c:v>45187</c:v>
                </c:pt>
                <c:pt idx="2757">
                  <c:v>45188</c:v>
                </c:pt>
                <c:pt idx="2758">
                  <c:v>45189</c:v>
                </c:pt>
                <c:pt idx="2759">
                  <c:v>45190</c:v>
                </c:pt>
                <c:pt idx="2760">
                  <c:v>45191</c:v>
                </c:pt>
                <c:pt idx="2761">
                  <c:v>45192</c:v>
                </c:pt>
                <c:pt idx="2762">
                  <c:v>45193</c:v>
                </c:pt>
                <c:pt idx="2763">
                  <c:v>45194</c:v>
                </c:pt>
                <c:pt idx="2764">
                  <c:v>45195</c:v>
                </c:pt>
                <c:pt idx="2765">
                  <c:v>45196</c:v>
                </c:pt>
                <c:pt idx="2766">
                  <c:v>45197</c:v>
                </c:pt>
                <c:pt idx="2767">
                  <c:v>45198</c:v>
                </c:pt>
                <c:pt idx="2768">
                  <c:v>45199</c:v>
                </c:pt>
                <c:pt idx="2769">
                  <c:v>45200</c:v>
                </c:pt>
                <c:pt idx="2770">
                  <c:v>45201</c:v>
                </c:pt>
                <c:pt idx="2771">
                  <c:v>45202</c:v>
                </c:pt>
                <c:pt idx="2772">
                  <c:v>45203</c:v>
                </c:pt>
                <c:pt idx="2773">
                  <c:v>45204</c:v>
                </c:pt>
                <c:pt idx="2774">
                  <c:v>45205</c:v>
                </c:pt>
                <c:pt idx="2775">
                  <c:v>45206</c:v>
                </c:pt>
                <c:pt idx="2776">
                  <c:v>45207</c:v>
                </c:pt>
                <c:pt idx="2777">
                  <c:v>45208</c:v>
                </c:pt>
                <c:pt idx="2778">
                  <c:v>45209</c:v>
                </c:pt>
                <c:pt idx="2779">
                  <c:v>45210</c:v>
                </c:pt>
                <c:pt idx="2780">
                  <c:v>45211</c:v>
                </c:pt>
                <c:pt idx="2781">
                  <c:v>45212</c:v>
                </c:pt>
                <c:pt idx="2782">
                  <c:v>45213</c:v>
                </c:pt>
                <c:pt idx="2783">
                  <c:v>45214</c:v>
                </c:pt>
                <c:pt idx="2784">
                  <c:v>45215</c:v>
                </c:pt>
                <c:pt idx="2785">
                  <c:v>45216</c:v>
                </c:pt>
                <c:pt idx="2786">
                  <c:v>45217</c:v>
                </c:pt>
                <c:pt idx="2787">
                  <c:v>45218</c:v>
                </c:pt>
                <c:pt idx="2788">
                  <c:v>45219</c:v>
                </c:pt>
                <c:pt idx="2789">
                  <c:v>45220</c:v>
                </c:pt>
                <c:pt idx="2790">
                  <c:v>45221</c:v>
                </c:pt>
                <c:pt idx="2791">
                  <c:v>45222</c:v>
                </c:pt>
                <c:pt idx="2792">
                  <c:v>45223</c:v>
                </c:pt>
                <c:pt idx="2793">
                  <c:v>45224</c:v>
                </c:pt>
                <c:pt idx="2794">
                  <c:v>45225</c:v>
                </c:pt>
                <c:pt idx="2795">
                  <c:v>45226</c:v>
                </c:pt>
                <c:pt idx="2796">
                  <c:v>45227</c:v>
                </c:pt>
                <c:pt idx="2797">
                  <c:v>45228</c:v>
                </c:pt>
                <c:pt idx="2798">
                  <c:v>45229</c:v>
                </c:pt>
                <c:pt idx="2799">
                  <c:v>45230</c:v>
                </c:pt>
                <c:pt idx="2800">
                  <c:v>45231</c:v>
                </c:pt>
                <c:pt idx="2801">
                  <c:v>45232</c:v>
                </c:pt>
                <c:pt idx="2802">
                  <c:v>45233</c:v>
                </c:pt>
                <c:pt idx="2803">
                  <c:v>45234</c:v>
                </c:pt>
                <c:pt idx="2804">
                  <c:v>45235</c:v>
                </c:pt>
                <c:pt idx="2805">
                  <c:v>45236</c:v>
                </c:pt>
                <c:pt idx="2806">
                  <c:v>45237</c:v>
                </c:pt>
                <c:pt idx="2807">
                  <c:v>45238</c:v>
                </c:pt>
                <c:pt idx="2808">
                  <c:v>45239</c:v>
                </c:pt>
                <c:pt idx="2809">
                  <c:v>45240</c:v>
                </c:pt>
                <c:pt idx="2810">
                  <c:v>45241</c:v>
                </c:pt>
                <c:pt idx="2811">
                  <c:v>45242</c:v>
                </c:pt>
                <c:pt idx="2812">
                  <c:v>45243</c:v>
                </c:pt>
                <c:pt idx="2813">
                  <c:v>45244</c:v>
                </c:pt>
                <c:pt idx="2814">
                  <c:v>45245</c:v>
                </c:pt>
                <c:pt idx="2815">
                  <c:v>45246</c:v>
                </c:pt>
                <c:pt idx="2816">
                  <c:v>45247</c:v>
                </c:pt>
                <c:pt idx="2817">
                  <c:v>45248</c:v>
                </c:pt>
                <c:pt idx="2818">
                  <c:v>45249</c:v>
                </c:pt>
                <c:pt idx="2819">
                  <c:v>45250</c:v>
                </c:pt>
                <c:pt idx="2820">
                  <c:v>45251</c:v>
                </c:pt>
                <c:pt idx="2821">
                  <c:v>45252</c:v>
                </c:pt>
                <c:pt idx="2822">
                  <c:v>45253</c:v>
                </c:pt>
                <c:pt idx="2823">
                  <c:v>45254</c:v>
                </c:pt>
                <c:pt idx="2824">
                  <c:v>45255</c:v>
                </c:pt>
                <c:pt idx="2825">
                  <c:v>45256</c:v>
                </c:pt>
                <c:pt idx="2826">
                  <c:v>45257</c:v>
                </c:pt>
                <c:pt idx="2827">
                  <c:v>45258</c:v>
                </c:pt>
                <c:pt idx="2828">
                  <c:v>45259</c:v>
                </c:pt>
                <c:pt idx="2829">
                  <c:v>45260</c:v>
                </c:pt>
                <c:pt idx="2830">
                  <c:v>45261</c:v>
                </c:pt>
                <c:pt idx="2831">
                  <c:v>45262</c:v>
                </c:pt>
                <c:pt idx="2832">
                  <c:v>45263</c:v>
                </c:pt>
                <c:pt idx="2833">
                  <c:v>45264</c:v>
                </c:pt>
                <c:pt idx="2834">
                  <c:v>45265</c:v>
                </c:pt>
                <c:pt idx="2835">
                  <c:v>45266</c:v>
                </c:pt>
                <c:pt idx="2836">
                  <c:v>45267</c:v>
                </c:pt>
                <c:pt idx="2837">
                  <c:v>45268</c:v>
                </c:pt>
                <c:pt idx="2838">
                  <c:v>45269</c:v>
                </c:pt>
                <c:pt idx="2839">
                  <c:v>45270</c:v>
                </c:pt>
                <c:pt idx="2840">
                  <c:v>45271</c:v>
                </c:pt>
                <c:pt idx="2841">
                  <c:v>45272</c:v>
                </c:pt>
                <c:pt idx="2842">
                  <c:v>45273</c:v>
                </c:pt>
                <c:pt idx="2843">
                  <c:v>45274</c:v>
                </c:pt>
                <c:pt idx="2844">
                  <c:v>45275</c:v>
                </c:pt>
                <c:pt idx="2845">
                  <c:v>45276</c:v>
                </c:pt>
                <c:pt idx="2846">
                  <c:v>45277</c:v>
                </c:pt>
                <c:pt idx="2847">
                  <c:v>45278</c:v>
                </c:pt>
                <c:pt idx="2848">
                  <c:v>45279</c:v>
                </c:pt>
                <c:pt idx="2849">
                  <c:v>45280</c:v>
                </c:pt>
                <c:pt idx="2850">
                  <c:v>45281</c:v>
                </c:pt>
                <c:pt idx="2851">
                  <c:v>45282</c:v>
                </c:pt>
                <c:pt idx="2852">
                  <c:v>45283</c:v>
                </c:pt>
                <c:pt idx="2853">
                  <c:v>45284</c:v>
                </c:pt>
                <c:pt idx="2854">
                  <c:v>45285</c:v>
                </c:pt>
                <c:pt idx="2855">
                  <c:v>45286</c:v>
                </c:pt>
                <c:pt idx="2856">
                  <c:v>45287</c:v>
                </c:pt>
                <c:pt idx="2857">
                  <c:v>45288</c:v>
                </c:pt>
                <c:pt idx="2858">
                  <c:v>45289</c:v>
                </c:pt>
                <c:pt idx="2859">
                  <c:v>45290</c:v>
                </c:pt>
                <c:pt idx="2860">
                  <c:v>45291</c:v>
                </c:pt>
                <c:pt idx="2861">
                  <c:v>45292</c:v>
                </c:pt>
                <c:pt idx="2862">
                  <c:v>45293</c:v>
                </c:pt>
                <c:pt idx="2863">
                  <c:v>45294</c:v>
                </c:pt>
                <c:pt idx="2864">
                  <c:v>45295</c:v>
                </c:pt>
                <c:pt idx="2865">
                  <c:v>45296</c:v>
                </c:pt>
                <c:pt idx="2866">
                  <c:v>45297</c:v>
                </c:pt>
                <c:pt idx="2867">
                  <c:v>45298</c:v>
                </c:pt>
                <c:pt idx="2868">
                  <c:v>45299</c:v>
                </c:pt>
                <c:pt idx="2869">
                  <c:v>45300</c:v>
                </c:pt>
                <c:pt idx="2870">
                  <c:v>45301</c:v>
                </c:pt>
                <c:pt idx="2871">
                  <c:v>45302</c:v>
                </c:pt>
                <c:pt idx="2872">
                  <c:v>45303</c:v>
                </c:pt>
                <c:pt idx="2873">
                  <c:v>45304</c:v>
                </c:pt>
                <c:pt idx="2874">
                  <c:v>45305</c:v>
                </c:pt>
                <c:pt idx="2875">
                  <c:v>45306</c:v>
                </c:pt>
                <c:pt idx="2876">
                  <c:v>45307</c:v>
                </c:pt>
                <c:pt idx="2877">
                  <c:v>45308</c:v>
                </c:pt>
              </c:numCache>
            </c:numRef>
          </c:cat>
          <c:val>
            <c:numRef>
              <c:f>Baserate_FRA!$K$3:$K$2880</c:f>
              <c:numCache>
                <c:formatCode>General</c:formatCode>
                <c:ptCount val="2878"/>
                <c:pt idx="0">
                  <c:v>1.37</c:v>
                </c:pt>
                <c:pt idx="1">
                  <c:v>1.37</c:v>
                </c:pt>
                <c:pt idx="2">
                  <c:v>1.37</c:v>
                </c:pt>
                <c:pt idx="3">
                  <c:v>1.38</c:v>
                </c:pt>
                <c:pt idx="4">
                  <c:v>1.37</c:v>
                </c:pt>
                <c:pt idx="5">
                  <c:v>1.37</c:v>
                </c:pt>
                <c:pt idx="6">
                  <c:v>1.37</c:v>
                </c:pt>
                <c:pt idx="7">
                  <c:v>1.37</c:v>
                </c:pt>
                <c:pt idx="8">
                  <c:v>1.37</c:v>
                </c:pt>
                <c:pt idx="9">
                  <c:v>1.37</c:v>
                </c:pt>
                <c:pt idx="10">
                  <c:v>1.36</c:v>
                </c:pt>
                <c:pt idx="11">
                  <c:v>1.37</c:v>
                </c:pt>
                <c:pt idx="12">
                  <c:v>1.36</c:v>
                </c:pt>
                <c:pt idx="13">
                  <c:v>1.36</c:v>
                </c:pt>
                <c:pt idx="14">
                  <c:v>1.36</c:v>
                </c:pt>
                <c:pt idx="15">
                  <c:v>1.37</c:v>
                </c:pt>
                <c:pt idx="16">
                  <c:v>1.36</c:v>
                </c:pt>
                <c:pt idx="17">
                  <c:v>1.36</c:v>
                </c:pt>
                <c:pt idx="18">
                  <c:v>1.36</c:v>
                </c:pt>
                <c:pt idx="19">
                  <c:v>1.36</c:v>
                </c:pt>
                <c:pt idx="20">
                  <c:v>1.36</c:v>
                </c:pt>
                <c:pt idx="21">
                  <c:v>1.36</c:v>
                </c:pt>
                <c:pt idx="22">
                  <c:v>1.36</c:v>
                </c:pt>
                <c:pt idx="23">
                  <c:v>1.36</c:v>
                </c:pt>
                <c:pt idx="24">
                  <c:v>1.36</c:v>
                </c:pt>
                <c:pt idx="25">
                  <c:v>1.36</c:v>
                </c:pt>
                <c:pt idx="26">
                  <c:v>1.36</c:v>
                </c:pt>
                <c:pt idx="27">
                  <c:v>1.36</c:v>
                </c:pt>
                <c:pt idx="28">
                  <c:v>1.36</c:v>
                </c:pt>
                <c:pt idx="29">
                  <c:v>1.35</c:v>
                </c:pt>
                <c:pt idx="30">
                  <c:v>1.35</c:v>
                </c:pt>
                <c:pt idx="31">
                  <c:v>1.35</c:v>
                </c:pt>
                <c:pt idx="32">
                  <c:v>1.35</c:v>
                </c:pt>
                <c:pt idx="33">
                  <c:v>1.35</c:v>
                </c:pt>
                <c:pt idx="34">
                  <c:v>1.35</c:v>
                </c:pt>
                <c:pt idx="35">
                  <c:v>1.35</c:v>
                </c:pt>
                <c:pt idx="36">
                  <c:v>1.35</c:v>
                </c:pt>
                <c:pt idx="37">
                  <c:v>1.35</c:v>
                </c:pt>
                <c:pt idx="38">
                  <c:v>1.35</c:v>
                </c:pt>
                <c:pt idx="39">
                  <c:v>1.35</c:v>
                </c:pt>
                <c:pt idx="40">
                  <c:v>1.35</c:v>
                </c:pt>
                <c:pt idx="41">
                  <c:v>1.35</c:v>
                </c:pt>
                <c:pt idx="42">
                  <c:v>1.35</c:v>
                </c:pt>
                <c:pt idx="43">
                  <c:v>1.35</c:v>
                </c:pt>
                <c:pt idx="44">
                  <c:v>1.35</c:v>
                </c:pt>
                <c:pt idx="45">
                  <c:v>1.35</c:v>
                </c:pt>
                <c:pt idx="46">
                  <c:v>1.35</c:v>
                </c:pt>
                <c:pt idx="47">
                  <c:v>1.35</c:v>
                </c:pt>
                <c:pt idx="48">
                  <c:v>1.35</c:v>
                </c:pt>
                <c:pt idx="49">
                  <c:v>1.35</c:v>
                </c:pt>
                <c:pt idx="50">
                  <c:v>1.35</c:v>
                </c:pt>
                <c:pt idx="51">
                  <c:v>1.35</c:v>
                </c:pt>
                <c:pt idx="52">
                  <c:v>1.35</c:v>
                </c:pt>
                <c:pt idx="53">
                  <c:v>1.35</c:v>
                </c:pt>
                <c:pt idx="54">
                  <c:v>1.35</c:v>
                </c:pt>
                <c:pt idx="55">
                  <c:v>1.35</c:v>
                </c:pt>
                <c:pt idx="56">
                  <c:v>1.35</c:v>
                </c:pt>
                <c:pt idx="57">
                  <c:v>1.35</c:v>
                </c:pt>
                <c:pt idx="58">
                  <c:v>1.35</c:v>
                </c:pt>
                <c:pt idx="59">
                  <c:v>1.35</c:v>
                </c:pt>
                <c:pt idx="60">
                  <c:v>1.35</c:v>
                </c:pt>
                <c:pt idx="61">
                  <c:v>1.35</c:v>
                </c:pt>
                <c:pt idx="62">
                  <c:v>1.35</c:v>
                </c:pt>
                <c:pt idx="63">
                  <c:v>1.35</c:v>
                </c:pt>
                <c:pt idx="64">
                  <c:v>1.35</c:v>
                </c:pt>
                <c:pt idx="65">
                  <c:v>1.35</c:v>
                </c:pt>
                <c:pt idx="66">
                  <c:v>1.35</c:v>
                </c:pt>
                <c:pt idx="67">
                  <c:v>1.35</c:v>
                </c:pt>
                <c:pt idx="68">
                  <c:v>1.35</c:v>
                </c:pt>
                <c:pt idx="69">
                  <c:v>1.35</c:v>
                </c:pt>
                <c:pt idx="70">
                  <c:v>1.35</c:v>
                </c:pt>
                <c:pt idx="71">
                  <c:v>1.35</c:v>
                </c:pt>
                <c:pt idx="72">
                  <c:v>1.35</c:v>
                </c:pt>
                <c:pt idx="73">
                  <c:v>1.35</c:v>
                </c:pt>
                <c:pt idx="74">
                  <c:v>1.35</c:v>
                </c:pt>
                <c:pt idx="75">
                  <c:v>1.35</c:v>
                </c:pt>
                <c:pt idx="76">
                  <c:v>1.35</c:v>
                </c:pt>
                <c:pt idx="77">
                  <c:v>1.35</c:v>
                </c:pt>
                <c:pt idx="78">
                  <c:v>1.35</c:v>
                </c:pt>
                <c:pt idx="79">
                  <c:v>1.35</c:v>
                </c:pt>
                <c:pt idx="80">
                  <c:v>1.35</c:v>
                </c:pt>
                <c:pt idx="81">
                  <c:v>1.35</c:v>
                </c:pt>
                <c:pt idx="82">
                  <c:v>1.35</c:v>
                </c:pt>
                <c:pt idx="83">
                  <c:v>1.35</c:v>
                </c:pt>
                <c:pt idx="84">
                  <c:v>1.35</c:v>
                </c:pt>
                <c:pt idx="85">
                  <c:v>1.35</c:v>
                </c:pt>
                <c:pt idx="86">
                  <c:v>1.35</c:v>
                </c:pt>
                <c:pt idx="87" formatCode="0.00">
                  <c:v>1.35</c:v>
                </c:pt>
                <c:pt idx="88" formatCode="0.00">
                  <c:v>1.35</c:v>
                </c:pt>
                <c:pt idx="89" formatCode="0.00">
                  <c:v>1.35</c:v>
                </c:pt>
                <c:pt idx="90" formatCode="0.00">
                  <c:v>1.35</c:v>
                </c:pt>
                <c:pt idx="91" formatCode="0.00">
                  <c:v>1.35</c:v>
                </c:pt>
                <c:pt idx="92" formatCode="0.00">
                  <c:v>1.35</c:v>
                </c:pt>
                <c:pt idx="93" formatCode="0.00">
                  <c:v>1.35</c:v>
                </c:pt>
                <c:pt idx="94" formatCode="0.00">
                  <c:v>1.35</c:v>
                </c:pt>
                <c:pt idx="95" formatCode="0.00">
                  <c:v>1.35</c:v>
                </c:pt>
                <c:pt idx="96" formatCode="0.00">
                  <c:v>1.35</c:v>
                </c:pt>
                <c:pt idx="97" formatCode="0.00">
                  <c:v>1.35</c:v>
                </c:pt>
                <c:pt idx="98" formatCode="0.00">
                  <c:v>1.35</c:v>
                </c:pt>
                <c:pt idx="99" formatCode="0.00">
                  <c:v>1.35</c:v>
                </c:pt>
                <c:pt idx="100" formatCode="0.00">
                  <c:v>1.35</c:v>
                </c:pt>
                <c:pt idx="101" formatCode="0.00">
                  <c:v>1.35</c:v>
                </c:pt>
                <c:pt idx="102" formatCode="0.00">
                  <c:v>1.35</c:v>
                </c:pt>
                <c:pt idx="103" formatCode="0.00">
                  <c:v>1.35</c:v>
                </c:pt>
                <c:pt idx="104" formatCode="0.00">
                  <c:v>1.35</c:v>
                </c:pt>
                <c:pt idx="105" formatCode="0.00">
                  <c:v>1.35</c:v>
                </c:pt>
                <c:pt idx="106" formatCode="0.00">
                  <c:v>1.35</c:v>
                </c:pt>
                <c:pt idx="107" formatCode="0.00">
                  <c:v>1.35</c:v>
                </c:pt>
                <c:pt idx="108" formatCode="0.00">
                  <c:v>1.35</c:v>
                </c:pt>
                <c:pt idx="109" formatCode="0.00">
                  <c:v>1.35</c:v>
                </c:pt>
                <c:pt idx="110" formatCode="0.00">
                  <c:v>1.35</c:v>
                </c:pt>
                <c:pt idx="111" formatCode="0.00">
                  <c:v>1.35</c:v>
                </c:pt>
                <c:pt idx="112" formatCode="0.00">
                  <c:v>1.35</c:v>
                </c:pt>
                <c:pt idx="113" formatCode="0.00">
                  <c:v>1.35</c:v>
                </c:pt>
                <c:pt idx="114" formatCode="0.00">
                  <c:v>1.35</c:v>
                </c:pt>
                <c:pt idx="115" formatCode="0.00">
                  <c:v>1.35</c:v>
                </c:pt>
                <c:pt idx="116" formatCode="0.00">
                  <c:v>1.35</c:v>
                </c:pt>
                <c:pt idx="117" formatCode="0.00">
                  <c:v>1.35</c:v>
                </c:pt>
                <c:pt idx="118" formatCode="0.00">
                  <c:v>1.35</c:v>
                </c:pt>
                <c:pt idx="119" formatCode="0.00">
                  <c:v>1.35</c:v>
                </c:pt>
                <c:pt idx="120" formatCode="0.00">
                  <c:v>1.35</c:v>
                </c:pt>
                <c:pt idx="121" formatCode="0.00">
                  <c:v>1.35</c:v>
                </c:pt>
                <c:pt idx="122" formatCode="0.00">
                  <c:v>1.34</c:v>
                </c:pt>
                <c:pt idx="123" formatCode="0.00">
                  <c:v>1.34</c:v>
                </c:pt>
                <c:pt idx="124" formatCode="0.00">
                  <c:v>1.34</c:v>
                </c:pt>
                <c:pt idx="125" formatCode="0.00">
                  <c:v>1.32</c:v>
                </c:pt>
                <c:pt idx="126" formatCode="0.00">
                  <c:v>1.32</c:v>
                </c:pt>
                <c:pt idx="127" formatCode="0.00">
                  <c:v>1.32</c:v>
                </c:pt>
                <c:pt idx="128" formatCode="0.00">
                  <c:v>1.33</c:v>
                </c:pt>
                <c:pt idx="129" formatCode="0.00">
                  <c:v>1.33</c:v>
                </c:pt>
                <c:pt idx="130" formatCode="0.00">
                  <c:v>1.33</c:v>
                </c:pt>
                <c:pt idx="131" formatCode="0.00">
                  <c:v>1.33</c:v>
                </c:pt>
                <c:pt idx="132" formatCode="0.00">
                  <c:v>1.33</c:v>
                </c:pt>
                <c:pt idx="133" formatCode="0.00">
                  <c:v>1.33</c:v>
                </c:pt>
                <c:pt idx="134" formatCode="0.00">
                  <c:v>1.32</c:v>
                </c:pt>
                <c:pt idx="135" formatCode="0.00">
                  <c:v>1.3</c:v>
                </c:pt>
                <c:pt idx="136" formatCode="0.00">
                  <c:v>1.29</c:v>
                </c:pt>
                <c:pt idx="137" formatCode="0.00">
                  <c:v>1.29</c:v>
                </c:pt>
                <c:pt idx="138" formatCode="0.00">
                  <c:v>1.29</c:v>
                </c:pt>
                <c:pt idx="139" formatCode="0.00">
                  <c:v>1.28</c:v>
                </c:pt>
                <c:pt idx="140" formatCode="0.00">
                  <c:v>1.28</c:v>
                </c:pt>
                <c:pt idx="141" formatCode="0.00">
                  <c:v>1.28</c:v>
                </c:pt>
                <c:pt idx="142" formatCode="0.00">
                  <c:v>1.17</c:v>
                </c:pt>
                <c:pt idx="143" formatCode="0.00">
                  <c:v>1.17</c:v>
                </c:pt>
                <c:pt idx="144" formatCode="0.00">
                  <c:v>1.1499999999999999</c:v>
                </c:pt>
                <c:pt idx="145" formatCode="0.00">
                  <c:v>1.1499999999999999</c:v>
                </c:pt>
                <c:pt idx="146" formatCode="0.00">
                  <c:v>1.1599999999999999</c:v>
                </c:pt>
                <c:pt idx="147" formatCode="0.00">
                  <c:v>1.1499999999999999</c:v>
                </c:pt>
                <c:pt idx="148" formatCode="0.00">
                  <c:v>1.1499999999999999</c:v>
                </c:pt>
                <c:pt idx="149" formatCode="0.00">
                  <c:v>1.1399999999999999</c:v>
                </c:pt>
                <c:pt idx="150" formatCode="0.00">
                  <c:v>1.1399999999999999</c:v>
                </c:pt>
                <c:pt idx="151" formatCode="0.00">
                  <c:v>1.1399999999999999</c:v>
                </c:pt>
                <c:pt idx="152" formatCode="0.00">
                  <c:v>1.1399999999999999</c:v>
                </c:pt>
                <c:pt idx="153" formatCode="0.00">
                  <c:v>1.1399999999999999</c:v>
                </c:pt>
                <c:pt idx="154" formatCode="0.00">
                  <c:v>1.1399999999999999</c:v>
                </c:pt>
                <c:pt idx="155" formatCode="0.00">
                  <c:v>1.1399999999999999</c:v>
                </c:pt>
                <c:pt idx="156" formatCode="0.00">
                  <c:v>1.1399999999999999</c:v>
                </c:pt>
                <c:pt idx="157" formatCode="0.00">
                  <c:v>1.1399999999999999</c:v>
                </c:pt>
                <c:pt idx="158" formatCode="0.00">
                  <c:v>1.1399999999999999</c:v>
                </c:pt>
                <c:pt idx="159" formatCode="0.00">
                  <c:v>1.1399999999999999</c:v>
                </c:pt>
                <c:pt idx="160" formatCode="0.00">
                  <c:v>1.1299999999999999</c:v>
                </c:pt>
                <c:pt idx="161" formatCode="0.00">
                  <c:v>1.1299999999999999</c:v>
                </c:pt>
                <c:pt idx="162" formatCode="0.00">
                  <c:v>1.1200000000000001</c:v>
                </c:pt>
                <c:pt idx="163" formatCode="0.00">
                  <c:v>1.1200000000000001</c:v>
                </c:pt>
                <c:pt idx="164" formatCode="0.00">
                  <c:v>1.08</c:v>
                </c:pt>
                <c:pt idx="165" formatCode="0.00">
                  <c:v>1.08</c:v>
                </c:pt>
                <c:pt idx="166" formatCode="0.00">
                  <c:v>1.01</c:v>
                </c:pt>
                <c:pt idx="167" formatCode="0.00">
                  <c:v>1.02</c:v>
                </c:pt>
                <c:pt idx="168" formatCode="0.00">
                  <c:v>1.01</c:v>
                </c:pt>
                <c:pt idx="169" formatCode="0.00">
                  <c:v>1.01</c:v>
                </c:pt>
                <c:pt idx="170" formatCode="0.00">
                  <c:v>1.01</c:v>
                </c:pt>
                <c:pt idx="171" formatCode="0.00">
                  <c:v>1.01</c:v>
                </c:pt>
                <c:pt idx="172" formatCode="0.00">
                  <c:v>1.02</c:v>
                </c:pt>
                <c:pt idx="173" formatCode="0.00">
                  <c:v>1.02</c:v>
                </c:pt>
                <c:pt idx="174" formatCode="0.00">
                  <c:v>1.02</c:v>
                </c:pt>
                <c:pt idx="175" formatCode="0.00">
                  <c:v>1.02</c:v>
                </c:pt>
                <c:pt idx="176" formatCode="0.00">
                  <c:v>1.02</c:v>
                </c:pt>
                <c:pt idx="177" formatCode="0.00">
                  <c:v>1.02</c:v>
                </c:pt>
                <c:pt idx="178" formatCode="0.00">
                  <c:v>1.02</c:v>
                </c:pt>
                <c:pt idx="179" formatCode="0.00">
                  <c:v>1.01</c:v>
                </c:pt>
                <c:pt idx="180" formatCode="0.00">
                  <c:v>1.01</c:v>
                </c:pt>
                <c:pt idx="181" formatCode="0.00">
                  <c:v>1.01</c:v>
                </c:pt>
                <c:pt idx="182" formatCode="0.00">
                  <c:v>1.02</c:v>
                </c:pt>
                <c:pt idx="183" formatCode="0.00">
                  <c:v>1.02</c:v>
                </c:pt>
                <c:pt idx="184" formatCode="0.00">
                  <c:v>1.02</c:v>
                </c:pt>
                <c:pt idx="185" formatCode="0.00">
                  <c:v>0.97</c:v>
                </c:pt>
                <c:pt idx="186" formatCode="0.00">
                  <c:v>0.98</c:v>
                </c:pt>
                <c:pt idx="187" formatCode="0.00">
                  <c:v>0.98</c:v>
                </c:pt>
                <c:pt idx="188" formatCode="0.00">
                  <c:v>0.98</c:v>
                </c:pt>
                <c:pt idx="189" formatCode="0.00">
                  <c:v>0.98</c:v>
                </c:pt>
                <c:pt idx="190" formatCode="0.00">
                  <c:v>0.99</c:v>
                </c:pt>
                <c:pt idx="191" formatCode="0.00">
                  <c:v>0.98</c:v>
                </c:pt>
                <c:pt idx="192" formatCode="0.00">
                  <c:v>0.98</c:v>
                </c:pt>
                <c:pt idx="193" formatCode="0.00">
                  <c:v>0.98</c:v>
                </c:pt>
                <c:pt idx="194" formatCode="0.00">
                  <c:v>0.98</c:v>
                </c:pt>
                <c:pt idx="195" formatCode="0.00">
                  <c:v>0.97</c:v>
                </c:pt>
                <c:pt idx="196" formatCode="0.00">
                  <c:v>0.96</c:v>
                </c:pt>
                <c:pt idx="197" formatCode="0.00">
                  <c:v>0.96</c:v>
                </c:pt>
                <c:pt idx="198" formatCode="0.00">
                  <c:v>0.96</c:v>
                </c:pt>
                <c:pt idx="199" formatCode="0.00">
                  <c:v>0.96</c:v>
                </c:pt>
                <c:pt idx="200" formatCode="0.00">
                  <c:v>0.96</c:v>
                </c:pt>
                <c:pt idx="201" formatCode="0.00">
                  <c:v>0.96</c:v>
                </c:pt>
                <c:pt idx="202" formatCode="0.00">
                  <c:v>0.96</c:v>
                </c:pt>
                <c:pt idx="203" formatCode="0.00">
                  <c:v>0.96</c:v>
                </c:pt>
                <c:pt idx="204" formatCode="0.00">
                  <c:v>0.96</c:v>
                </c:pt>
                <c:pt idx="205" formatCode="0.00">
                  <c:v>0.96</c:v>
                </c:pt>
                <c:pt idx="206" formatCode="0.00">
                  <c:v>0.96</c:v>
                </c:pt>
                <c:pt idx="207" formatCode="0.00">
                  <c:v>0.97</c:v>
                </c:pt>
                <c:pt idx="208" formatCode="0.00">
                  <c:v>0.96</c:v>
                </c:pt>
                <c:pt idx="209" formatCode="0.00">
                  <c:v>0.96</c:v>
                </c:pt>
                <c:pt idx="210" formatCode="0.00">
                  <c:v>0.96</c:v>
                </c:pt>
                <c:pt idx="211" formatCode="0.00">
                  <c:v>0.96</c:v>
                </c:pt>
                <c:pt idx="212" formatCode="0.00">
                  <c:v>0.97</c:v>
                </c:pt>
                <c:pt idx="213" formatCode="0.00">
                  <c:v>0.97</c:v>
                </c:pt>
                <c:pt idx="214" formatCode="0.00">
                  <c:v>0.97</c:v>
                </c:pt>
                <c:pt idx="215" formatCode="0.00">
                  <c:v>0.97</c:v>
                </c:pt>
                <c:pt idx="216" formatCode="0.00">
                  <c:v>0.97</c:v>
                </c:pt>
                <c:pt idx="217" formatCode="0.00">
                  <c:v>0.97</c:v>
                </c:pt>
                <c:pt idx="218" formatCode="0.00">
                  <c:v>0.96</c:v>
                </c:pt>
                <c:pt idx="219" formatCode="0.00">
                  <c:v>0.96</c:v>
                </c:pt>
                <c:pt idx="220" formatCode="0.00">
                  <c:v>0.94</c:v>
                </c:pt>
                <c:pt idx="221" formatCode="0.00">
                  <c:v>0.92</c:v>
                </c:pt>
                <c:pt idx="222" formatCode="0.00">
                  <c:v>0.91</c:v>
                </c:pt>
                <c:pt idx="223" formatCode="0.00">
                  <c:v>0.9</c:v>
                </c:pt>
                <c:pt idx="224" formatCode="0.00">
                  <c:v>0.9</c:v>
                </c:pt>
                <c:pt idx="225" formatCode="0.00">
                  <c:v>0.91</c:v>
                </c:pt>
                <c:pt idx="226" formatCode="0.00">
                  <c:v>0.91</c:v>
                </c:pt>
                <c:pt idx="227" formatCode="0.00">
                  <c:v>0.91</c:v>
                </c:pt>
                <c:pt idx="228" formatCode="0.00">
                  <c:v>0.91</c:v>
                </c:pt>
                <c:pt idx="229" formatCode="0.00">
                  <c:v>0.91</c:v>
                </c:pt>
                <c:pt idx="230" formatCode="0.00">
                  <c:v>0.9</c:v>
                </c:pt>
                <c:pt idx="231" formatCode="0.00">
                  <c:v>0.9</c:v>
                </c:pt>
                <c:pt idx="232" formatCode="0.00">
                  <c:v>0.9</c:v>
                </c:pt>
                <c:pt idx="233" formatCode="0.00">
                  <c:v>0.9</c:v>
                </c:pt>
                <c:pt idx="234" formatCode="0.00">
                  <c:v>0.9</c:v>
                </c:pt>
                <c:pt idx="235" formatCode="0.00">
                  <c:v>0.9</c:v>
                </c:pt>
                <c:pt idx="236" formatCode="0.00">
                  <c:v>0.9</c:v>
                </c:pt>
                <c:pt idx="237" formatCode="0.00">
                  <c:v>0.89</c:v>
                </c:pt>
                <c:pt idx="238" formatCode="0.00">
                  <c:v>0.89</c:v>
                </c:pt>
                <c:pt idx="239" formatCode="0.00">
                  <c:v>0.89</c:v>
                </c:pt>
                <c:pt idx="240" formatCode="0.00">
                  <c:v>0.88</c:v>
                </c:pt>
                <c:pt idx="241" formatCode="0.00">
                  <c:v>0.88</c:v>
                </c:pt>
                <c:pt idx="242" formatCode="0.00">
                  <c:v>0.87</c:v>
                </c:pt>
                <c:pt idx="243" formatCode="0.00">
                  <c:v>0.86</c:v>
                </c:pt>
                <c:pt idx="244" formatCode="0.00">
                  <c:v>0.86</c:v>
                </c:pt>
                <c:pt idx="245" formatCode="0.00">
                  <c:v>0.86</c:v>
                </c:pt>
                <c:pt idx="246" formatCode="0.00">
                  <c:v>0.86</c:v>
                </c:pt>
                <c:pt idx="247" formatCode="0.00">
                  <c:v>0.85</c:v>
                </c:pt>
                <c:pt idx="248" formatCode="0.00">
                  <c:v>0.85</c:v>
                </c:pt>
                <c:pt idx="249" formatCode="0.00">
                  <c:v>0.85</c:v>
                </c:pt>
                <c:pt idx="250" formatCode="0.00">
                  <c:v>0.85</c:v>
                </c:pt>
                <c:pt idx="251" formatCode="0.00">
                  <c:v>0.85</c:v>
                </c:pt>
                <c:pt idx="252" formatCode="0.00">
                  <c:v>0.85</c:v>
                </c:pt>
                <c:pt idx="253" formatCode="0.00">
                  <c:v>0.85</c:v>
                </c:pt>
                <c:pt idx="254" formatCode="0.00">
                  <c:v>0.85</c:v>
                </c:pt>
                <c:pt idx="255" formatCode="0.00">
                  <c:v>0.85</c:v>
                </c:pt>
                <c:pt idx="256" formatCode="0.00">
                  <c:v>0.85</c:v>
                </c:pt>
                <c:pt idx="257" formatCode="0.00">
                  <c:v>0.85</c:v>
                </c:pt>
                <c:pt idx="258" formatCode="0.00">
                  <c:v>0.85</c:v>
                </c:pt>
                <c:pt idx="259" formatCode="0.00">
                  <c:v>0.85</c:v>
                </c:pt>
                <c:pt idx="260" formatCode="0.00">
                  <c:v>0.84</c:v>
                </c:pt>
                <c:pt idx="261" formatCode="0.00">
                  <c:v>0.84</c:v>
                </c:pt>
                <c:pt idx="262" formatCode="0.00">
                  <c:v>0.84</c:v>
                </c:pt>
                <c:pt idx="263" formatCode="0.00">
                  <c:v>0.84</c:v>
                </c:pt>
                <c:pt idx="264" formatCode="0.00">
                  <c:v>0.84</c:v>
                </c:pt>
                <c:pt idx="265" formatCode="0.00">
                  <c:v>0.84</c:v>
                </c:pt>
                <c:pt idx="266" formatCode="0.00">
                  <c:v>0.84</c:v>
                </c:pt>
                <c:pt idx="267" formatCode="0.00">
                  <c:v>0.84</c:v>
                </c:pt>
                <c:pt idx="268" formatCode="0.00">
                  <c:v>0.83</c:v>
                </c:pt>
                <c:pt idx="269" formatCode="0.00">
                  <c:v>0.83</c:v>
                </c:pt>
                <c:pt idx="270" formatCode="0.00">
                  <c:v>0.83</c:v>
                </c:pt>
                <c:pt idx="271" formatCode="0.00">
                  <c:v>0.84</c:v>
                </c:pt>
                <c:pt idx="272" formatCode="0.00">
                  <c:v>0.84</c:v>
                </c:pt>
                <c:pt idx="273" formatCode="0.00">
                  <c:v>0.84</c:v>
                </c:pt>
                <c:pt idx="274" formatCode="0.00">
                  <c:v>0.84</c:v>
                </c:pt>
                <c:pt idx="275" formatCode="0.00">
                  <c:v>0.83</c:v>
                </c:pt>
                <c:pt idx="276" formatCode="0.00">
                  <c:v>0.82</c:v>
                </c:pt>
                <c:pt idx="277" formatCode="0.00">
                  <c:v>0.82</c:v>
                </c:pt>
                <c:pt idx="278" formatCode="0.00">
                  <c:v>0.82</c:v>
                </c:pt>
                <c:pt idx="279" formatCode="0.00">
                  <c:v>0.82</c:v>
                </c:pt>
                <c:pt idx="280" formatCode="0.00">
                  <c:v>0.82</c:v>
                </c:pt>
                <c:pt idx="281" formatCode="0.00">
                  <c:v>0.82</c:v>
                </c:pt>
                <c:pt idx="282" formatCode="0.00">
                  <c:v>0.82</c:v>
                </c:pt>
                <c:pt idx="283" formatCode="0.00">
                  <c:v>0.82</c:v>
                </c:pt>
                <c:pt idx="284" formatCode="0.00">
                  <c:v>0.82</c:v>
                </c:pt>
                <c:pt idx="285" formatCode="0.00">
                  <c:v>0.82</c:v>
                </c:pt>
                <c:pt idx="286" formatCode="0.00">
                  <c:v>0.82</c:v>
                </c:pt>
                <c:pt idx="287" formatCode="0.00">
                  <c:v>0.82</c:v>
                </c:pt>
                <c:pt idx="288" formatCode="0.00">
                  <c:v>0.82</c:v>
                </c:pt>
                <c:pt idx="289" formatCode="0.00">
                  <c:v>0.82</c:v>
                </c:pt>
                <c:pt idx="290" formatCode="0.00">
                  <c:v>0.8</c:v>
                </c:pt>
                <c:pt idx="291" formatCode="0.00">
                  <c:v>0.78</c:v>
                </c:pt>
                <c:pt idx="292" formatCode="0.00">
                  <c:v>0.78</c:v>
                </c:pt>
                <c:pt idx="293" formatCode="0.00">
                  <c:v>0.78</c:v>
                </c:pt>
                <c:pt idx="294" formatCode="0.00">
                  <c:v>0.78</c:v>
                </c:pt>
                <c:pt idx="295" formatCode="0.00">
                  <c:v>0.77</c:v>
                </c:pt>
                <c:pt idx="296" formatCode="0.00">
                  <c:v>0.76</c:v>
                </c:pt>
                <c:pt idx="297" formatCode="0.00">
                  <c:v>0.75</c:v>
                </c:pt>
                <c:pt idx="298" formatCode="0.00">
                  <c:v>0.75</c:v>
                </c:pt>
                <c:pt idx="299" formatCode="0.00">
                  <c:v>0.74</c:v>
                </c:pt>
                <c:pt idx="300" formatCode="0.00">
                  <c:v>0.74</c:v>
                </c:pt>
                <c:pt idx="301" formatCode="0.00">
                  <c:v>0.75</c:v>
                </c:pt>
                <c:pt idx="302" formatCode="0.00">
                  <c:v>0.74</c:v>
                </c:pt>
                <c:pt idx="303" formatCode="0.00">
                  <c:v>0.73</c:v>
                </c:pt>
                <c:pt idx="304" formatCode="0.00">
                  <c:v>0.72</c:v>
                </c:pt>
                <c:pt idx="305" formatCode="0.00">
                  <c:v>0.71</c:v>
                </c:pt>
                <c:pt idx="306" formatCode="0.00">
                  <c:v>0.71</c:v>
                </c:pt>
                <c:pt idx="307" formatCode="0.00">
                  <c:v>0.7</c:v>
                </c:pt>
                <c:pt idx="308" formatCode="0.00">
                  <c:v>0.7</c:v>
                </c:pt>
                <c:pt idx="309" formatCode="0.00">
                  <c:v>0.7</c:v>
                </c:pt>
                <c:pt idx="310" formatCode="0.00">
                  <c:v>0.69</c:v>
                </c:pt>
                <c:pt idx="311" formatCode="0.00">
                  <c:v>0.69</c:v>
                </c:pt>
                <c:pt idx="312" formatCode="0.00">
                  <c:v>0.67</c:v>
                </c:pt>
                <c:pt idx="313" formatCode="0.00">
                  <c:v>0.66</c:v>
                </c:pt>
                <c:pt idx="314" formatCode="0.00">
                  <c:v>0.65</c:v>
                </c:pt>
                <c:pt idx="315" formatCode="0.00">
                  <c:v>0.61</c:v>
                </c:pt>
                <c:pt idx="316" formatCode="0.00">
                  <c:v>0.6</c:v>
                </c:pt>
                <c:pt idx="317" formatCode="0.00">
                  <c:v>0.59</c:v>
                </c:pt>
                <c:pt idx="318" formatCode="0.00">
                  <c:v>0.56999999999999995</c:v>
                </c:pt>
                <c:pt idx="319" formatCode="0.00">
                  <c:v>0.56000000000000005</c:v>
                </c:pt>
                <c:pt idx="320" formatCode="0.00">
                  <c:v>0.56000000000000005</c:v>
                </c:pt>
                <c:pt idx="321" formatCode="0.00">
                  <c:v>0.54</c:v>
                </c:pt>
                <c:pt idx="322" formatCode="0.00">
                  <c:v>0.51</c:v>
                </c:pt>
                <c:pt idx="323" formatCode="0.00">
                  <c:v>0.5</c:v>
                </c:pt>
                <c:pt idx="324" formatCode="0.00">
                  <c:v>0.48</c:v>
                </c:pt>
                <c:pt idx="325" formatCode="0.00">
                  <c:v>0.46</c:v>
                </c:pt>
                <c:pt idx="326" formatCode="0.00">
                  <c:v>0.45</c:v>
                </c:pt>
                <c:pt idx="327" formatCode="0.00">
                  <c:v>0.45</c:v>
                </c:pt>
                <c:pt idx="328" formatCode="0.00">
                  <c:v>0.44</c:v>
                </c:pt>
                <c:pt idx="329" formatCode="0.00">
                  <c:v>0.44</c:v>
                </c:pt>
                <c:pt idx="330" formatCode="0.00">
                  <c:v>0.43</c:v>
                </c:pt>
                <c:pt idx="331" formatCode="0.00">
                  <c:v>0.43</c:v>
                </c:pt>
                <c:pt idx="332" formatCode="0.00">
                  <c:v>0.42</c:v>
                </c:pt>
                <c:pt idx="333" formatCode="0.00">
                  <c:v>0.42</c:v>
                </c:pt>
                <c:pt idx="334" formatCode="0.00">
                  <c:v>0.42</c:v>
                </c:pt>
                <c:pt idx="335" formatCode="0.00">
                  <c:v>0.42</c:v>
                </c:pt>
                <c:pt idx="336" formatCode="0.00">
                  <c:v>0.42</c:v>
                </c:pt>
                <c:pt idx="337" formatCode="0.00">
                  <c:v>0.42</c:v>
                </c:pt>
                <c:pt idx="338" formatCode="0.00">
                  <c:v>0.42</c:v>
                </c:pt>
                <c:pt idx="339" formatCode="0.00">
                  <c:v>0.42</c:v>
                </c:pt>
                <c:pt idx="340" formatCode="0.00">
                  <c:v>0.42</c:v>
                </c:pt>
                <c:pt idx="341" formatCode="0.00">
                  <c:v>0.42</c:v>
                </c:pt>
                <c:pt idx="342" formatCode="0.00">
                  <c:v>0.42</c:v>
                </c:pt>
                <c:pt idx="343" formatCode="0.00">
                  <c:v>0.41</c:v>
                </c:pt>
                <c:pt idx="344" formatCode="0.00">
                  <c:v>0.41</c:v>
                </c:pt>
                <c:pt idx="345" formatCode="0.00">
                  <c:v>0.4</c:v>
                </c:pt>
                <c:pt idx="346" formatCode="0.00">
                  <c:v>0.4</c:v>
                </c:pt>
                <c:pt idx="347" formatCode="0.00">
                  <c:v>0.4</c:v>
                </c:pt>
                <c:pt idx="348" formatCode="0.00">
                  <c:v>0.39</c:v>
                </c:pt>
                <c:pt idx="349" formatCode="0.00">
                  <c:v>0.38</c:v>
                </c:pt>
                <c:pt idx="350" formatCode="0.00">
                  <c:v>0.37</c:v>
                </c:pt>
                <c:pt idx="351" formatCode="0.00">
                  <c:v>0.36</c:v>
                </c:pt>
                <c:pt idx="352" formatCode="0.00">
                  <c:v>0.36</c:v>
                </c:pt>
                <c:pt idx="353" formatCode="0.00">
                  <c:v>0.36</c:v>
                </c:pt>
                <c:pt idx="354" formatCode="0.00">
                  <c:v>0.34</c:v>
                </c:pt>
                <c:pt idx="355" formatCode="0.00">
                  <c:v>0.34</c:v>
                </c:pt>
                <c:pt idx="356" formatCode="0.00">
                  <c:v>0.34</c:v>
                </c:pt>
                <c:pt idx="357" formatCode="0.00">
                  <c:v>0.34</c:v>
                </c:pt>
                <c:pt idx="358" formatCode="0.00">
                  <c:v>0.34</c:v>
                </c:pt>
                <c:pt idx="359" formatCode="0.00">
                  <c:v>0.34</c:v>
                </c:pt>
                <c:pt idx="360" formatCode="0.00">
                  <c:v>0.34</c:v>
                </c:pt>
                <c:pt idx="361" formatCode="0.00">
                  <c:v>0.34</c:v>
                </c:pt>
                <c:pt idx="362" formatCode="0.00">
                  <c:v>0.34</c:v>
                </c:pt>
                <c:pt idx="363" formatCode="0.00">
                  <c:v>0.34</c:v>
                </c:pt>
                <c:pt idx="364" formatCode="0.00">
                  <c:v>0.35</c:v>
                </c:pt>
                <c:pt idx="365" formatCode="0.00">
                  <c:v>0.35</c:v>
                </c:pt>
                <c:pt idx="366" formatCode="0.00">
                  <c:v>0.34</c:v>
                </c:pt>
                <c:pt idx="367" formatCode="0.00">
                  <c:v>0.34</c:v>
                </c:pt>
                <c:pt idx="368" formatCode="0.00">
                  <c:v>0.34</c:v>
                </c:pt>
                <c:pt idx="369" formatCode="0.00">
                  <c:v>0.34</c:v>
                </c:pt>
                <c:pt idx="370" formatCode="0.00">
                  <c:v>0.34</c:v>
                </c:pt>
                <c:pt idx="371" formatCode="0.00">
                  <c:v>0.34</c:v>
                </c:pt>
                <c:pt idx="372" formatCode="0.00">
                  <c:v>0.34</c:v>
                </c:pt>
                <c:pt idx="373" formatCode="0.00">
                  <c:v>0.34</c:v>
                </c:pt>
                <c:pt idx="374" formatCode="0.00">
                  <c:v>0.34</c:v>
                </c:pt>
                <c:pt idx="375" formatCode="0.00">
                  <c:v>0.34</c:v>
                </c:pt>
                <c:pt idx="376" formatCode="0.00">
                  <c:v>0.34</c:v>
                </c:pt>
                <c:pt idx="377" formatCode="0.00">
                  <c:v>0.34</c:v>
                </c:pt>
                <c:pt idx="378" formatCode="0.00">
                  <c:v>0.34</c:v>
                </c:pt>
                <c:pt idx="379" formatCode="0.00">
                  <c:v>0.34</c:v>
                </c:pt>
                <c:pt idx="380" formatCode="0.00">
                  <c:v>0.33</c:v>
                </c:pt>
                <c:pt idx="381" formatCode="0.00">
                  <c:v>0.33</c:v>
                </c:pt>
                <c:pt idx="382" formatCode="0.00">
                  <c:v>0.33</c:v>
                </c:pt>
                <c:pt idx="383" formatCode="0.00">
                  <c:v>0.33</c:v>
                </c:pt>
                <c:pt idx="384" formatCode="0.00">
                  <c:v>0.33</c:v>
                </c:pt>
                <c:pt idx="385" formatCode="0.00">
                  <c:v>0.33</c:v>
                </c:pt>
                <c:pt idx="386" formatCode="0.00">
                  <c:v>0.33</c:v>
                </c:pt>
                <c:pt idx="387" formatCode="0.00">
                  <c:v>0.33</c:v>
                </c:pt>
                <c:pt idx="388" formatCode="0.00">
                  <c:v>0.32</c:v>
                </c:pt>
                <c:pt idx="389" formatCode="0.00">
                  <c:v>0.32</c:v>
                </c:pt>
                <c:pt idx="390" formatCode="0.00">
                  <c:v>0.31</c:v>
                </c:pt>
                <c:pt idx="391" formatCode="0.00">
                  <c:v>0.31</c:v>
                </c:pt>
                <c:pt idx="392" formatCode="0.00">
                  <c:v>0.31</c:v>
                </c:pt>
                <c:pt idx="393" formatCode="0.00">
                  <c:v>0.31</c:v>
                </c:pt>
                <c:pt idx="394" formatCode="0.00">
                  <c:v>0.31</c:v>
                </c:pt>
                <c:pt idx="395" formatCode="0.00">
                  <c:v>0.3</c:v>
                </c:pt>
                <c:pt idx="396" formatCode="0.00">
                  <c:v>0.3</c:v>
                </c:pt>
                <c:pt idx="397" formatCode="0.00">
                  <c:v>0.3</c:v>
                </c:pt>
                <c:pt idx="398" formatCode="0.00">
                  <c:v>0.3</c:v>
                </c:pt>
                <c:pt idx="399" formatCode="0.00">
                  <c:v>0.3</c:v>
                </c:pt>
                <c:pt idx="400" formatCode="0.00">
                  <c:v>0.3</c:v>
                </c:pt>
                <c:pt idx="401" formatCode="0.00">
                  <c:v>0.3</c:v>
                </c:pt>
                <c:pt idx="402" formatCode="0.00">
                  <c:v>0.28000000000000003</c:v>
                </c:pt>
                <c:pt idx="403" formatCode="0.00">
                  <c:v>0.26</c:v>
                </c:pt>
                <c:pt idx="404" formatCode="0.00">
                  <c:v>0.25</c:v>
                </c:pt>
                <c:pt idx="405" formatCode="0.00">
                  <c:v>0.25</c:v>
                </c:pt>
                <c:pt idx="406" formatCode="0.00">
                  <c:v>0.25</c:v>
                </c:pt>
                <c:pt idx="407" formatCode="0.00">
                  <c:v>0.25</c:v>
                </c:pt>
                <c:pt idx="408" formatCode="0.00">
                  <c:v>0.25</c:v>
                </c:pt>
                <c:pt idx="409" formatCode="0.00">
                  <c:v>0.25</c:v>
                </c:pt>
                <c:pt idx="410" formatCode="0.00">
                  <c:v>0.24</c:v>
                </c:pt>
                <c:pt idx="411" formatCode="0.00">
                  <c:v>0.24</c:v>
                </c:pt>
                <c:pt idx="412" formatCode="0.00">
                  <c:v>0.24</c:v>
                </c:pt>
                <c:pt idx="413" formatCode="0.00">
                  <c:v>0.24</c:v>
                </c:pt>
                <c:pt idx="414" formatCode="0.00">
                  <c:v>0.24</c:v>
                </c:pt>
                <c:pt idx="415" formatCode="0.00">
                  <c:v>0.24</c:v>
                </c:pt>
                <c:pt idx="416" formatCode="0.00">
                  <c:v>0.24</c:v>
                </c:pt>
                <c:pt idx="417" formatCode="0.00">
                  <c:v>0.24</c:v>
                </c:pt>
                <c:pt idx="418" formatCode="0.00">
                  <c:v>0.24</c:v>
                </c:pt>
                <c:pt idx="419" formatCode="0.00">
                  <c:v>0.24</c:v>
                </c:pt>
                <c:pt idx="420" formatCode="0.00">
                  <c:v>0.24</c:v>
                </c:pt>
                <c:pt idx="421">
                  <c:v>0.24</c:v>
                </c:pt>
                <c:pt idx="422">
                  <c:v>0.24</c:v>
                </c:pt>
                <c:pt idx="423">
                  <c:v>0.24</c:v>
                </c:pt>
                <c:pt idx="424">
                  <c:v>0.24</c:v>
                </c:pt>
                <c:pt idx="425">
                  <c:v>0.24</c:v>
                </c:pt>
                <c:pt idx="426">
                  <c:v>0.25</c:v>
                </c:pt>
                <c:pt idx="427">
                  <c:v>0.25</c:v>
                </c:pt>
                <c:pt idx="428">
                  <c:v>0.25</c:v>
                </c:pt>
                <c:pt idx="429">
                  <c:v>0.25</c:v>
                </c:pt>
                <c:pt idx="430">
                  <c:v>0.25</c:v>
                </c:pt>
                <c:pt idx="431">
                  <c:v>0.25</c:v>
                </c:pt>
                <c:pt idx="432">
                  <c:v>0.25</c:v>
                </c:pt>
                <c:pt idx="433">
                  <c:v>0.25</c:v>
                </c:pt>
                <c:pt idx="434">
                  <c:v>0.25</c:v>
                </c:pt>
                <c:pt idx="435">
                  <c:v>0.24</c:v>
                </c:pt>
                <c:pt idx="436">
                  <c:v>0.24</c:v>
                </c:pt>
                <c:pt idx="437">
                  <c:v>0.24</c:v>
                </c:pt>
                <c:pt idx="438">
                  <c:v>0.24</c:v>
                </c:pt>
                <c:pt idx="439">
                  <c:v>0.23</c:v>
                </c:pt>
                <c:pt idx="440">
                  <c:v>0.23</c:v>
                </c:pt>
                <c:pt idx="441">
                  <c:v>0.23</c:v>
                </c:pt>
                <c:pt idx="442">
                  <c:v>0.23</c:v>
                </c:pt>
                <c:pt idx="443">
                  <c:v>0.23</c:v>
                </c:pt>
                <c:pt idx="444">
                  <c:v>0.23</c:v>
                </c:pt>
                <c:pt idx="445">
                  <c:v>0.23</c:v>
                </c:pt>
                <c:pt idx="446">
                  <c:v>0.23</c:v>
                </c:pt>
                <c:pt idx="447">
                  <c:v>0.23</c:v>
                </c:pt>
                <c:pt idx="448">
                  <c:v>0.23</c:v>
                </c:pt>
                <c:pt idx="449">
                  <c:v>0.22</c:v>
                </c:pt>
                <c:pt idx="450">
                  <c:v>0.22</c:v>
                </c:pt>
                <c:pt idx="451">
                  <c:v>0.22</c:v>
                </c:pt>
                <c:pt idx="452">
                  <c:v>0.22</c:v>
                </c:pt>
                <c:pt idx="453">
                  <c:v>0.22</c:v>
                </c:pt>
                <c:pt idx="454">
                  <c:v>0.22</c:v>
                </c:pt>
                <c:pt idx="455">
                  <c:v>0.22</c:v>
                </c:pt>
                <c:pt idx="456">
                  <c:v>0.22</c:v>
                </c:pt>
                <c:pt idx="457">
                  <c:v>0.22</c:v>
                </c:pt>
                <c:pt idx="458">
                  <c:v>0.22</c:v>
                </c:pt>
                <c:pt idx="459">
                  <c:v>0.22</c:v>
                </c:pt>
                <c:pt idx="460">
                  <c:v>0.22</c:v>
                </c:pt>
                <c:pt idx="461">
                  <c:v>0.22</c:v>
                </c:pt>
                <c:pt idx="462">
                  <c:v>0.22</c:v>
                </c:pt>
                <c:pt idx="463">
                  <c:v>0.22</c:v>
                </c:pt>
                <c:pt idx="464">
                  <c:v>0.22</c:v>
                </c:pt>
                <c:pt idx="465">
                  <c:v>0.22</c:v>
                </c:pt>
                <c:pt idx="466">
                  <c:v>0.22</c:v>
                </c:pt>
                <c:pt idx="467">
                  <c:v>0.22</c:v>
                </c:pt>
                <c:pt idx="468">
                  <c:v>0.22</c:v>
                </c:pt>
                <c:pt idx="469">
                  <c:v>0.22</c:v>
                </c:pt>
                <c:pt idx="470">
                  <c:v>0.22</c:v>
                </c:pt>
                <c:pt idx="471">
                  <c:v>0.22</c:v>
                </c:pt>
                <c:pt idx="472">
                  <c:v>0.22</c:v>
                </c:pt>
                <c:pt idx="473">
                  <c:v>0.22</c:v>
                </c:pt>
                <c:pt idx="474">
                  <c:v>0.22</c:v>
                </c:pt>
                <c:pt idx="475">
                  <c:v>0.22</c:v>
                </c:pt>
                <c:pt idx="476">
                  <c:v>0.22</c:v>
                </c:pt>
                <c:pt idx="477">
                  <c:v>0.22</c:v>
                </c:pt>
                <c:pt idx="478">
                  <c:v>0.22</c:v>
                </c:pt>
                <c:pt idx="479">
                  <c:v>0.22</c:v>
                </c:pt>
                <c:pt idx="480">
                  <c:v>0.22</c:v>
                </c:pt>
                <c:pt idx="481">
                  <c:v>0.22</c:v>
                </c:pt>
                <c:pt idx="482">
                  <c:v>0.22</c:v>
                </c:pt>
                <c:pt idx="483">
                  <c:v>0.22</c:v>
                </c:pt>
                <c:pt idx="484">
                  <c:v>0.22</c:v>
                </c:pt>
                <c:pt idx="485">
                  <c:v>0.22</c:v>
                </c:pt>
                <c:pt idx="486">
                  <c:v>0.22</c:v>
                </c:pt>
                <c:pt idx="487">
                  <c:v>0.22</c:v>
                </c:pt>
                <c:pt idx="488">
                  <c:v>0.22</c:v>
                </c:pt>
                <c:pt idx="489">
                  <c:v>0.22</c:v>
                </c:pt>
                <c:pt idx="490">
                  <c:v>0.22</c:v>
                </c:pt>
                <c:pt idx="491">
                  <c:v>0.22</c:v>
                </c:pt>
                <c:pt idx="492">
                  <c:v>0.22</c:v>
                </c:pt>
                <c:pt idx="493">
                  <c:v>0.22</c:v>
                </c:pt>
                <c:pt idx="494">
                  <c:v>0.22</c:v>
                </c:pt>
                <c:pt idx="495">
                  <c:v>0.22</c:v>
                </c:pt>
                <c:pt idx="496">
                  <c:v>0.22</c:v>
                </c:pt>
                <c:pt idx="497">
                  <c:v>0.22</c:v>
                </c:pt>
                <c:pt idx="498">
                  <c:v>0.22</c:v>
                </c:pt>
                <c:pt idx="499">
                  <c:v>0.22</c:v>
                </c:pt>
                <c:pt idx="500">
                  <c:v>0.22</c:v>
                </c:pt>
                <c:pt idx="501">
                  <c:v>0.22</c:v>
                </c:pt>
                <c:pt idx="502">
                  <c:v>0.22</c:v>
                </c:pt>
                <c:pt idx="503">
                  <c:v>0.21</c:v>
                </c:pt>
                <c:pt idx="504">
                  <c:v>0.21</c:v>
                </c:pt>
                <c:pt idx="505">
                  <c:v>0.21</c:v>
                </c:pt>
                <c:pt idx="506">
                  <c:v>0.21</c:v>
                </c:pt>
                <c:pt idx="507">
                  <c:v>0.21</c:v>
                </c:pt>
                <c:pt idx="508">
                  <c:v>0.21</c:v>
                </c:pt>
                <c:pt idx="509">
                  <c:v>0.21</c:v>
                </c:pt>
                <c:pt idx="510">
                  <c:v>0.21</c:v>
                </c:pt>
                <c:pt idx="511">
                  <c:v>0.21</c:v>
                </c:pt>
                <c:pt idx="512">
                  <c:v>0.21</c:v>
                </c:pt>
                <c:pt idx="513">
                  <c:v>0.21</c:v>
                </c:pt>
                <c:pt idx="514">
                  <c:v>0.21</c:v>
                </c:pt>
                <c:pt idx="515">
                  <c:v>0.21</c:v>
                </c:pt>
                <c:pt idx="516">
                  <c:v>0.21</c:v>
                </c:pt>
                <c:pt idx="517">
                  <c:v>0.21</c:v>
                </c:pt>
                <c:pt idx="518">
                  <c:v>0.21</c:v>
                </c:pt>
                <c:pt idx="519">
                  <c:v>0.21</c:v>
                </c:pt>
                <c:pt idx="520">
                  <c:v>0.21</c:v>
                </c:pt>
                <c:pt idx="521">
                  <c:v>0.21</c:v>
                </c:pt>
                <c:pt idx="522">
                  <c:v>0.21</c:v>
                </c:pt>
                <c:pt idx="523">
                  <c:v>0.21</c:v>
                </c:pt>
                <c:pt idx="524">
                  <c:v>0.21</c:v>
                </c:pt>
                <c:pt idx="525">
                  <c:v>0.21</c:v>
                </c:pt>
                <c:pt idx="526">
                  <c:v>0.21</c:v>
                </c:pt>
                <c:pt idx="527">
                  <c:v>0.21</c:v>
                </c:pt>
                <c:pt idx="528">
                  <c:v>0.21</c:v>
                </c:pt>
                <c:pt idx="529">
                  <c:v>0.21</c:v>
                </c:pt>
                <c:pt idx="530">
                  <c:v>0.21</c:v>
                </c:pt>
                <c:pt idx="531">
                  <c:v>0.2</c:v>
                </c:pt>
                <c:pt idx="532">
                  <c:v>0.2</c:v>
                </c:pt>
                <c:pt idx="533">
                  <c:v>0.2</c:v>
                </c:pt>
                <c:pt idx="534">
                  <c:v>0.2</c:v>
                </c:pt>
                <c:pt idx="535">
                  <c:v>0.2</c:v>
                </c:pt>
                <c:pt idx="536">
                  <c:v>0.2</c:v>
                </c:pt>
                <c:pt idx="537">
                  <c:v>0.2</c:v>
                </c:pt>
                <c:pt idx="538">
                  <c:v>0.2</c:v>
                </c:pt>
                <c:pt idx="539">
                  <c:v>0.2</c:v>
                </c:pt>
                <c:pt idx="540">
                  <c:v>0.2</c:v>
                </c:pt>
                <c:pt idx="541">
                  <c:v>0.2</c:v>
                </c:pt>
                <c:pt idx="542">
                  <c:v>0.2</c:v>
                </c:pt>
                <c:pt idx="543">
                  <c:v>0.2</c:v>
                </c:pt>
                <c:pt idx="544">
                  <c:v>0.2</c:v>
                </c:pt>
                <c:pt idx="545">
                  <c:v>0.2</c:v>
                </c:pt>
                <c:pt idx="546">
                  <c:v>0.2</c:v>
                </c:pt>
                <c:pt idx="547">
                  <c:v>0.2</c:v>
                </c:pt>
                <c:pt idx="548">
                  <c:v>0.2</c:v>
                </c:pt>
                <c:pt idx="549">
                  <c:v>0.2</c:v>
                </c:pt>
                <c:pt idx="550">
                  <c:v>0.2</c:v>
                </c:pt>
                <c:pt idx="551">
                  <c:v>0.2</c:v>
                </c:pt>
                <c:pt idx="552">
                  <c:v>0.2</c:v>
                </c:pt>
                <c:pt idx="553">
                  <c:v>0.2</c:v>
                </c:pt>
                <c:pt idx="554">
                  <c:v>0.2</c:v>
                </c:pt>
                <c:pt idx="555">
                  <c:v>0.2</c:v>
                </c:pt>
                <c:pt idx="556">
                  <c:v>0.2</c:v>
                </c:pt>
                <c:pt idx="557">
                  <c:v>0.2</c:v>
                </c:pt>
                <c:pt idx="558">
                  <c:v>0.19</c:v>
                </c:pt>
                <c:pt idx="559">
                  <c:v>0.19</c:v>
                </c:pt>
                <c:pt idx="560">
                  <c:v>0.18</c:v>
                </c:pt>
                <c:pt idx="561">
                  <c:v>0.17</c:v>
                </c:pt>
                <c:pt idx="562">
                  <c:v>0.17</c:v>
                </c:pt>
                <c:pt idx="563">
                  <c:v>0.17</c:v>
                </c:pt>
                <c:pt idx="564">
                  <c:v>0.17</c:v>
                </c:pt>
                <c:pt idx="565">
                  <c:v>0.16</c:v>
                </c:pt>
                <c:pt idx="566">
                  <c:v>0.16</c:v>
                </c:pt>
                <c:pt idx="567">
                  <c:v>0.11</c:v>
                </c:pt>
                <c:pt idx="568">
                  <c:v>0.1</c:v>
                </c:pt>
                <c:pt idx="569">
                  <c:v>0.09</c:v>
                </c:pt>
                <c:pt idx="570">
                  <c:v>0.09</c:v>
                </c:pt>
                <c:pt idx="571">
                  <c:v>0.09</c:v>
                </c:pt>
                <c:pt idx="572">
                  <c:v>0.08</c:v>
                </c:pt>
                <c:pt idx="573">
                  <c:v>0.08</c:v>
                </c:pt>
                <c:pt idx="574">
                  <c:v>0.08</c:v>
                </c:pt>
                <c:pt idx="575">
                  <c:v>7.0000000000000007E-2</c:v>
                </c:pt>
                <c:pt idx="576">
                  <c:v>7.0000000000000007E-2</c:v>
                </c:pt>
                <c:pt idx="577">
                  <c:v>7.0000000000000007E-2</c:v>
                </c:pt>
                <c:pt idx="578">
                  <c:v>7.0000000000000007E-2</c:v>
                </c:pt>
                <c:pt idx="579">
                  <c:v>7.0000000000000007E-2</c:v>
                </c:pt>
                <c:pt idx="580">
                  <c:v>7.0000000000000007E-2</c:v>
                </c:pt>
                <c:pt idx="581">
                  <c:v>7.0000000000000007E-2</c:v>
                </c:pt>
                <c:pt idx="582">
                  <c:v>7.0000000000000007E-2</c:v>
                </c:pt>
                <c:pt idx="583">
                  <c:v>7.0000000000000007E-2</c:v>
                </c:pt>
                <c:pt idx="584">
                  <c:v>7.0000000000000007E-2</c:v>
                </c:pt>
                <c:pt idx="585">
                  <c:v>7.0000000000000007E-2</c:v>
                </c:pt>
                <c:pt idx="586">
                  <c:v>7.0000000000000007E-2</c:v>
                </c:pt>
                <c:pt idx="587">
                  <c:v>7.0000000000000007E-2</c:v>
                </c:pt>
                <c:pt idx="588">
                  <c:v>7.0000000000000007E-2</c:v>
                </c:pt>
                <c:pt idx="589">
                  <c:v>7.0000000000000007E-2</c:v>
                </c:pt>
                <c:pt idx="590">
                  <c:v>7.0000000000000007E-2</c:v>
                </c:pt>
                <c:pt idx="591">
                  <c:v>7.0000000000000007E-2</c:v>
                </c:pt>
                <c:pt idx="592">
                  <c:v>7.0000000000000007E-2</c:v>
                </c:pt>
                <c:pt idx="593">
                  <c:v>7.0000000000000007E-2</c:v>
                </c:pt>
                <c:pt idx="594">
                  <c:v>7.0000000000000007E-2</c:v>
                </c:pt>
                <c:pt idx="595">
                  <c:v>7.0000000000000007E-2</c:v>
                </c:pt>
                <c:pt idx="596">
                  <c:v>7.0000000000000007E-2</c:v>
                </c:pt>
                <c:pt idx="597">
                  <c:v>7.0000000000000007E-2</c:v>
                </c:pt>
                <c:pt idx="598">
                  <c:v>7.0000000000000007E-2</c:v>
                </c:pt>
                <c:pt idx="599">
                  <c:v>7.0000000000000007E-2</c:v>
                </c:pt>
                <c:pt idx="600">
                  <c:v>7.0000000000000007E-2</c:v>
                </c:pt>
                <c:pt idx="601">
                  <c:v>7.0000000000000007E-2</c:v>
                </c:pt>
                <c:pt idx="602">
                  <c:v>7.0000000000000007E-2</c:v>
                </c:pt>
                <c:pt idx="603">
                  <c:v>7.0000000000000007E-2</c:v>
                </c:pt>
                <c:pt idx="604">
                  <c:v>7.0000000000000007E-2</c:v>
                </c:pt>
                <c:pt idx="605">
                  <c:v>7.0000000000000007E-2</c:v>
                </c:pt>
                <c:pt idx="606">
                  <c:v>7.0000000000000007E-2</c:v>
                </c:pt>
                <c:pt idx="607">
                  <c:v>7.0000000000000007E-2</c:v>
                </c:pt>
                <c:pt idx="608">
                  <c:v>7.0000000000000007E-2</c:v>
                </c:pt>
                <c:pt idx="609">
                  <c:v>7.0000000000000007E-2</c:v>
                </c:pt>
                <c:pt idx="610">
                  <c:v>7.0000000000000007E-2</c:v>
                </c:pt>
                <c:pt idx="611">
                  <c:v>7.0000000000000007E-2</c:v>
                </c:pt>
                <c:pt idx="612">
                  <c:v>7.0000000000000007E-2</c:v>
                </c:pt>
                <c:pt idx="613">
                  <c:v>7.0000000000000007E-2</c:v>
                </c:pt>
                <c:pt idx="614">
                  <c:v>7.0000000000000007E-2</c:v>
                </c:pt>
                <c:pt idx="615">
                  <c:v>7.0000000000000007E-2</c:v>
                </c:pt>
                <c:pt idx="616">
                  <c:v>7.0000000000000007E-2</c:v>
                </c:pt>
                <c:pt idx="617">
                  <c:v>7.0000000000000007E-2</c:v>
                </c:pt>
                <c:pt idx="618">
                  <c:v>7.0000000000000007E-2</c:v>
                </c:pt>
                <c:pt idx="619">
                  <c:v>7.0000000000000007E-2</c:v>
                </c:pt>
                <c:pt idx="620">
                  <c:v>7.0000000000000007E-2</c:v>
                </c:pt>
                <c:pt idx="621">
                  <c:v>0.06</c:v>
                </c:pt>
                <c:pt idx="622">
                  <c:v>7.0000000000000007E-2</c:v>
                </c:pt>
                <c:pt idx="623">
                  <c:v>7.0000000000000007E-2</c:v>
                </c:pt>
                <c:pt idx="624">
                  <c:v>7.0000000000000007E-2</c:v>
                </c:pt>
                <c:pt idx="625">
                  <c:v>0.06</c:v>
                </c:pt>
                <c:pt idx="626">
                  <c:v>0.06</c:v>
                </c:pt>
                <c:pt idx="627">
                  <c:v>0.06</c:v>
                </c:pt>
                <c:pt idx="628">
                  <c:v>0.06</c:v>
                </c:pt>
                <c:pt idx="629">
                  <c:v>0.06</c:v>
                </c:pt>
                <c:pt idx="630">
                  <c:v>0.06</c:v>
                </c:pt>
                <c:pt idx="631">
                  <c:v>0.06</c:v>
                </c:pt>
                <c:pt idx="632">
                  <c:v>0.06</c:v>
                </c:pt>
                <c:pt idx="633">
                  <c:v>0.06</c:v>
                </c:pt>
                <c:pt idx="634">
                  <c:v>0.06</c:v>
                </c:pt>
                <c:pt idx="635">
                  <c:v>0.06</c:v>
                </c:pt>
                <c:pt idx="636">
                  <c:v>0.06</c:v>
                </c:pt>
                <c:pt idx="637">
                  <c:v>0.06</c:v>
                </c:pt>
                <c:pt idx="638">
                  <c:v>0.06</c:v>
                </c:pt>
                <c:pt idx="639">
                  <c:v>0.06</c:v>
                </c:pt>
                <c:pt idx="640">
                  <c:v>0.06</c:v>
                </c:pt>
                <c:pt idx="641">
                  <c:v>0.06</c:v>
                </c:pt>
                <c:pt idx="642">
                  <c:v>0.06</c:v>
                </c:pt>
                <c:pt idx="643">
                  <c:v>0.06</c:v>
                </c:pt>
                <c:pt idx="644">
                  <c:v>0.06</c:v>
                </c:pt>
                <c:pt idx="645">
                  <c:v>0.06</c:v>
                </c:pt>
                <c:pt idx="646">
                  <c:v>0.06</c:v>
                </c:pt>
                <c:pt idx="647">
                  <c:v>0.06</c:v>
                </c:pt>
                <c:pt idx="648">
                  <c:v>0.06</c:v>
                </c:pt>
                <c:pt idx="649">
                  <c:v>0.06</c:v>
                </c:pt>
                <c:pt idx="650">
                  <c:v>0.06</c:v>
                </c:pt>
                <c:pt idx="651">
                  <c:v>0.06</c:v>
                </c:pt>
                <c:pt idx="652">
                  <c:v>0.06</c:v>
                </c:pt>
                <c:pt idx="653">
                  <c:v>0.06</c:v>
                </c:pt>
                <c:pt idx="654">
                  <c:v>0.06</c:v>
                </c:pt>
                <c:pt idx="655">
                  <c:v>0.06</c:v>
                </c:pt>
                <c:pt idx="656">
                  <c:v>0.06</c:v>
                </c:pt>
                <c:pt idx="657">
                  <c:v>0.06</c:v>
                </c:pt>
                <c:pt idx="658">
                  <c:v>0.06</c:v>
                </c:pt>
                <c:pt idx="659">
                  <c:v>0.06</c:v>
                </c:pt>
                <c:pt idx="660">
                  <c:v>0.06</c:v>
                </c:pt>
                <c:pt idx="661">
                  <c:v>0.06</c:v>
                </c:pt>
                <c:pt idx="662">
                  <c:v>0.06</c:v>
                </c:pt>
                <c:pt idx="663">
                  <c:v>0.06</c:v>
                </c:pt>
                <c:pt idx="664">
                  <c:v>0.06</c:v>
                </c:pt>
                <c:pt idx="665">
                  <c:v>0.06</c:v>
                </c:pt>
                <c:pt idx="666">
                  <c:v>0.06</c:v>
                </c:pt>
                <c:pt idx="667">
                  <c:v>0.06</c:v>
                </c:pt>
                <c:pt idx="668">
                  <c:v>0.06</c:v>
                </c:pt>
                <c:pt idx="669">
                  <c:v>0.06</c:v>
                </c:pt>
                <c:pt idx="670">
                  <c:v>0.06</c:v>
                </c:pt>
                <c:pt idx="671">
                  <c:v>0.06</c:v>
                </c:pt>
                <c:pt idx="672">
                  <c:v>0.06</c:v>
                </c:pt>
                <c:pt idx="673">
                  <c:v>0.06</c:v>
                </c:pt>
                <c:pt idx="674">
                  <c:v>0.05</c:v>
                </c:pt>
                <c:pt idx="675">
                  <c:v>0.05</c:v>
                </c:pt>
                <c:pt idx="676">
                  <c:v>0.05</c:v>
                </c:pt>
                <c:pt idx="677">
                  <c:v>0.05</c:v>
                </c:pt>
                <c:pt idx="678">
                  <c:v>0.05</c:v>
                </c:pt>
                <c:pt idx="679">
                  <c:v>0.05</c:v>
                </c:pt>
                <c:pt idx="680">
                  <c:v>0.05</c:v>
                </c:pt>
                <c:pt idx="681">
                  <c:v>0.05</c:v>
                </c:pt>
                <c:pt idx="682">
                  <c:v>0.05</c:v>
                </c:pt>
                <c:pt idx="683">
                  <c:v>0.05</c:v>
                </c:pt>
                <c:pt idx="684">
                  <c:v>0.04</c:v>
                </c:pt>
                <c:pt idx="685">
                  <c:v>0.04</c:v>
                </c:pt>
                <c:pt idx="686">
                  <c:v>0.04</c:v>
                </c:pt>
                <c:pt idx="687">
                  <c:v>0.04</c:v>
                </c:pt>
                <c:pt idx="688">
                  <c:v>0.04</c:v>
                </c:pt>
                <c:pt idx="689">
                  <c:v>0.04</c:v>
                </c:pt>
                <c:pt idx="690">
                  <c:v>0.04</c:v>
                </c:pt>
                <c:pt idx="691">
                  <c:v>0.04</c:v>
                </c:pt>
                <c:pt idx="692">
                  <c:v>0.04</c:v>
                </c:pt>
                <c:pt idx="693">
                  <c:v>0.04</c:v>
                </c:pt>
                <c:pt idx="694">
                  <c:v>0.04</c:v>
                </c:pt>
                <c:pt idx="695">
                  <c:v>0.04</c:v>
                </c:pt>
                <c:pt idx="696">
                  <c:v>0.04</c:v>
                </c:pt>
                <c:pt idx="697">
                  <c:v>0.04</c:v>
                </c:pt>
                <c:pt idx="698">
                  <c:v>0.04</c:v>
                </c:pt>
                <c:pt idx="699">
                  <c:v>0.04</c:v>
                </c:pt>
                <c:pt idx="700">
                  <c:v>0.04</c:v>
                </c:pt>
                <c:pt idx="701">
                  <c:v>0.04</c:v>
                </c:pt>
                <c:pt idx="702">
                  <c:v>0.04</c:v>
                </c:pt>
                <c:pt idx="703">
                  <c:v>0.04</c:v>
                </c:pt>
                <c:pt idx="704">
                  <c:v>0.04</c:v>
                </c:pt>
                <c:pt idx="705">
                  <c:v>0.04</c:v>
                </c:pt>
                <c:pt idx="706">
                  <c:v>0.04</c:v>
                </c:pt>
                <c:pt idx="707">
                  <c:v>0.04</c:v>
                </c:pt>
                <c:pt idx="708">
                  <c:v>0.04</c:v>
                </c:pt>
                <c:pt idx="709">
                  <c:v>0.04</c:v>
                </c:pt>
                <c:pt idx="710">
                  <c:v>0.04</c:v>
                </c:pt>
                <c:pt idx="711">
                  <c:v>0.04</c:v>
                </c:pt>
                <c:pt idx="712">
                  <c:v>0.04</c:v>
                </c:pt>
                <c:pt idx="713">
                  <c:v>0.04</c:v>
                </c:pt>
                <c:pt idx="714">
                  <c:v>0.04</c:v>
                </c:pt>
                <c:pt idx="715">
                  <c:v>0.04</c:v>
                </c:pt>
                <c:pt idx="716">
                  <c:v>0.04</c:v>
                </c:pt>
                <c:pt idx="717">
                  <c:v>0.04</c:v>
                </c:pt>
                <c:pt idx="718">
                  <c:v>0.04</c:v>
                </c:pt>
                <c:pt idx="719">
                  <c:v>0.04</c:v>
                </c:pt>
                <c:pt idx="720">
                  <c:v>0.04</c:v>
                </c:pt>
                <c:pt idx="721">
                  <c:v>0.04</c:v>
                </c:pt>
                <c:pt idx="722">
                  <c:v>0.04</c:v>
                </c:pt>
                <c:pt idx="723">
                  <c:v>0.04</c:v>
                </c:pt>
                <c:pt idx="724">
                  <c:v>0.04</c:v>
                </c:pt>
                <c:pt idx="725">
                  <c:v>0.04</c:v>
                </c:pt>
                <c:pt idx="726">
                  <c:v>0.04</c:v>
                </c:pt>
                <c:pt idx="727">
                  <c:v>0.04</c:v>
                </c:pt>
                <c:pt idx="728">
                  <c:v>0.04</c:v>
                </c:pt>
                <c:pt idx="729">
                  <c:v>0.04</c:v>
                </c:pt>
                <c:pt idx="730">
                  <c:v>0.04</c:v>
                </c:pt>
                <c:pt idx="731">
                  <c:v>0.04</c:v>
                </c:pt>
                <c:pt idx="732">
                  <c:v>0.04</c:v>
                </c:pt>
                <c:pt idx="733">
                  <c:v>0.04</c:v>
                </c:pt>
                <c:pt idx="734">
                  <c:v>0.04</c:v>
                </c:pt>
                <c:pt idx="735">
                  <c:v>0.05</c:v>
                </c:pt>
                <c:pt idx="736">
                  <c:v>0.05</c:v>
                </c:pt>
                <c:pt idx="737">
                  <c:v>0.05</c:v>
                </c:pt>
                <c:pt idx="738">
                  <c:v>0.05</c:v>
                </c:pt>
                <c:pt idx="739">
                  <c:v>0.05</c:v>
                </c:pt>
                <c:pt idx="740">
                  <c:v>0.05</c:v>
                </c:pt>
                <c:pt idx="741">
                  <c:v>0.05</c:v>
                </c:pt>
                <c:pt idx="742">
                  <c:v>0.05</c:v>
                </c:pt>
                <c:pt idx="743">
                  <c:v>0.05</c:v>
                </c:pt>
                <c:pt idx="744">
                  <c:v>0.05</c:v>
                </c:pt>
                <c:pt idx="745">
                  <c:v>0.05</c:v>
                </c:pt>
                <c:pt idx="746">
                  <c:v>0.05</c:v>
                </c:pt>
                <c:pt idx="747">
                  <c:v>0.05</c:v>
                </c:pt>
                <c:pt idx="748">
                  <c:v>0.05</c:v>
                </c:pt>
                <c:pt idx="749">
                  <c:v>0.05</c:v>
                </c:pt>
                <c:pt idx="750">
                  <c:v>0.05</c:v>
                </c:pt>
                <c:pt idx="751">
                  <c:v>0.05</c:v>
                </c:pt>
                <c:pt idx="752">
                  <c:v>0.05</c:v>
                </c:pt>
                <c:pt idx="753">
                  <c:v>0.05</c:v>
                </c:pt>
                <c:pt idx="754">
                  <c:v>0.05</c:v>
                </c:pt>
                <c:pt idx="755">
                  <c:v>0.05</c:v>
                </c:pt>
                <c:pt idx="756">
                  <c:v>0.05</c:v>
                </c:pt>
                <c:pt idx="757">
                  <c:v>0.05</c:v>
                </c:pt>
                <c:pt idx="758">
                  <c:v>0.05</c:v>
                </c:pt>
                <c:pt idx="759">
                  <c:v>0.05</c:v>
                </c:pt>
                <c:pt idx="760">
                  <c:v>0.05</c:v>
                </c:pt>
                <c:pt idx="761">
                  <c:v>0.05</c:v>
                </c:pt>
                <c:pt idx="762">
                  <c:v>0.05</c:v>
                </c:pt>
                <c:pt idx="763">
                  <c:v>0.05</c:v>
                </c:pt>
                <c:pt idx="764">
                  <c:v>0.05</c:v>
                </c:pt>
                <c:pt idx="765">
                  <c:v>0.05</c:v>
                </c:pt>
                <c:pt idx="766">
                  <c:v>0.05</c:v>
                </c:pt>
                <c:pt idx="767">
                  <c:v>0.05</c:v>
                </c:pt>
                <c:pt idx="768">
                  <c:v>0.05</c:v>
                </c:pt>
                <c:pt idx="769">
                  <c:v>0.05</c:v>
                </c:pt>
                <c:pt idx="770">
                  <c:v>0.05</c:v>
                </c:pt>
                <c:pt idx="771">
                  <c:v>0.05</c:v>
                </c:pt>
                <c:pt idx="772">
                  <c:v>0.05</c:v>
                </c:pt>
                <c:pt idx="773">
                  <c:v>0.05</c:v>
                </c:pt>
                <c:pt idx="774">
                  <c:v>0.05</c:v>
                </c:pt>
                <c:pt idx="775">
                  <c:v>0.05</c:v>
                </c:pt>
                <c:pt idx="776">
                  <c:v>0.05</c:v>
                </c:pt>
                <c:pt idx="777">
                  <c:v>0.05</c:v>
                </c:pt>
                <c:pt idx="778">
                  <c:v>0.05</c:v>
                </c:pt>
                <c:pt idx="779">
                  <c:v>0.05</c:v>
                </c:pt>
                <c:pt idx="780">
                  <c:v>0.05</c:v>
                </c:pt>
                <c:pt idx="781">
                  <c:v>0.05</c:v>
                </c:pt>
                <c:pt idx="782">
                  <c:v>0.05</c:v>
                </c:pt>
                <c:pt idx="783">
                  <c:v>0.05</c:v>
                </c:pt>
                <c:pt idx="784">
                  <c:v>0.05</c:v>
                </c:pt>
                <c:pt idx="785">
                  <c:v>0.05</c:v>
                </c:pt>
                <c:pt idx="786">
                  <c:v>0.05</c:v>
                </c:pt>
                <c:pt idx="787">
                  <c:v>0.05</c:v>
                </c:pt>
                <c:pt idx="788">
                  <c:v>0.05</c:v>
                </c:pt>
                <c:pt idx="789">
                  <c:v>0.05</c:v>
                </c:pt>
                <c:pt idx="790">
                  <c:v>0.05</c:v>
                </c:pt>
                <c:pt idx="791">
                  <c:v>0.06</c:v>
                </c:pt>
                <c:pt idx="792">
                  <c:v>0.06</c:v>
                </c:pt>
                <c:pt idx="793">
                  <c:v>7.0000000000000007E-2</c:v>
                </c:pt>
                <c:pt idx="794">
                  <c:v>7.0000000000000007E-2</c:v>
                </c:pt>
                <c:pt idx="795">
                  <c:v>7.0000000000000007E-2</c:v>
                </c:pt>
                <c:pt idx="796">
                  <c:v>7.0000000000000007E-2</c:v>
                </c:pt>
                <c:pt idx="797">
                  <c:v>7.0000000000000007E-2</c:v>
                </c:pt>
                <c:pt idx="798">
                  <c:v>7.0000000000000007E-2</c:v>
                </c:pt>
                <c:pt idx="799">
                  <c:v>7.0000000000000007E-2</c:v>
                </c:pt>
                <c:pt idx="800">
                  <c:v>7.0000000000000007E-2</c:v>
                </c:pt>
                <c:pt idx="801">
                  <c:v>7.0000000000000007E-2</c:v>
                </c:pt>
                <c:pt idx="802">
                  <c:v>7.0000000000000007E-2</c:v>
                </c:pt>
                <c:pt idx="803">
                  <c:v>7.0000000000000007E-2</c:v>
                </c:pt>
                <c:pt idx="804">
                  <c:v>0.08</c:v>
                </c:pt>
                <c:pt idx="805">
                  <c:v>0.09</c:v>
                </c:pt>
                <c:pt idx="806">
                  <c:v>0.1</c:v>
                </c:pt>
                <c:pt idx="807">
                  <c:v>0.11</c:v>
                </c:pt>
                <c:pt idx="808">
                  <c:v>0.11</c:v>
                </c:pt>
                <c:pt idx="809">
                  <c:v>0.11</c:v>
                </c:pt>
                <c:pt idx="810">
                  <c:v>0.11</c:v>
                </c:pt>
                <c:pt idx="811">
                  <c:v>0.14000000000000001</c:v>
                </c:pt>
                <c:pt idx="812">
                  <c:v>0.15</c:v>
                </c:pt>
                <c:pt idx="813">
                  <c:v>0.15</c:v>
                </c:pt>
                <c:pt idx="814">
                  <c:v>0.15</c:v>
                </c:pt>
                <c:pt idx="815">
                  <c:v>0.15</c:v>
                </c:pt>
                <c:pt idx="816">
                  <c:v>0.15</c:v>
                </c:pt>
                <c:pt idx="817">
                  <c:v>0.15</c:v>
                </c:pt>
                <c:pt idx="818">
                  <c:v>0.15</c:v>
                </c:pt>
                <c:pt idx="819">
                  <c:v>0.15</c:v>
                </c:pt>
                <c:pt idx="820">
                  <c:v>0.15</c:v>
                </c:pt>
                <c:pt idx="821">
                  <c:v>0.15</c:v>
                </c:pt>
                <c:pt idx="822">
                  <c:v>0.15</c:v>
                </c:pt>
                <c:pt idx="823">
                  <c:v>0.15</c:v>
                </c:pt>
                <c:pt idx="824">
                  <c:v>0.15</c:v>
                </c:pt>
                <c:pt idx="825">
                  <c:v>0.15</c:v>
                </c:pt>
                <c:pt idx="826">
                  <c:v>0.15</c:v>
                </c:pt>
                <c:pt idx="827">
                  <c:v>0.15</c:v>
                </c:pt>
                <c:pt idx="828">
                  <c:v>0.15</c:v>
                </c:pt>
                <c:pt idx="829">
                  <c:v>0.15</c:v>
                </c:pt>
                <c:pt idx="830">
                  <c:v>0.15</c:v>
                </c:pt>
                <c:pt idx="831">
                  <c:v>0.15</c:v>
                </c:pt>
                <c:pt idx="832">
                  <c:v>0.15</c:v>
                </c:pt>
                <c:pt idx="833">
                  <c:v>0.16</c:v>
                </c:pt>
                <c:pt idx="834">
                  <c:v>0.17</c:v>
                </c:pt>
                <c:pt idx="835">
                  <c:v>0.19</c:v>
                </c:pt>
                <c:pt idx="836">
                  <c:v>0.19</c:v>
                </c:pt>
                <c:pt idx="837">
                  <c:v>0.19</c:v>
                </c:pt>
                <c:pt idx="838">
                  <c:v>0.2</c:v>
                </c:pt>
                <c:pt idx="839">
                  <c:v>0.23</c:v>
                </c:pt>
                <c:pt idx="840">
                  <c:v>0.27</c:v>
                </c:pt>
                <c:pt idx="841">
                  <c:v>0.31</c:v>
                </c:pt>
                <c:pt idx="842">
                  <c:v>0.34</c:v>
                </c:pt>
                <c:pt idx="843">
                  <c:v>0.34</c:v>
                </c:pt>
                <c:pt idx="844">
                  <c:v>0.34</c:v>
                </c:pt>
                <c:pt idx="845">
                  <c:v>0.37</c:v>
                </c:pt>
                <c:pt idx="846">
                  <c:v>0.38</c:v>
                </c:pt>
                <c:pt idx="847">
                  <c:v>0.38</c:v>
                </c:pt>
                <c:pt idx="848">
                  <c:v>0.37</c:v>
                </c:pt>
                <c:pt idx="849">
                  <c:v>0.36</c:v>
                </c:pt>
                <c:pt idx="850">
                  <c:v>0.36</c:v>
                </c:pt>
                <c:pt idx="851">
                  <c:v>0.36</c:v>
                </c:pt>
                <c:pt idx="852">
                  <c:v>0.38</c:v>
                </c:pt>
                <c:pt idx="853">
                  <c:v>0.41</c:v>
                </c:pt>
                <c:pt idx="854">
                  <c:v>0.43</c:v>
                </c:pt>
                <c:pt idx="855">
                  <c:v>0.42</c:v>
                </c:pt>
                <c:pt idx="856">
                  <c:v>0.42</c:v>
                </c:pt>
                <c:pt idx="857">
                  <c:v>0.42</c:v>
                </c:pt>
                <c:pt idx="858">
                  <c:v>0.42</c:v>
                </c:pt>
                <c:pt idx="859">
                  <c:v>0.42</c:v>
                </c:pt>
                <c:pt idx="860">
                  <c:v>0.42</c:v>
                </c:pt>
                <c:pt idx="861">
                  <c:v>0.42</c:v>
                </c:pt>
                <c:pt idx="862">
                  <c:v>0.41</c:v>
                </c:pt>
                <c:pt idx="863">
                  <c:v>0.41</c:v>
                </c:pt>
                <c:pt idx="864">
                  <c:v>0.41</c:v>
                </c:pt>
                <c:pt idx="865">
                  <c:v>0.41</c:v>
                </c:pt>
                <c:pt idx="866">
                  <c:v>0.41</c:v>
                </c:pt>
                <c:pt idx="867">
                  <c:v>0.4</c:v>
                </c:pt>
                <c:pt idx="868">
                  <c:v>0.39</c:v>
                </c:pt>
                <c:pt idx="869">
                  <c:v>0.38</c:v>
                </c:pt>
                <c:pt idx="870">
                  <c:v>0.38</c:v>
                </c:pt>
                <c:pt idx="871">
                  <c:v>0.38</c:v>
                </c:pt>
                <c:pt idx="872">
                  <c:v>0.38</c:v>
                </c:pt>
                <c:pt idx="873">
                  <c:v>0.37</c:v>
                </c:pt>
                <c:pt idx="874" formatCode="0.00">
                  <c:v>0.36</c:v>
                </c:pt>
                <c:pt idx="875" formatCode="0.00">
                  <c:v>0.35</c:v>
                </c:pt>
                <c:pt idx="876" formatCode="0.00">
                  <c:v>0.33</c:v>
                </c:pt>
                <c:pt idx="877" formatCode="0.00">
                  <c:v>0.3</c:v>
                </c:pt>
                <c:pt idx="878" formatCode="0.00">
                  <c:v>0.3</c:v>
                </c:pt>
                <c:pt idx="879" formatCode="0.00">
                  <c:v>0.3</c:v>
                </c:pt>
                <c:pt idx="880" formatCode="0.00">
                  <c:v>0.28999999999999998</c:v>
                </c:pt>
                <c:pt idx="881" formatCode="0.00">
                  <c:v>0.28000000000000003</c:v>
                </c:pt>
                <c:pt idx="882" formatCode="0.00">
                  <c:v>0.28000000000000003</c:v>
                </c:pt>
                <c:pt idx="883">
                  <c:v>0.28000000000000003</c:v>
                </c:pt>
                <c:pt idx="884">
                  <c:v>0.28000000000000003</c:v>
                </c:pt>
                <c:pt idx="885">
                  <c:v>0.28000000000000003</c:v>
                </c:pt>
                <c:pt idx="886">
                  <c:v>0.28000000000000003</c:v>
                </c:pt>
                <c:pt idx="887">
                  <c:v>0.28000000000000003</c:v>
                </c:pt>
                <c:pt idx="888">
                  <c:v>0.28000000000000003</c:v>
                </c:pt>
                <c:pt idx="889">
                  <c:v>0.28000000000000003</c:v>
                </c:pt>
                <c:pt idx="890">
                  <c:v>0.28000000000000003</c:v>
                </c:pt>
                <c:pt idx="891">
                  <c:v>0.28999999999999998</c:v>
                </c:pt>
                <c:pt idx="892">
                  <c:v>0.28999999999999998</c:v>
                </c:pt>
                <c:pt idx="893">
                  <c:v>0.28999999999999998</c:v>
                </c:pt>
                <c:pt idx="894">
                  <c:v>0.32</c:v>
                </c:pt>
                <c:pt idx="895">
                  <c:v>0.32</c:v>
                </c:pt>
                <c:pt idx="896">
                  <c:v>0.32</c:v>
                </c:pt>
                <c:pt idx="897">
                  <c:v>0.32</c:v>
                </c:pt>
                <c:pt idx="898">
                  <c:v>0.32</c:v>
                </c:pt>
                <c:pt idx="899">
                  <c:v>0.32</c:v>
                </c:pt>
                <c:pt idx="900">
                  <c:v>0.32</c:v>
                </c:pt>
                <c:pt idx="901">
                  <c:v>0.32</c:v>
                </c:pt>
                <c:pt idx="902">
                  <c:v>0.32</c:v>
                </c:pt>
                <c:pt idx="903">
                  <c:v>0.32</c:v>
                </c:pt>
                <c:pt idx="904">
                  <c:v>0.32</c:v>
                </c:pt>
                <c:pt idx="905">
                  <c:v>0.31</c:v>
                </c:pt>
                <c:pt idx="906">
                  <c:v>0.31</c:v>
                </c:pt>
                <c:pt idx="907">
                  <c:v>0.31</c:v>
                </c:pt>
                <c:pt idx="908">
                  <c:v>0.31</c:v>
                </c:pt>
                <c:pt idx="909">
                  <c:v>0.31</c:v>
                </c:pt>
                <c:pt idx="910">
                  <c:v>0.31</c:v>
                </c:pt>
                <c:pt idx="911">
                  <c:v>0.31</c:v>
                </c:pt>
                <c:pt idx="912">
                  <c:v>0.31</c:v>
                </c:pt>
                <c:pt idx="913">
                  <c:v>0.31</c:v>
                </c:pt>
                <c:pt idx="914">
                  <c:v>0.31</c:v>
                </c:pt>
                <c:pt idx="915">
                  <c:v>0.31</c:v>
                </c:pt>
                <c:pt idx="916">
                  <c:v>0.31</c:v>
                </c:pt>
                <c:pt idx="917">
                  <c:v>0.32</c:v>
                </c:pt>
                <c:pt idx="918">
                  <c:v>0.33</c:v>
                </c:pt>
                <c:pt idx="919">
                  <c:v>0.33</c:v>
                </c:pt>
                <c:pt idx="920">
                  <c:v>0.33</c:v>
                </c:pt>
                <c:pt idx="921">
                  <c:v>0.33</c:v>
                </c:pt>
                <c:pt idx="922">
                  <c:v>0.34</c:v>
                </c:pt>
                <c:pt idx="923">
                  <c:v>0.34</c:v>
                </c:pt>
                <c:pt idx="924">
                  <c:v>0.35</c:v>
                </c:pt>
                <c:pt idx="925">
                  <c:v>0.35</c:v>
                </c:pt>
                <c:pt idx="926">
                  <c:v>0.35</c:v>
                </c:pt>
                <c:pt idx="927">
                  <c:v>0.35</c:v>
                </c:pt>
                <c:pt idx="928">
                  <c:v>0.35</c:v>
                </c:pt>
                <c:pt idx="929">
                  <c:v>0.35</c:v>
                </c:pt>
                <c:pt idx="930">
                  <c:v>0.35</c:v>
                </c:pt>
                <c:pt idx="931">
                  <c:v>0.34</c:v>
                </c:pt>
                <c:pt idx="932">
                  <c:v>0.34</c:v>
                </c:pt>
                <c:pt idx="933">
                  <c:v>0.33</c:v>
                </c:pt>
                <c:pt idx="934">
                  <c:v>0.33</c:v>
                </c:pt>
                <c:pt idx="935">
                  <c:v>0.33</c:v>
                </c:pt>
                <c:pt idx="936">
                  <c:v>0.32</c:v>
                </c:pt>
                <c:pt idx="937">
                  <c:v>0.32</c:v>
                </c:pt>
                <c:pt idx="938">
                  <c:v>0.32</c:v>
                </c:pt>
                <c:pt idx="939">
                  <c:v>0.32</c:v>
                </c:pt>
                <c:pt idx="940">
                  <c:v>0.31</c:v>
                </c:pt>
                <c:pt idx="941">
                  <c:v>0.31</c:v>
                </c:pt>
                <c:pt idx="942">
                  <c:v>0.31</c:v>
                </c:pt>
                <c:pt idx="943">
                  <c:v>0.31</c:v>
                </c:pt>
                <c:pt idx="944">
                  <c:v>0.31</c:v>
                </c:pt>
                <c:pt idx="945">
                  <c:v>0.3</c:v>
                </c:pt>
                <c:pt idx="946">
                  <c:v>0.3</c:v>
                </c:pt>
                <c:pt idx="947">
                  <c:v>0.3</c:v>
                </c:pt>
                <c:pt idx="948">
                  <c:v>0.3</c:v>
                </c:pt>
                <c:pt idx="949">
                  <c:v>0.3</c:v>
                </c:pt>
                <c:pt idx="950">
                  <c:v>0.3</c:v>
                </c:pt>
                <c:pt idx="951">
                  <c:v>0.31</c:v>
                </c:pt>
                <c:pt idx="952">
                  <c:v>0.31</c:v>
                </c:pt>
                <c:pt idx="953">
                  <c:v>0.31</c:v>
                </c:pt>
                <c:pt idx="954">
                  <c:v>0.31</c:v>
                </c:pt>
                <c:pt idx="955">
                  <c:v>0.31</c:v>
                </c:pt>
                <c:pt idx="956">
                  <c:v>0.31</c:v>
                </c:pt>
                <c:pt idx="957">
                  <c:v>0.31</c:v>
                </c:pt>
                <c:pt idx="958">
                  <c:v>0.31</c:v>
                </c:pt>
                <c:pt idx="959">
                  <c:v>0.31</c:v>
                </c:pt>
                <c:pt idx="960">
                  <c:v>0.3</c:v>
                </c:pt>
                <c:pt idx="961">
                  <c:v>0.3</c:v>
                </c:pt>
                <c:pt idx="962">
                  <c:v>0.3</c:v>
                </c:pt>
                <c:pt idx="963">
                  <c:v>0.3</c:v>
                </c:pt>
                <c:pt idx="964">
                  <c:v>0.3</c:v>
                </c:pt>
                <c:pt idx="965">
                  <c:v>0.3</c:v>
                </c:pt>
                <c:pt idx="966">
                  <c:v>0.28999999999999998</c:v>
                </c:pt>
                <c:pt idx="967">
                  <c:v>0.28000000000000003</c:v>
                </c:pt>
                <c:pt idx="968">
                  <c:v>0.28000000000000003</c:v>
                </c:pt>
                <c:pt idx="969">
                  <c:v>0.28000000000000003</c:v>
                </c:pt>
                <c:pt idx="970">
                  <c:v>0.28000000000000003</c:v>
                </c:pt>
                <c:pt idx="971">
                  <c:v>0.27</c:v>
                </c:pt>
                <c:pt idx="972">
                  <c:v>0.27</c:v>
                </c:pt>
                <c:pt idx="973">
                  <c:v>0.27</c:v>
                </c:pt>
                <c:pt idx="974">
                  <c:v>0.27</c:v>
                </c:pt>
                <c:pt idx="975">
                  <c:v>0.27</c:v>
                </c:pt>
                <c:pt idx="976">
                  <c:v>0.27</c:v>
                </c:pt>
                <c:pt idx="977">
                  <c:v>0.27</c:v>
                </c:pt>
                <c:pt idx="978">
                  <c:v>0.27</c:v>
                </c:pt>
                <c:pt idx="979">
                  <c:v>0.28000000000000003</c:v>
                </c:pt>
                <c:pt idx="980">
                  <c:v>0.28000000000000003</c:v>
                </c:pt>
                <c:pt idx="981">
                  <c:v>0.28000000000000003</c:v>
                </c:pt>
                <c:pt idx="982">
                  <c:v>0.28000000000000003</c:v>
                </c:pt>
                <c:pt idx="983">
                  <c:v>0.28000000000000003</c:v>
                </c:pt>
                <c:pt idx="984">
                  <c:v>0.28000000000000003</c:v>
                </c:pt>
                <c:pt idx="985">
                  <c:v>0.28000000000000003</c:v>
                </c:pt>
                <c:pt idx="986">
                  <c:v>0.28000000000000003</c:v>
                </c:pt>
                <c:pt idx="987">
                  <c:v>0.28000000000000003</c:v>
                </c:pt>
                <c:pt idx="988">
                  <c:v>0.28000000000000003</c:v>
                </c:pt>
                <c:pt idx="989">
                  <c:v>0.28000000000000003</c:v>
                </c:pt>
                <c:pt idx="990">
                  <c:v>0.28000000000000003</c:v>
                </c:pt>
                <c:pt idx="991">
                  <c:v>0.28000000000000003</c:v>
                </c:pt>
                <c:pt idx="992">
                  <c:v>0.28000000000000003</c:v>
                </c:pt>
                <c:pt idx="993">
                  <c:v>0.28000000000000003</c:v>
                </c:pt>
                <c:pt idx="994">
                  <c:v>0.28000000000000003</c:v>
                </c:pt>
                <c:pt idx="995">
                  <c:v>0.28000000000000003</c:v>
                </c:pt>
                <c:pt idx="996">
                  <c:v>0.28000000000000003</c:v>
                </c:pt>
                <c:pt idx="997">
                  <c:v>0.28000000000000003</c:v>
                </c:pt>
                <c:pt idx="998">
                  <c:v>0.28000000000000003</c:v>
                </c:pt>
                <c:pt idx="999">
                  <c:v>0.28000000000000003</c:v>
                </c:pt>
                <c:pt idx="1000">
                  <c:v>0.28000000000000003</c:v>
                </c:pt>
                <c:pt idx="1001">
                  <c:v>0.28000000000000003</c:v>
                </c:pt>
                <c:pt idx="1002">
                  <c:v>0.28000000000000003</c:v>
                </c:pt>
                <c:pt idx="1003">
                  <c:v>0.27</c:v>
                </c:pt>
                <c:pt idx="1004">
                  <c:v>0.27</c:v>
                </c:pt>
                <c:pt idx="1005">
                  <c:v>0.27</c:v>
                </c:pt>
                <c:pt idx="1006">
                  <c:v>0.27</c:v>
                </c:pt>
                <c:pt idx="1007">
                  <c:v>0.26</c:v>
                </c:pt>
                <c:pt idx="1008">
                  <c:v>0.26</c:v>
                </c:pt>
                <c:pt idx="1009">
                  <c:v>0.26</c:v>
                </c:pt>
                <c:pt idx="1010">
                  <c:v>0.26</c:v>
                </c:pt>
                <c:pt idx="1011">
                  <c:v>0.26</c:v>
                </c:pt>
                <c:pt idx="1012">
                  <c:v>0.26</c:v>
                </c:pt>
                <c:pt idx="1013">
                  <c:v>0.26</c:v>
                </c:pt>
                <c:pt idx="1014">
                  <c:v>0.26</c:v>
                </c:pt>
                <c:pt idx="1015">
                  <c:v>0.25</c:v>
                </c:pt>
                <c:pt idx="1016">
                  <c:v>0.25</c:v>
                </c:pt>
                <c:pt idx="1017">
                  <c:v>0.25</c:v>
                </c:pt>
                <c:pt idx="1018">
                  <c:v>0.25</c:v>
                </c:pt>
                <c:pt idx="1019">
                  <c:v>0.25</c:v>
                </c:pt>
                <c:pt idx="1020">
                  <c:v>0.26</c:v>
                </c:pt>
                <c:pt idx="1021">
                  <c:v>0.26</c:v>
                </c:pt>
                <c:pt idx="1022">
                  <c:v>0.27</c:v>
                </c:pt>
                <c:pt idx="1023">
                  <c:v>0.27</c:v>
                </c:pt>
                <c:pt idx="1024">
                  <c:v>0.27</c:v>
                </c:pt>
                <c:pt idx="1025">
                  <c:v>0.27</c:v>
                </c:pt>
                <c:pt idx="1026">
                  <c:v>0.27</c:v>
                </c:pt>
                <c:pt idx="1027">
                  <c:v>0.27</c:v>
                </c:pt>
                <c:pt idx="1028">
                  <c:v>0.27</c:v>
                </c:pt>
                <c:pt idx="1029">
                  <c:v>0.27</c:v>
                </c:pt>
                <c:pt idx="1030">
                  <c:v>0.27</c:v>
                </c:pt>
                <c:pt idx="1031">
                  <c:v>0.27</c:v>
                </c:pt>
                <c:pt idx="1032">
                  <c:v>0.27</c:v>
                </c:pt>
                <c:pt idx="1033">
                  <c:v>0.27</c:v>
                </c:pt>
                <c:pt idx="1034">
                  <c:v>0.27</c:v>
                </c:pt>
                <c:pt idx="1035">
                  <c:v>0.27</c:v>
                </c:pt>
                <c:pt idx="1036">
                  <c:v>0.27</c:v>
                </c:pt>
                <c:pt idx="1037">
                  <c:v>0.27</c:v>
                </c:pt>
                <c:pt idx="1038">
                  <c:v>0.27</c:v>
                </c:pt>
                <c:pt idx="1039">
                  <c:v>0.27</c:v>
                </c:pt>
                <c:pt idx="1040">
                  <c:v>0.27</c:v>
                </c:pt>
                <c:pt idx="1041">
                  <c:v>0.27</c:v>
                </c:pt>
                <c:pt idx="1042">
                  <c:v>0.27</c:v>
                </c:pt>
                <c:pt idx="1043">
                  <c:v>0.26</c:v>
                </c:pt>
                <c:pt idx="1044">
                  <c:v>0.26</c:v>
                </c:pt>
                <c:pt idx="1045">
                  <c:v>0.26</c:v>
                </c:pt>
                <c:pt idx="1046">
                  <c:v>0.26</c:v>
                </c:pt>
                <c:pt idx="1047">
                  <c:v>0.26</c:v>
                </c:pt>
                <c:pt idx="1048">
                  <c:v>0.26</c:v>
                </c:pt>
                <c:pt idx="1049">
                  <c:v>0.26</c:v>
                </c:pt>
                <c:pt idx="1050">
                  <c:v>0.25</c:v>
                </c:pt>
                <c:pt idx="1051">
                  <c:v>0.26</c:v>
                </c:pt>
                <c:pt idx="1052">
                  <c:v>0.27</c:v>
                </c:pt>
                <c:pt idx="1053">
                  <c:v>0.27</c:v>
                </c:pt>
                <c:pt idx="1054">
                  <c:v>0.27</c:v>
                </c:pt>
                <c:pt idx="1055">
                  <c:v>0.27</c:v>
                </c:pt>
                <c:pt idx="1056">
                  <c:v>0.27</c:v>
                </c:pt>
                <c:pt idx="1057">
                  <c:v>0.27</c:v>
                </c:pt>
                <c:pt idx="1058">
                  <c:v>0.27</c:v>
                </c:pt>
                <c:pt idx="1059">
                  <c:v>0.27</c:v>
                </c:pt>
                <c:pt idx="1060">
                  <c:v>0.27</c:v>
                </c:pt>
                <c:pt idx="1061">
                  <c:v>0.27</c:v>
                </c:pt>
                <c:pt idx="1062">
                  <c:v>0.27</c:v>
                </c:pt>
                <c:pt idx="1063">
                  <c:v>0.27</c:v>
                </c:pt>
                <c:pt idx="1064">
                  <c:v>0.27</c:v>
                </c:pt>
                <c:pt idx="1065">
                  <c:v>0.27</c:v>
                </c:pt>
                <c:pt idx="1066">
                  <c:v>0.27</c:v>
                </c:pt>
                <c:pt idx="1067">
                  <c:v>0.27</c:v>
                </c:pt>
                <c:pt idx="1068">
                  <c:v>0.27</c:v>
                </c:pt>
                <c:pt idx="1069">
                  <c:v>0.26</c:v>
                </c:pt>
                <c:pt idx="1070">
                  <c:v>0.26</c:v>
                </c:pt>
                <c:pt idx="1071">
                  <c:v>0.26</c:v>
                </c:pt>
                <c:pt idx="1072">
                  <c:v>0.27</c:v>
                </c:pt>
                <c:pt idx="1073">
                  <c:v>0.27</c:v>
                </c:pt>
                <c:pt idx="1074">
                  <c:v>0.27</c:v>
                </c:pt>
                <c:pt idx="1075">
                  <c:v>0.27</c:v>
                </c:pt>
                <c:pt idx="1076">
                  <c:v>0.27</c:v>
                </c:pt>
                <c:pt idx="1077">
                  <c:v>0.28000000000000003</c:v>
                </c:pt>
                <c:pt idx="1078">
                  <c:v>0.28000000000000003</c:v>
                </c:pt>
                <c:pt idx="1079">
                  <c:v>0.28000000000000003</c:v>
                </c:pt>
                <c:pt idx="1080">
                  <c:v>0.28000000000000003</c:v>
                </c:pt>
                <c:pt idx="1081">
                  <c:v>0.28000000000000003</c:v>
                </c:pt>
                <c:pt idx="1082">
                  <c:v>0.28000000000000003</c:v>
                </c:pt>
                <c:pt idx="1083">
                  <c:v>0.28000000000000003</c:v>
                </c:pt>
                <c:pt idx="1084">
                  <c:v>0.28000000000000003</c:v>
                </c:pt>
                <c:pt idx="1085">
                  <c:v>0.28000000000000003</c:v>
                </c:pt>
                <c:pt idx="1086">
                  <c:v>0.28000000000000003</c:v>
                </c:pt>
                <c:pt idx="1087">
                  <c:v>0.28000000000000003</c:v>
                </c:pt>
                <c:pt idx="1088">
                  <c:v>0.28000000000000003</c:v>
                </c:pt>
                <c:pt idx="1089">
                  <c:v>0.28000000000000003</c:v>
                </c:pt>
                <c:pt idx="1090">
                  <c:v>0.28000000000000003</c:v>
                </c:pt>
                <c:pt idx="1091">
                  <c:v>0.28000000000000003</c:v>
                </c:pt>
                <c:pt idx="1092">
                  <c:v>0.28000000000000003</c:v>
                </c:pt>
                <c:pt idx="1093">
                  <c:v>0.28000000000000003</c:v>
                </c:pt>
                <c:pt idx="1094">
                  <c:v>0.28000000000000003</c:v>
                </c:pt>
                <c:pt idx="1095">
                  <c:v>0.28000000000000003</c:v>
                </c:pt>
                <c:pt idx="1096">
                  <c:v>0.28000000000000003</c:v>
                </c:pt>
                <c:pt idx="1097">
                  <c:v>0.28000000000000003</c:v>
                </c:pt>
                <c:pt idx="1098">
                  <c:v>0.28000000000000003</c:v>
                </c:pt>
                <c:pt idx="1099">
                  <c:v>0.28000000000000003</c:v>
                </c:pt>
                <c:pt idx="1100">
                  <c:v>0.28000000000000003</c:v>
                </c:pt>
                <c:pt idx="1101">
                  <c:v>0.28000000000000003</c:v>
                </c:pt>
                <c:pt idx="1102">
                  <c:v>0.28000000000000003</c:v>
                </c:pt>
                <c:pt idx="1103">
                  <c:v>0.28000000000000003</c:v>
                </c:pt>
                <c:pt idx="1104">
                  <c:v>0.28000000000000003</c:v>
                </c:pt>
                <c:pt idx="1105">
                  <c:v>0.28000000000000003</c:v>
                </c:pt>
                <c:pt idx="1106">
                  <c:v>0.27</c:v>
                </c:pt>
                <c:pt idx="1107">
                  <c:v>0.27</c:v>
                </c:pt>
                <c:pt idx="1108">
                  <c:v>0.27</c:v>
                </c:pt>
                <c:pt idx="1109">
                  <c:v>0.27</c:v>
                </c:pt>
                <c:pt idx="1110">
                  <c:v>0.27</c:v>
                </c:pt>
                <c:pt idx="1111">
                  <c:v>0.27</c:v>
                </c:pt>
                <c:pt idx="1112">
                  <c:v>0.27</c:v>
                </c:pt>
                <c:pt idx="1113">
                  <c:v>0.26</c:v>
                </c:pt>
                <c:pt idx="1114">
                  <c:v>0.26</c:v>
                </c:pt>
                <c:pt idx="1115">
                  <c:v>0.26</c:v>
                </c:pt>
                <c:pt idx="1116">
                  <c:v>0.26</c:v>
                </c:pt>
                <c:pt idx="1117">
                  <c:v>0.26</c:v>
                </c:pt>
                <c:pt idx="1118">
                  <c:v>0.26</c:v>
                </c:pt>
                <c:pt idx="1119">
                  <c:v>0.26</c:v>
                </c:pt>
                <c:pt idx="1120">
                  <c:v>0.27</c:v>
                </c:pt>
                <c:pt idx="1121">
                  <c:v>0.26</c:v>
                </c:pt>
                <c:pt idx="1122">
                  <c:v>0.26</c:v>
                </c:pt>
                <c:pt idx="1123">
                  <c:v>0.26</c:v>
                </c:pt>
                <c:pt idx="1124">
                  <c:v>0.26</c:v>
                </c:pt>
                <c:pt idx="1125">
                  <c:v>0.26</c:v>
                </c:pt>
                <c:pt idx="1126">
                  <c:v>0.26</c:v>
                </c:pt>
                <c:pt idx="1127">
                  <c:v>0.26</c:v>
                </c:pt>
                <c:pt idx="1128">
                  <c:v>0.26</c:v>
                </c:pt>
                <c:pt idx="1129">
                  <c:v>0.25</c:v>
                </c:pt>
                <c:pt idx="1130">
                  <c:v>0.25</c:v>
                </c:pt>
                <c:pt idx="1131">
                  <c:v>0.25</c:v>
                </c:pt>
                <c:pt idx="1132">
                  <c:v>0.26</c:v>
                </c:pt>
                <c:pt idx="1133">
                  <c:v>0.26</c:v>
                </c:pt>
                <c:pt idx="1134">
                  <c:v>0.26</c:v>
                </c:pt>
                <c:pt idx="1135">
                  <c:v>0.26</c:v>
                </c:pt>
                <c:pt idx="1136">
                  <c:v>0.26</c:v>
                </c:pt>
                <c:pt idx="1137">
                  <c:v>0.26</c:v>
                </c:pt>
                <c:pt idx="1138">
                  <c:v>0.26</c:v>
                </c:pt>
                <c:pt idx="1139">
                  <c:v>0.26</c:v>
                </c:pt>
                <c:pt idx="1140">
                  <c:v>0.26</c:v>
                </c:pt>
                <c:pt idx="1141">
                  <c:v>0.26</c:v>
                </c:pt>
                <c:pt idx="1142">
                  <c:v>0.25</c:v>
                </c:pt>
                <c:pt idx="1143">
                  <c:v>0.25</c:v>
                </c:pt>
                <c:pt idx="1144">
                  <c:v>0.25</c:v>
                </c:pt>
                <c:pt idx="1145">
                  <c:v>0.25</c:v>
                </c:pt>
                <c:pt idx="1146">
                  <c:v>0.25</c:v>
                </c:pt>
                <c:pt idx="1147">
                  <c:v>0.25</c:v>
                </c:pt>
                <c:pt idx="1148">
                  <c:v>0.25</c:v>
                </c:pt>
                <c:pt idx="1149">
                  <c:v>0.25</c:v>
                </c:pt>
                <c:pt idx="1150">
                  <c:v>0.25</c:v>
                </c:pt>
                <c:pt idx="1151">
                  <c:v>0.25</c:v>
                </c:pt>
                <c:pt idx="1152">
                  <c:v>0.25</c:v>
                </c:pt>
                <c:pt idx="1153">
                  <c:v>0.25</c:v>
                </c:pt>
                <c:pt idx="1154">
                  <c:v>0.25</c:v>
                </c:pt>
                <c:pt idx="1155">
                  <c:v>0.25</c:v>
                </c:pt>
                <c:pt idx="1156">
                  <c:v>0.25</c:v>
                </c:pt>
                <c:pt idx="1157">
                  <c:v>0.25</c:v>
                </c:pt>
                <c:pt idx="1158">
                  <c:v>0.25</c:v>
                </c:pt>
                <c:pt idx="1159">
                  <c:v>0.25</c:v>
                </c:pt>
                <c:pt idx="1160">
                  <c:v>0.25</c:v>
                </c:pt>
                <c:pt idx="1161">
                  <c:v>0.25</c:v>
                </c:pt>
                <c:pt idx="1162">
                  <c:v>0.25</c:v>
                </c:pt>
                <c:pt idx="1163">
                  <c:v>0.25</c:v>
                </c:pt>
                <c:pt idx="1164">
                  <c:v>0.25</c:v>
                </c:pt>
                <c:pt idx="1165">
                  <c:v>0.25</c:v>
                </c:pt>
                <c:pt idx="1166">
                  <c:v>0.25</c:v>
                </c:pt>
                <c:pt idx="1167">
                  <c:v>0.25</c:v>
                </c:pt>
                <c:pt idx="1168">
                  <c:v>0.25</c:v>
                </c:pt>
                <c:pt idx="1169">
                  <c:v>0.25</c:v>
                </c:pt>
                <c:pt idx="1170">
                  <c:v>0.25</c:v>
                </c:pt>
                <c:pt idx="1171">
                  <c:v>0.25</c:v>
                </c:pt>
                <c:pt idx="1172">
                  <c:v>0.25</c:v>
                </c:pt>
                <c:pt idx="1173">
                  <c:v>0.25</c:v>
                </c:pt>
                <c:pt idx="1174">
                  <c:v>0.27</c:v>
                </c:pt>
                <c:pt idx="1175">
                  <c:v>0.28999999999999998</c:v>
                </c:pt>
                <c:pt idx="1176">
                  <c:v>0.28999999999999998</c:v>
                </c:pt>
                <c:pt idx="1177">
                  <c:v>0.28999999999999998</c:v>
                </c:pt>
                <c:pt idx="1178">
                  <c:v>0.28999999999999998</c:v>
                </c:pt>
                <c:pt idx="1179">
                  <c:v>0.28999999999999998</c:v>
                </c:pt>
                <c:pt idx="1180">
                  <c:v>0.28999999999999998</c:v>
                </c:pt>
                <c:pt idx="1181">
                  <c:v>0.3</c:v>
                </c:pt>
                <c:pt idx="1182">
                  <c:v>0.28999999999999998</c:v>
                </c:pt>
                <c:pt idx="1183">
                  <c:v>0.28999999999999998</c:v>
                </c:pt>
                <c:pt idx="1184">
                  <c:v>0.28999999999999998</c:v>
                </c:pt>
                <c:pt idx="1185">
                  <c:v>0.28999999999999998</c:v>
                </c:pt>
                <c:pt idx="1186">
                  <c:v>0.28999999999999998</c:v>
                </c:pt>
                <c:pt idx="1187">
                  <c:v>0.28999999999999998</c:v>
                </c:pt>
                <c:pt idx="1188">
                  <c:v>0.28999999999999998</c:v>
                </c:pt>
                <c:pt idx="1189">
                  <c:v>0.28999999999999998</c:v>
                </c:pt>
                <c:pt idx="1190">
                  <c:v>0.28999999999999998</c:v>
                </c:pt>
                <c:pt idx="1191">
                  <c:v>0.28000000000000003</c:v>
                </c:pt>
                <c:pt idx="1192">
                  <c:v>0.28000000000000003</c:v>
                </c:pt>
                <c:pt idx="1193">
                  <c:v>0.28000000000000003</c:v>
                </c:pt>
                <c:pt idx="1194">
                  <c:v>0.28000000000000003</c:v>
                </c:pt>
                <c:pt idx="1195">
                  <c:v>0.28000000000000003</c:v>
                </c:pt>
                <c:pt idx="1196">
                  <c:v>0.28000000000000003</c:v>
                </c:pt>
                <c:pt idx="1197">
                  <c:v>0.28000000000000003</c:v>
                </c:pt>
                <c:pt idx="1198">
                  <c:v>0.28000000000000003</c:v>
                </c:pt>
                <c:pt idx="1199">
                  <c:v>0.28000000000000003</c:v>
                </c:pt>
                <c:pt idx="1200">
                  <c:v>0.28000000000000003</c:v>
                </c:pt>
                <c:pt idx="1201">
                  <c:v>0.28000000000000003</c:v>
                </c:pt>
                <c:pt idx="1202">
                  <c:v>0.28000000000000003</c:v>
                </c:pt>
                <c:pt idx="1203">
                  <c:v>0.28999999999999998</c:v>
                </c:pt>
                <c:pt idx="1204">
                  <c:v>0.3</c:v>
                </c:pt>
                <c:pt idx="1205">
                  <c:v>0.3</c:v>
                </c:pt>
                <c:pt idx="1206">
                  <c:v>0.3</c:v>
                </c:pt>
                <c:pt idx="1207">
                  <c:v>0.3</c:v>
                </c:pt>
                <c:pt idx="1208">
                  <c:v>0.3</c:v>
                </c:pt>
                <c:pt idx="1209">
                  <c:v>0.3</c:v>
                </c:pt>
                <c:pt idx="1210">
                  <c:v>0.3</c:v>
                </c:pt>
                <c:pt idx="1211">
                  <c:v>0.3</c:v>
                </c:pt>
                <c:pt idx="1212">
                  <c:v>0.3</c:v>
                </c:pt>
                <c:pt idx="1213">
                  <c:v>0.3</c:v>
                </c:pt>
                <c:pt idx="1214">
                  <c:v>0.3</c:v>
                </c:pt>
                <c:pt idx="1215">
                  <c:v>0.3</c:v>
                </c:pt>
                <c:pt idx="1216">
                  <c:v>0.3</c:v>
                </c:pt>
                <c:pt idx="1217">
                  <c:v>0.3</c:v>
                </c:pt>
                <c:pt idx="1218">
                  <c:v>0.3</c:v>
                </c:pt>
                <c:pt idx="1219">
                  <c:v>0.3</c:v>
                </c:pt>
                <c:pt idx="1220">
                  <c:v>0.3</c:v>
                </c:pt>
                <c:pt idx="1221">
                  <c:v>0.3</c:v>
                </c:pt>
                <c:pt idx="1222">
                  <c:v>0.3</c:v>
                </c:pt>
                <c:pt idx="1223">
                  <c:v>0.3</c:v>
                </c:pt>
                <c:pt idx="1224">
                  <c:v>0.3</c:v>
                </c:pt>
                <c:pt idx="1225">
                  <c:v>0.3</c:v>
                </c:pt>
                <c:pt idx="1226">
                  <c:v>0.3</c:v>
                </c:pt>
                <c:pt idx="1227">
                  <c:v>0.3</c:v>
                </c:pt>
                <c:pt idx="1228">
                  <c:v>0.3</c:v>
                </c:pt>
                <c:pt idx="1229">
                  <c:v>0.3</c:v>
                </c:pt>
                <c:pt idx="1230">
                  <c:v>0.3</c:v>
                </c:pt>
                <c:pt idx="1231">
                  <c:v>0.3</c:v>
                </c:pt>
                <c:pt idx="1232">
                  <c:v>0.3</c:v>
                </c:pt>
                <c:pt idx="1233">
                  <c:v>0.31</c:v>
                </c:pt>
                <c:pt idx="1234">
                  <c:v>0.31</c:v>
                </c:pt>
                <c:pt idx="1235">
                  <c:v>0.31</c:v>
                </c:pt>
                <c:pt idx="1236">
                  <c:v>0.31</c:v>
                </c:pt>
                <c:pt idx="1237">
                  <c:v>0.31</c:v>
                </c:pt>
                <c:pt idx="1238" formatCode="0.00">
                  <c:v>0.31</c:v>
                </c:pt>
                <c:pt idx="1239" formatCode="0.00">
                  <c:v>0.31</c:v>
                </c:pt>
                <c:pt idx="1240" formatCode="0.00">
                  <c:v>0.3</c:v>
                </c:pt>
                <c:pt idx="1241" formatCode="0.00">
                  <c:v>0.3</c:v>
                </c:pt>
                <c:pt idx="1242" formatCode="0.00">
                  <c:v>0.3</c:v>
                </c:pt>
                <c:pt idx="1243" formatCode="0.00">
                  <c:v>0.3</c:v>
                </c:pt>
                <c:pt idx="1244">
                  <c:v>0.3</c:v>
                </c:pt>
                <c:pt idx="1245">
                  <c:v>0.3</c:v>
                </c:pt>
                <c:pt idx="1246">
                  <c:v>0.3</c:v>
                </c:pt>
                <c:pt idx="1247">
                  <c:v>0.3</c:v>
                </c:pt>
                <c:pt idx="1248">
                  <c:v>0.3</c:v>
                </c:pt>
                <c:pt idx="1249">
                  <c:v>0.3</c:v>
                </c:pt>
                <c:pt idx="1250">
                  <c:v>0.3</c:v>
                </c:pt>
                <c:pt idx="1251">
                  <c:v>0.3</c:v>
                </c:pt>
                <c:pt idx="1252">
                  <c:v>0.3</c:v>
                </c:pt>
                <c:pt idx="1253">
                  <c:v>0.3</c:v>
                </c:pt>
                <c:pt idx="1254">
                  <c:v>0.3</c:v>
                </c:pt>
                <c:pt idx="1255">
                  <c:v>0.3</c:v>
                </c:pt>
                <c:pt idx="1256">
                  <c:v>0.3</c:v>
                </c:pt>
                <c:pt idx="1257">
                  <c:v>0.3</c:v>
                </c:pt>
                <c:pt idx="1258">
                  <c:v>0.28999999999999998</c:v>
                </c:pt>
                <c:pt idx="1259">
                  <c:v>0.28999999999999998</c:v>
                </c:pt>
                <c:pt idx="1260">
                  <c:v>0.28999999999999998</c:v>
                </c:pt>
                <c:pt idx="1261">
                  <c:v>0.28999999999999998</c:v>
                </c:pt>
                <c:pt idx="1262">
                  <c:v>0.28999999999999998</c:v>
                </c:pt>
                <c:pt idx="1263">
                  <c:v>0.28999999999999998</c:v>
                </c:pt>
                <c:pt idx="1264">
                  <c:v>0.28999999999999998</c:v>
                </c:pt>
                <c:pt idx="1265">
                  <c:v>0.28999999999999998</c:v>
                </c:pt>
                <c:pt idx="1266">
                  <c:v>0.28999999999999998</c:v>
                </c:pt>
                <c:pt idx="1267">
                  <c:v>0.3</c:v>
                </c:pt>
                <c:pt idx="1268">
                  <c:v>0.3</c:v>
                </c:pt>
                <c:pt idx="1269">
                  <c:v>0.28999999999999998</c:v>
                </c:pt>
                <c:pt idx="1270">
                  <c:v>0.28999999999999998</c:v>
                </c:pt>
                <c:pt idx="1271">
                  <c:v>0.28999999999999998</c:v>
                </c:pt>
                <c:pt idx="1272">
                  <c:v>0.28000000000000003</c:v>
                </c:pt>
                <c:pt idx="1273">
                  <c:v>0.28000000000000003</c:v>
                </c:pt>
                <c:pt idx="1274">
                  <c:v>0.27</c:v>
                </c:pt>
                <c:pt idx="1275">
                  <c:v>0.27</c:v>
                </c:pt>
                <c:pt idx="1276">
                  <c:v>0.27</c:v>
                </c:pt>
                <c:pt idx="1277">
                  <c:v>0.27</c:v>
                </c:pt>
                <c:pt idx="1278">
                  <c:v>0.27</c:v>
                </c:pt>
                <c:pt idx="1279">
                  <c:v>0.27</c:v>
                </c:pt>
                <c:pt idx="1280">
                  <c:v>0.27</c:v>
                </c:pt>
                <c:pt idx="1281">
                  <c:v>0.27</c:v>
                </c:pt>
                <c:pt idx="1282">
                  <c:v>0.27</c:v>
                </c:pt>
                <c:pt idx="1283">
                  <c:v>0.26</c:v>
                </c:pt>
                <c:pt idx="1284">
                  <c:v>0.26</c:v>
                </c:pt>
                <c:pt idx="1285">
                  <c:v>0.26</c:v>
                </c:pt>
                <c:pt idx="1286">
                  <c:v>0.26</c:v>
                </c:pt>
                <c:pt idx="1287">
                  <c:v>0.26</c:v>
                </c:pt>
                <c:pt idx="1288">
                  <c:v>0.25</c:v>
                </c:pt>
                <c:pt idx="1289">
                  <c:v>0.25</c:v>
                </c:pt>
                <c:pt idx="1290">
                  <c:v>0.25</c:v>
                </c:pt>
                <c:pt idx="1291">
                  <c:v>0.25</c:v>
                </c:pt>
                <c:pt idx="1292">
                  <c:v>0.25</c:v>
                </c:pt>
                <c:pt idx="1293">
                  <c:v>0.25</c:v>
                </c:pt>
                <c:pt idx="1294">
                  <c:v>0.25</c:v>
                </c:pt>
                <c:pt idx="1295">
                  <c:v>0.25</c:v>
                </c:pt>
                <c:pt idx="1296">
                  <c:v>0.25</c:v>
                </c:pt>
                <c:pt idx="1297">
                  <c:v>0.25</c:v>
                </c:pt>
                <c:pt idx="1298">
                  <c:v>0.25</c:v>
                </c:pt>
                <c:pt idx="1299">
                  <c:v>0.25</c:v>
                </c:pt>
                <c:pt idx="1300">
                  <c:v>0.25</c:v>
                </c:pt>
                <c:pt idx="1301">
                  <c:v>0.25</c:v>
                </c:pt>
                <c:pt idx="1302">
                  <c:v>0.25</c:v>
                </c:pt>
                <c:pt idx="1303">
                  <c:v>0.25</c:v>
                </c:pt>
                <c:pt idx="1304">
                  <c:v>0.25</c:v>
                </c:pt>
                <c:pt idx="1305">
                  <c:v>0.25</c:v>
                </c:pt>
                <c:pt idx="1306">
                  <c:v>0.25</c:v>
                </c:pt>
                <c:pt idx="1307">
                  <c:v>0.25</c:v>
                </c:pt>
                <c:pt idx="1308">
                  <c:v>0.25</c:v>
                </c:pt>
                <c:pt idx="1309">
                  <c:v>0.25</c:v>
                </c:pt>
                <c:pt idx="1310">
                  <c:v>0.25</c:v>
                </c:pt>
                <c:pt idx="1311">
                  <c:v>0.25</c:v>
                </c:pt>
                <c:pt idx="1312">
                  <c:v>0.25</c:v>
                </c:pt>
                <c:pt idx="1313">
                  <c:v>0.25</c:v>
                </c:pt>
                <c:pt idx="1314">
                  <c:v>0.25</c:v>
                </c:pt>
                <c:pt idx="1315">
                  <c:v>0.25</c:v>
                </c:pt>
                <c:pt idx="1316">
                  <c:v>0.25</c:v>
                </c:pt>
                <c:pt idx="1317">
                  <c:v>0.25</c:v>
                </c:pt>
                <c:pt idx="1318">
                  <c:v>0.25</c:v>
                </c:pt>
                <c:pt idx="1319">
                  <c:v>0.25</c:v>
                </c:pt>
                <c:pt idx="1320">
                  <c:v>0.25</c:v>
                </c:pt>
                <c:pt idx="1321">
                  <c:v>0.25</c:v>
                </c:pt>
                <c:pt idx="1322">
                  <c:v>0.25</c:v>
                </c:pt>
                <c:pt idx="1323">
                  <c:v>0.25</c:v>
                </c:pt>
                <c:pt idx="1324">
                  <c:v>0.25</c:v>
                </c:pt>
                <c:pt idx="1325">
                  <c:v>0.25</c:v>
                </c:pt>
                <c:pt idx="1326">
                  <c:v>0.25</c:v>
                </c:pt>
                <c:pt idx="1327">
                  <c:v>0.25</c:v>
                </c:pt>
                <c:pt idx="1328">
                  <c:v>0.25</c:v>
                </c:pt>
                <c:pt idx="1329">
                  <c:v>0.25</c:v>
                </c:pt>
                <c:pt idx="1330">
                  <c:v>0.25</c:v>
                </c:pt>
                <c:pt idx="1331">
                  <c:v>0.25</c:v>
                </c:pt>
                <c:pt idx="1332">
                  <c:v>0.25</c:v>
                </c:pt>
                <c:pt idx="1333">
                  <c:v>0.25</c:v>
                </c:pt>
                <c:pt idx="1334">
                  <c:v>0.25</c:v>
                </c:pt>
                <c:pt idx="1335">
                  <c:v>0.25</c:v>
                </c:pt>
                <c:pt idx="1336">
                  <c:v>0.25</c:v>
                </c:pt>
                <c:pt idx="1337">
                  <c:v>0.24</c:v>
                </c:pt>
                <c:pt idx="1338">
                  <c:v>0.24</c:v>
                </c:pt>
                <c:pt idx="1339">
                  <c:v>0.24</c:v>
                </c:pt>
                <c:pt idx="1340">
                  <c:v>0.24</c:v>
                </c:pt>
                <c:pt idx="1341">
                  <c:v>0.24</c:v>
                </c:pt>
                <c:pt idx="1342">
                  <c:v>0.24</c:v>
                </c:pt>
                <c:pt idx="1343">
                  <c:v>0.24</c:v>
                </c:pt>
                <c:pt idx="1344">
                  <c:v>0.24</c:v>
                </c:pt>
                <c:pt idx="1345">
                  <c:v>0.24</c:v>
                </c:pt>
                <c:pt idx="1346">
                  <c:v>0.24</c:v>
                </c:pt>
                <c:pt idx="1347">
                  <c:v>0.24</c:v>
                </c:pt>
                <c:pt idx="1348">
                  <c:v>0.24</c:v>
                </c:pt>
                <c:pt idx="1349">
                  <c:v>0.24</c:v>
                </c:pt>
                <c:pt idx="1350">
                  <c:v>0.24</c:v>
                </c:pt>
                <c:pt idx="1351">
                  <c:v>0.24</c:v>
                </c:pt>
                <c:pt idx="1352">
                  <c:v>0.24</c:v>
                </c:pt>
                <c:pt idx="1353">
                  <c:v>0.24</c:v>
                </c:pt>
                <c:pt idx="1354">
                  <c:v>0.24</c:v>
                </c:pt>
                <c:pt idx="1355">
                  <c:v>0.24</c:v>
                </c:pt>
                <c:pt idx="1356">
                  <c:v>0.23</c:v>
                </c:pt>
                <c:pt idx="1357">
                  <c:v>0.23</c:v>
                </c:pt>
                <c:pt idx="1358">
                  <c:v>0.23</c:v>
                </c:pt>
                <c:pt idx="1359">
                  <c:v>0.23</c:v>
                </c:pt>
                <c:pt idx="1360">
                  <c:v>0.22</c:v>
                </c:pt>
                <c:pt idx="1361">
                  <c:v>0.22</c:v>
                </c:pt>
                <c:pt idx="1362">
                  <c:v>0.22</c:v>
                </c:pt>
                <c:pt idx="1363">
                  <c:v>0.22</c:v>
                </c:pt>
                <c:pt idx="1364">
                  <c:v>0.22</c:v>
                </c:pt>
                <c:pt idx="1365">
                  <c:v>0.22</c:v>
                </c:pt>
                <c:pt idx="1366">
                  <c:v>0.22</c:v>
                </c:pt>
                <c:pt idx="1367">
                  <c:v>0.22</c:v>
                </c:pt>
                <c:pt idx="1368">
                  <c:v>0.22</c:v>
                </c:pt>
                <c:pt idx="1369">
                  <c:v>0.22</c:v>
                </c:pt>
                <c:pt idx="1370">
                  <c:v>0.22</c:v>
                </c:pt>
                <c:pt idx="1371">
                  <c:v>0.22</c:v>
                </c:pt>
                <c:pt idx="1372">
                  <c:v>0.22</c:v>
                </c:pt>
                <c:pt idx="1373">
                  <c:v>0.22</c:v>
                </c:pt>
                <c:pt idx="1374">
                  <c:v>0.22</c:v>
                </c:pt>
                <c:pt idx="1375">
                  <c:v>0.22</c:v>
                </c:pt>
                <c:pt idx="1376">
                  <c:v>0.22</c:v>
                </c:pt>
                <c:pt idx="1377">
                  <c:v>0.21</c:v>
                </c:pt>
                <c:pt idx="1378">
                  <c:v>0.21</c:v>
                </c:pt>
                <c:pt idx="1379">
                  <c:v>0.21</c:v>
                </c:pt>
                <c:pt idx="1380">
                  <c:v>0.21</c:v>
                </c:pt>
                <c:pt idx="1381">
                  <c:v>0.21</c:v>
                </c:pt>
                <c:pt idx="1382">
                  <c:v>0.21</c:v>
                </c:pt>
                <c:pt idx="1383">
                  <c:v>0.21</c:v>
                </c:pt>
                <c:pt idx="1384">
                  <c:v>0.21</c:v>
                </c:pt>
                <c:pt idx="1385">
                  <c:v>0.21</c:v>
                </c:pt>
                <c:pt idx="1386">
                  <c:v>0.21</c:v>
                </c:pt>
                <c:pt idx="1387">
                  <c:v>0.21</c:v>
                </c:pt>
                <c:pt idx="1388">
                  <c:v>0.21</c:v>
                </c:pt>
                <c:pt idx="1389">
                  <c:v>0.21</c:v>
                </c:pt>
                <c:pt idx="1390">
                  <c:v>0.21</c:v>
                </c:pt>
                <c:pt idx="1391">
                  <c:v>0.21</c:v>
                </c:pt>
                <c:pt idx="1392">
                  <c:v>0.21</c:v>
                </c:pt>
                <c:pt idx="1393">
                  <c:v>0.21</c:v>
                </c:pt>
                <c:pt idx="1394">
                  <c:v>0.21</c:v>
                </c:pt>
                <c:pt idx="1395">
                  <c:v>0.21</c:v>
                </c:pt>
                <c:pt idx="1396">
                  <c:v>0.21</c:v>
                </c:pt>
                <c:pt idx="1397">
                  <c:v>0.21</c:v>
                </c:pt>
                <c:pt idx="1398">
                  <c:v>0.21</c:v>
                </c:pt>
                <c:pt idx="1399">
                  <c:v>0.21</c:v>
                </c:pt>
                <c:pt idx="1400">
                  <c:v>0.21</c:v>
                </c:pt>
                <c:pt idx="1401">
                  <c:v>0.21</c:v>
                </c:pt>
                <c:pt idx="1402">
                  <c:v>0.21</c:v>
                </c:pt>
                <c:pt idx="1403">
                  <c:v>0.21</c:v>
                </c:pt>
                <c:pt idx="1404">
                  <c:v>0.21</c:v>
                </c:pt>
                <c:pt idx="1405">
                  <c:v>0.21</c:v>
                </c:pt>
                <c:pt idx="1406">
                  <c:v>0.21</c:v>
                </c:pt>
                <c:pt idx="1407">
                  <c:v>0.21</c:v>
                </c:pt>
                <c:pt idx="1408">
                  <c:v>0.21</c:v>
                </c:pt>
                <c:pt idx="1409">
                  <c:v>0.21</c:v>
                </c:pt>
                <c:pt idx="1410">
                  <c:v>0.21</c:v>
                </c:pt>
                <c:pt idx="1411">
                  <c:v>0.21</c:v>
                </c:pt>
                <c:pt idx="1412">
                  <c:v>0.21</c:v>
                </c:pt>
                <c:pt idx="1413">
                  <c:v>0.21</c:v>
                </c:pt>
                <c:pt idx="1414">
                  <c:v>0.21</c:v>
                </c:pt>
                <c:pt idx="1415">
                  <c:v>0.21</c:v>
                </c:pt>
                <c:pt idx="1416">
                  <c:v>0.21</c:v>
                </c:pt>
                <c:pt idx="1417">
                  <c:v>0.21</c:v>
                </c:pt>
                <c:pt idx="1418">
                  <c:v>0.21</c:v>
                </c:pt>
                <c:pt idx="1419">
                  <c:v>0.22</c:v>
                </c:pt>
                <c:pt idx="1420">
                  <c:v>0.23</c:v>
                </c:pt>
                <c:pt idx="1421">
                  <c:v>0.24</c:v>
                </c:pt>
                <c:pt idx="1422">
                  <c:v>0.25</c:v>
                </c:pt>
                <c:pt idx="1423">
                  <c:v>0.25</c:v>
                </c:pt>
                <c:pt idx="1424">
                  <c:v>0.25</c:v>
                </c:pt>
                <c:pt idx="1425">
                  <c:v>0.25</c:v>
                </c:pt>
                <c:pt idx="1426">
                  <c:v>0.25</c:v>
                </c:pt>
                <c:pt idx="1427">
                  <c:v>0.26</c:v>
                </c:pt>
                <c:pt idx="1428">
                  <c:v>0.27</c:v>
                </c:pt>
                <c:pt idx="1429">
                  <c:v>0.27</c:v>
                </c:pt>
                <c:pt idx="1430">
                  <c:v>0.27</c:v>
                </c:pt>
                <c:pt idx="1431">
                  <c:v>0.27</c:v>
                </c:pt>
                <c:pt idx="1432">
                  <c:v>0.27</c:v>
                </c:pt>
                <c:pt idx="1433">
                  <c:v>0.27</c:v>
                </c:pt>
                <c:pt idx="1434">
                  <c:v>0.3</c:v>
                </c:pt>
                <c:pt idx="1435">
                  <c:v>0.32</c:v>
                </c:pt>
                <c:pt idx="1436">
                  <c:v>0.33</c:v>
                </c:pt>
                <c:pt idx="1437">
                  <c:v>0.34</c:v>
                </c:pt>
                <c:pt idx="1438">
                  <c:v>0.34</c:v>
                </c:pt>
                <c:pt idx="1439">
                  <c:v>0.34</c:v>
                </c:pt>
                <c:pt idx="1440">
                  <c:v>0.35</c:v>
                </c:pt>
                <c:pt idx="1441">
                  <c:v>0.36</c:v>
                </c:pt>
                <c:pt idx="1442">
                  <c:v>0.39</c:v>
                </c:pt>
                <c:pt idx="1443">
                  <c:v>0.46</c:v>
                </c:pt>
                <c:pt idx="1444">
                  <c:v>0.55000000000000004</c:v>
                </c:pt>
                <c:pt idx="1445">
                  <c:v>0.55000000000000004</c:v>
                </c:pt>
                <c:pt idx="1446">
                  <c:v>0.55000000000000004</c:v>
                </c:pt>
                <c:pt idx="1447">
                  <c:v>0.62</c:v>
                </c:pt>
                <c:pt idx="1448">
                  <c:v>0.68</c:v>
                </c:pt>
                <c:pt idx="1449">
                  <c:v>0.65</c:v>
                </c:pt>
                <c:pt idx="1450">
                  <c:v>0.64</c:v>
                </c:pt>
                <c:pt idx="1451">
                  <c:v>0.64</c:v>
                </c:pt>
                <c:pt idx="1452">
                  <c:v>0.64</c:v>
                </c:pt>
                <c:pt idx="1453">
                  <c:v>0.64</c:v>
                </c:pt>
                <c:pt idx="1454">
                  <c:v>0.64</c:v>
                </c:pt>
                <c:pt idx="1455">
                  <c:v>0.64</c:v>
                </c:pt>
                <c:pt idx="1456">
                  <c:v>0.65</c:v>
                </c:pt>
                <c:pt idx="1457">
                  <c:v>0.66</c:v>
                </c:pt>
                <c:pt idx="1458">
                  <c:v>0.67</c:v>
                </c:pt>
                <c:pt idx="1459">
                  <c:v>0.67</c:v>
                </c:pt>
                <c:pt idx="1460">
                  <c:v>0.67</c:v>
                </c:pt>
                <c:pt idx="1461">
                  <c:v>0.68</c:v>
                </c:pt>
                <c:pt idx="1462">
                  <c:v>0.68</c:v>
                </c:pt>
                <c:pt idx="1463">
                  <c:v>0.68</c:v>
                </c:pt>
                <c:pt idx="1464">
                  <c:v>0.68</c:v>
                </c:pt>
                <c:pt idx="1465">
                  <c:v>0.7</c:v>
                </c:pt>
                <c:pt idx="1466">
                  <c:v>0.7</c:v>
                </c:pt>
                <c:pt idx="1467">
                  <c:v>0.7</c:v>
                </c:pt>
                <c:pt idx="1468">
                  <c:v>0.7</c:v>
                </c:pt>
                <c:pt idx="1469">
                  <c:v>0.7</c:v>
                </c:pt>
                <c:pt idx="1470">
                  <c:v>0.7</c:v>
                </c:pt>
                <c:pt idx="1471">
                  <c:v>0.68</c:v>
                </c:pt>
                <c:pt idx="1472">
                  <c:v>0.68</c:v>
                </c:pt>
                <c:pt idx="1473">
                  <c:v>0.68</c:v>
                </c:pt>
                <c:pt idx="1474">
                  <c:v>0.68</c:v>
                </c:pt>
                <c:pt idx="1475">
                  <c:v>0.68</c:v>
                </c:pt>
                <c:pt idx="1476">
                  <c:v>0.66</c:v>
                </c:pt>
                <c:pt idx="1477">
                  <c:v>0.63</c:v>
                </c:pt>
                <c:pt idx="1478">
                  <c:v>0.61</c:v>
                </c:pt>
                <c:pt idx="1479">
                  <c:v>0.59</c:v>
                </c:pt>
                <c:pt idx="1480">
                  <c:v>0.59</c:v>
                </c:pt>
                <c:pt idx="1481">
                  <c:v>0.59</c:v>
                </c:pt>
                <c:pt idx="1482">
                  <c:v>0.57999999999999996</c:v>
                </c:pt>
                <c:pt idx="1483">
                  <c:v>0.55000000000000004</c:v>
                </c:pt>
                <c:pt idx="1484">
                  <c:v>0.5</c:v>
                </c:pt>
                <c:pt idx="1485">
                  <c:v>0.47</c:v>
                </c:pt>
                <c:pt idx="1486">
                  <c:v>0.46</c:v>
                </c:pt>
                <c:pt idx="1487">
                  <c:v>0.46</c:v>
                </c:pt>
                <c:pt idx="1488">
                  <c:v>0.46</c:v>
                </c:pt>
                <c:pt idx="1489">
                  <c:v>0.45</c:v>
                </c:pt>
                <c:pt idx="1490">
                  <c:v>0.46</c:v>
                </c:pt>
                <c:pt idx="1491">
                  <c:v>0.47</c:v>
                </c:pt>
                <c:pt idx="1492">
                  <c:v>0.84</c:v>
                </c:pt>
                <c:pt idx="1493">
                  <c:v>0.94</c:v>
                </c:pt>
                <c:pt idx="1494">
                  <c:v>0.94</c:v>
                </c:pt>
                <c:pt idx="1495">
                  <c:v>0.94</c:v>
                </c:pt>
                <c:pt idx="1496">
                  <c:v>0.94</c:v>
                </c:pt>
                <c:pt idx="1497">
                  <c:v>0.93</c:v>
                </c:pt>
                <c:pt idx="1498">
                  <c:v>1.1200000000000001</c:v>
                </c:pt>
                <c:pt idx="1499">
                  <c:v>1.1399999999999999</c:v>
                </c:pt>
                <c:pt idx="1500">
                  <c:v>1.1399999999999999</c:v>
                </c:pt>
                <c:pt idx="1501">
                  <c:v>1.1399999999999999</c:v>
                </c:pt>
                <c:pt idx="1502">
                  <c:v>1.1399999999999999</c:v>
                </c:pt>
                <c:pt idx="1503">
                  <c:v>1.1399999999999999</c:v>
                </c:pt>
                <c:pt idx="1504">
                  <c:v>1.1299999999999999</c:v>
                </c:pt>
                <c:pt idx="1505">
                  <c:v>1.1200000000000001</c:v>
                </c:pt>
                <c:pt idx="1506">
                  <c:v>1.1100000000000001</c:v>
                </c:pt>
                <c:pt idx="1507">
                  <c:v>1.1100000000000001</c:v>
                </c:pt>
                <c:pt idx="1508">
                  <c:v>1.1100000000000001</c:v>
                </c:pt>
                <c:pt idx="1509">
                  <c:v>1.1100000000000001</c:v>
                </c:pt>
                <c:pt idx="1510">
                  <c:v>1.1100000000000001</c:v>
                </c:pt>
                <c:pt idx="1511">
                  <c:v>1.1100000000000001</c:v>
                </c:pt>
                <c:pt idx="1512">
                  <c:v>1.1100000000000001</c:v>
                </c:pt>
                <c:pt idx="1513">
                  <c:v>1.1100000000000001</c:v>
                </c:pt>
                <c:pt idx="1514">
                  <c:v>1.1100000000000001</c:v>
                </c:pt>
                <c:pt idx="1515">
                  <c:v>1.1100000000000001</c:v>
                </c:pt>
                <c:pt idx="1516">
                  <c:v>1.1100000000000001</c:v>
                </c:pt>
                <c:pt idx="1517">
                  <c:v>1.1100000000000001</c:v>
                </c:pt>
                <c:pt idx="1518">
                  <c:v>1.1100000000000001</c:v>
                </c:pt>
                <c:pt idx="1519">
                  <c:v>1.1100000000000001</c:v>
                </c:pt>
                <c:pt idx="1520">
                  <c:v>1.1100000000000001</c:v>
                </c:pt>
                <c:pt idx="1521">
                  <c:v>1.1100000000000001</c:v>
                </c:pt>
                <c:pt idx="1522">
                  <c:v>1.1100000000000001</c:v>
                </c:pt>
                <c:pt idx="1523">
                  <c:v>1.1100000000000001</c:v>
                </c:pt>
                <c:pt idx="1524">
                  <c:v>1.1100000000000001</c:v>
                </c:pt>
                <c:pt idx="1525">
                  <c:v>1.1000000000000001</c:v>
                </c:pt>
                <c:pt idx="1526">
                  <c:v>1.1000000000000001</c:v>
                </c:pt>
                <c:pt idx="1527">
                  <c:v>1.1000000000000001</c:v>
                </c:pt>
                <c:pt idx="1528">
                  <c:v>1.0900000000000001</c:v>
                </c:pt>
                <c:pt idx="1529">
                  <c:v>1.0900000000000001</c:v>
                </c:pt>
                <c:pt idx="1530">
                  <c:v>1.0900000000000001</c:v>
                </c:pt>
                <c:pt idx="1531">
                  <c:v>1.0900000000000001</c:v>
                </c:pt>
                <c:pt idx="1532">
                  <c:v>1.08</c:v>
                </c:pt>
                <c:pt idx="1533">
                  <c:v>1.07</c:v>
                </c:pt>
                <c:pt idx="1534">
                  <c:v>1.06</c:v>
                </c:pt>
                <c:pt idx="1535">
                  <c:v>1.05</c:v>
                </c:pt>
                <c:pt idx="1536">
                  <c:v>1.05</c:v>
                </c:pt>
                <c:pt idx="1537">
                  <c:v>1.05</c:v>
                </c:pt>
                <c:pt idx="1538">
                  <c:v>1.05</c:v>
                </c:pt>
                <c:pt idx="1539">
                  <c:v>1.04</c:v>
                </c:pt>
                <c:pt idx="1540">
                  <c:v>1.02</c:v>
                </c:pt>
                <c:pt idx="1541">
                  <c:v>1</c:v>
                </c:pt>
                <c:pt idx="1542">
                  <c:v>0.99</c:v>
                </c:pt>
                <c:pt idx="1543">
                  <c:v>0.99</c:v>
                </c:pt>
                <c:pt idx="1544">
                  <c:v>0.99</c:v>
                </c:pt>
                <c:pt idx="1545">
                  <c:v>0.98</c:v>
                </c:pt>
                <c:pt idx="1546">
                  <c:v>0.95</c:v>
                </c:pt>
                <c:pt idx="1547">
                  <c:v>0.94</c:v>
                </c:pt>
                <c:pt idx="1548">
                  <c:v>0.94</c:v>
                </c:pt>
                <c:pt idx="1549">
                  <c:v>0.92</c:v>
                </c:pt>
                <c:pt idx="1550">
                  <c:v>0.92</c:v>
                </c:pt>
                <c:pt idx="1551">
                  <c:v>0.92</c:v>
                </c:pt>
                <c:pt idx="1552">
                  <c:v>0.92</c:v>
                </c:pt>
                <c:pt idx="1553">
                  <c:v>0.91</c:v>
                </c:pt>
                <c:pt idx="1554">
                  <c:v>0.9</c:v>
                </c:pt>
                <c:pt idx="1555">
                  <c:v>0.9</c:v>
                </c:pt>
                <c:pt idx="1556">
                  <c:v>0.9</c:v>
                </c:pt>
                <c:pt idx="1557">
                  <c:v>0.9</c:v>
                </c:pt>
                <c:pt idx="1558">
                  <c:v>0.9</c:v>
                </c:pt>
                <c:pt idx="1559">
                  <c:v>0.9</c:v>
                </c:pt>
                <c:pt idx="1560">
                  <c:v>0.9</c:v>
                </c:pt>
                <c:pt idx="1561">
                  <c:v>0.9</c:v>
                </c:pt>
                <c:pt idx="1562">
                  <c:v>0.9</c:v>
                </c:pt>
                <c:pt idx="1563">
                  <c:v>0.9</c:v>
                </c:pt>
                <c:pt idx="1564">
                  <c:v>0.9</c:v>
                </c:pt>
                <c:pt idx="1565">
                  <c:v>0.9</c:v>
                </c:pt>
                <c:pt idx="1566">
                  <c:v>0.9</c:v>
                </c:pt>
                <c:pt idx="1567">
                  <c:v>0.9</c:v>
                </c:pt>
                <c:pt idx="1568">
                  <c:v>0.9</c:v>
                </c:pt>
                <c:pt idx="1569">
                  <c:v>0.9</c:v>
                </c:pt>
                <c:pt idx="1570">
                  <c:v>0.9</c:v>
                </c:pt>
                <c:pt idx="1571">
                  <c:v>0.9</c:v>
                </c:pt>
                <c:pt idx="1572">
                  <c:v>0.9</c:v>
                </c:pt>
                <c:pt idx="1573">
                  <c:v>0.9</c:v>
                </c:pt>
                <c:pt idx="1574">
                  <c:v>0.9</c:v>
                </c:pt>
                <c:pt idx="1575">
                  <c:v>0.75</c:v>
                </c:pt>
                <c:pt idx="1576">
                  <c:v>0.75</c:v>
                </c:pt>
                <c:pt idx="1577">
                  <c:v>0.75</c:v>
                </c:pt>
                <c:pt idx="1578">
                  <c:v>0.75</c:v>
                </c:pt>
                <c:pt idx="1579">
                  <c:v>0.75</c:v>
                </c:pt>
                <c:pt idx="1580">
                  <c:v>0.74</c:v>
                </c:pt>
                <c:pt idx="1581">
                  <c:v>0.74</c:v>
                </c:pt>
                <c:pt idx="1582">
                  <c:v>0.74</c:v>
                </c:pt>
                <c:pt idx="1583">
                  <c:v>0.74</c:v>
                </c:pt>
                <c:pt idx="1584">
                  <c:v>0.73</c:v>
                </c:pt>
                <c:pt idx="1585">
                  <c:v>0.73</c:v>
                </c:pt>
                <c:pt idx="1586">
                  <c:v>0.73</c:v>
                </c:pt>
                <c:pt idx="1587">
                  <c:v>0.71</c:v>
                </c:pt>
                <c:pt idx="1588">
                  <c:v>0.7</c:v>
                </c:pt>
                <c:pt idx="1589">
                  <c:v>0.7</c:v>
                </c:pt>
                <c:pt idx="1590">
                  <c:v>0.7</c:v>
                </c:pt>
                <c:pt idx="1591">
                  <c:v>0.7</c:v>
                </c:pt>
                <c:pt idx="1592">
                  <c:v>0.7</c:v>
                </c:pt>
                <c:pt idx="1593">
                  <c:v>0.7</c:v>
                </c:pt>
                <c:pt idx="1594">
                  <c:v>0.7</c:v>
                </c:pt>
                <c:pt idx="1595">
                  <c:v>0.7</c:v>
                </c:pt>
                <c:pt idx="1596">
                  <c:v>0.7</c:v>
                </c:pt>
                <c:pt idx="1597">
                  <c:v>0.7</c:v>
                </c:pt>
                <c:pt idx="1598">
                  <c:v>0.7</c:v>
                </c:pt>
                <c:pt idx="1599">
                  <c:v>0.7</c:v>
                </c:pt>
                <c:pt idx="1600">
                  <c:v>0.7</c:v>
                </c:pt>
                <c:pt idx="1601">
                  <c:v>0.7</c:v>
                </c:pt>
                <c:pt idx="1602">
                  <c:v>0.7</c:v>
                </c:pt>
                <c:pt idx="1603">
                  <c:v>0.61</c:v>
                </c:pt>
                <c:pt idx="1604">
                  <c:v>0.61</c:v>
                </c:pt>
                <c:pt idx="1605">
                  <c:v>0.6</c:v>
                </c:pt>
                <c:pt idx="1606">
                  <c:v>0.6</c:v>
                </c:pt>
                <c:pt idx="1607">
                  <c:v>0.6</c:v>
                </c:pt>
                <c:pt idx="1608">
                  <c:v>0.6</c:v>
                </c:pt>
                <c:pt idx="1609">
                  <c:v>0.6</c:v>
                </c:pt>
                <c:pt idx="1610">
                  <c:v>0.6</c:v>
                </c:pt>
                <c:pt idx="1611">
                  <c:v>0.6</c:v>
                </c:pt>
                <c:pt idx="1612">
                  <c:v>0.6</c:v>
                </c:pt>
                <c:pt idx="1613">
                  <c:v>0.6</c:v>
                </c:pt>
                <c:pt idx="1614">
                  <c:v>0.6</c:v>
                </c:pt>
                <c:pt idx="1615">
                  <c:v>0.6</c:v>
                </c:pt>
                <c:pt idx="1616">
                  <c:v>0.6</c:v>
                </c:pt>
                <c:pt idx="1617">
                  <c:v>0.6</c:v>
                </c:pt>
                <c:pt idx="1618">
                  <c:v>0.6</c:v>
                </c:pt>
                <c:pt idx="1619">
                  <c:v>0.6</c:v>
                </c:pt>
                <c:pt idx="1620">
                  <c:v>0.6</c:v>
                </c:pt>
                <c:pt idx="1621">
                  <c:v>0.6</c:v>
                </c:pt>
                <c:pt idx="1622">
                  <c:v>0.6</c:v>
                </c:pt>
                <c:pt idx="1623">
                  <c:v>0.6</c:v>
                </c:pt>
                <c:pt idx="1624">
                  <c:v>0.6</c:v>
                </c:pt>
                <c:pt idx="1625">
                  <c:v>0.6</c:v>
                </c:pt>
                <c:pt idx="1626">
                  <c:v>0.6</c:v>
                </c:pt>
                <c:pt idx="1627">
                  <c:v>0.6</c:v>
                </c:pt>
                <c:pt idx="1628">
                  <c:v>0.6</c:v>
                </c:pt>
                <c:pt idx="1629">
                  <c:v>0.61</c:v>
                </c:pt>
                <c:pt idx="1630">
                  <c:v>0.61</c:v>
                </c:pt>
                <c:pt idx="1631">
                  <c:v>0.62</c:v>
                </c:pt>
                <c:pt idx="1632">
                  <c:v>0.62</c:v>
                </c:pt>
                <c:pt idx="1633">
                  <c:v>0.62</c:v>
                </c:pt>
                <c:pt idx="1634">
                  <c:v>0.62</c:v>
                </c:pt>
                <c:pt idx="1635">
                  <c:v>0.62</c:v>
                </c:pt>
                <c:pt idx="1636">
                  <c:v>0.62</c:v>
                </c:pt>
                <c:pt idx="1637">
                  <c:v>0.63</c:v>
                </c:pt>
                <c:pt idx="1638">
                  <c:v>0.63</c:v>
                </c:pt>
                <c:pt idx="1639">
                  <c:v>0.63</c:v>
                </c:pt>
                <c:pt idx="1640">
                  <c:v>0.63</c:v>
                </c:pt>
                <c:pt idx="1641">
                  <c:v>0.63</c:v>
                </c:pt>
                <c:pt idx="1642">
                  <c:v>0.63</c:v>
                </c:pt>
                <c:pt idx="1643">
                  <c:v>0.63</c:v>
                </c:pt>
                <c:pt idx="1644">
                  <c:v>0.63</c:v>
                </c:pt>
                <c:pt idx="1645">
                  <c:v>0.63</c:v>
                </c:pt>
                <c:pt idx="1646">
                  <c:v>0.63</c:v>
                </c:pt>
                <c:pt idx="1647">
                  <c:v>0.63</c:v>
                </c:pt>
                <c:pt idx="1648">
                  <c:v>0.63</c:v>
                </c:pt>
                <c:pt idx="1649">
                  <c:v>0.63</c:v>
                </c:pt>
                <c:pt idx="1650">
                  <c:v>0.63</c:v>
                </c:pt>
                <c:pt idx="1651">
                  <c:v>0.63</c:v>
                </c:pt>
                <c:pt idx="1652">
                  <c:v>0.64</c:v>
                </c:pt>
                <c:pt idx="1653">
                  <c:v>0.65</c:v>
                </c:pt>
                <c:pt idx="1654">
                  <c:v>0.65</c:v>
                </c:pt>
                <c:pt idx="1655">
                  <c:v>0.65</c:v>
                </c:pt>
                <c:pt idx="1656">
                  <c:v>0.65</c:v>
                </c:pt>
                <c:pt idx="1657">
                  <c:v>0.65</c:v>
                </c:pt>
                <c:pt idx="1658">
                  <c:v>0.65</c:v>
                </c:pt>
                <c:pt idx="1659">
                  <c:v>0.65</c:v>
                </c:pt>
                <c:pt idx="1660">
                  <c:v>0.65</c:v>
                </c:pt>
                <c:pt idx="1661">
                  <c:v>0.65</c:v>
                </c:pt>
                <c:pt idx="1662">
                  <c:v>0.65</c:v>
                </c:pt>
                <c:pt idx="1663">
                  <c:v>0.65</c:v>
                </c:pt>
                <c:pt idx="1664">
                  <c:v>0.66</c:v>
                </c:pt>
                <c:pt idx="1665">
                  <c:v>0.66</c:v>
                </c:pt>
                <c:pt idx="1666">
                  <c:v>0.67</c:v>
                </c:pt>
                <c:pt idx="1667">
                  <c:v>0.69</c:v>
                </c:pt>
                <c:pt idx="1668">
                  <c:v>0.77</c:v>
                </c:pt>
                <c:pt idx="1669">
                  <c:v>0.77</c:v>
                </c:pt>
                <c:pt idx="1670">
                  <c:v>0.77</c:v>
                </c:pt>
                <c:pt idx="1671">
                  <c:v>0.78</c:v>
                </c:pt>
                <c:pt idx="1672">
                  <c:v>0.79</c:v>
                </c:pt>
                <c:pt idx="1673">
                  <c:v>0.8</c:v>
                </c:pt>
                <c:pt idx="1674">
                  <c:v>0.8</c:v>
                </c:pt>
                <c:pt idx="1675">
                  <c:v>0.8</c:v>
                </c:pt>
                <c:pt idx="1676">
                  <c:v>0.8</c:v>
                </c:pt>
                <c:pt idx="1677">
                  <c:v>0.8</c:v>
                </c:pt>
                <c:pt idx="1678">
                  <c:v>0.8</c:v>
                </c:pt>
                <c:pt idx="1679">
                  <c:v>0.8</c:v>
                </c:pt>
                <c:pt idx="1680">
                  <c:v>0.8</c:v>
                </c:pt>
                <c:pt idx="1681">
                  <c:v>0.79</c:v>
                </c:pt>
                <c:pt idx="1682">
                  <c:v>0.79</c:v>
                </c:pt>
                <c:pt idx="1683">
                  <c:v>0.79</c:v>
                </c:pt>
                <c:pt idx="1684">
                  <c:v>0.79</c:v>
                </c:pt>
                <c:pt idx="1685">
                  <c:v>0.79</c:v>
                </c:pt>
                <c:pt idx="1686">
                  <c:v>0.79</c:v>
                </c:pt>
                <c:pt idx="1687">
                  <c:v>0.8</c:v>
                </c:pt>
                <c:pt idx="1688">
                  <c:v>0.8</c:v>
                </c:pt>
                <c:pt idx="1689">
                  <c:v>0.8</c:v>
                </c:pt>
                <c:pt idx="1690">
                  <c:v>0.8</c:v>
                </c:pt>
                <c:pt idx="1691">
                  <c:v>0.8</c:v>
                </c:pt>
                <c:pt idx="1692">
                  <c:v>0.8</c:v>
                </c:pt>
                <c:pt idx="1693">
                  <c:v>0.8</c:v>
                </c:pt>
                <c:pt idx="1694">
                  <c:v>0.8</c:v>
                </c:pt>
                <c:pt idx="1695">
                  <c:v>0.8</c:v>
                </c:pt>
                <c:pt idx="1696">
                  <c:v>0.8</c:v>
                </c:pt>
                <c:pt idx="1697">
                  <c:v>0.8</c:v>
                </c:pt>
                <c:pt idx="1698">
                  <c:v>0.8</c:v>
                </c:pt>
                <c:pt idx="1699">
                  <c:v>0.8</c:v>
                </c:pt>
                <c:pt idx="1700">
                  <c:v>0.8</c:v>
                </c:pt>
                <c:pt idx="1701">
                  <c:v>0.8</c:v>
                </c:pt>
                <c:pt idx="1702">
                  <c:v>0.8</c:v>
                </c:pt>
                <c:pt idx="1703">
                  <c:v>0.8</c:v>
                </c:pt>
                <c:pt idx="1704">
                  <c:v>0.8</c:v>
                </c:pt>
                <c:pt idx="1705">
                  <c:v>0.8</c:v>
                </c:pt>
                <c:pt idx="1706">
                  <c:v>0.8</c:v>
                </c:pt>
                <c:pt idx="1707">
                  <c:v>0.8</c:v>
                </c:pt>
                <c:pt idx="1708">
                  <c:v>0.8</c:v>
                </c:pt>
                <c:pt idx="1709">
                  <c:v>0.8</c:v>
                </c:pt>
                <c:pt idx="1710">
                  <c:v>0.8</c:v>
                </c:pt>
                <c:pt idx="1711">
                  <c:v>0.8</c:v>
                </c:pt>
                <c:pt idx="1712">
                  <c:v>0.8</c:v>
                </c:pt>
                <c:pt idx="1713">
                  <c:v>0.79</c:v>
                </c:pt>
                <c:pt idx="1714">
                  <c:v>0.79</c:v>
                </c:pt>
                <c:pt idx="1715">
                  <c:v>0.79</c:v>
                </c:pt>
                <c:pt idx="1716">
                  <c:v>0.79</c:v>
                </c:pt>
                <c:pt idx="1717">
                  <c:v>0.79</c:v>
                </c:pt>
                <c:pt idx="1718">
                  <c:v>0.79</c:v>
                </c:pt>
                <c:pt idx="1719">
                  <c:v>0.79</c:v>
                </c:pt>
                <c:pt idx="1720">
                  <c:v>0.79</c:v>
                </c:pt>
                <c:pt idx="1721">
                  <c:v>0.78</c:v>
                </c:pt>
                <c:pt idx="1722">
                  <c:v>0.78</c:v>
                </c:pt>
                <c:pt idx="1723">
                  <c:v>0.78</c:v>
                </c:pt>
                <c:pt idx="1724">
                  <c:v>0.78</c:v>
                </c:pt>
                <c:pt idx="1725">
                  <c:v>0.78</c:v>
                </c:pt>
                <c:pt idx="1726">
                  <c:v>0.78</c:v>
                </c:pt>
                <c:pt idx="1727">
                  <c:v>0.78</c:v>
                </c:pt>
                <c:pt idx="1728">
                  <c:v>0.78</c:v>
                </c:pt>
                <c:pt idx="1729">
                  <c:v>0.78</c:v>
                </c:pt>
                <c:pt idx="1730">
                  <c:v>0.77</c:v>
                </c:pt>
                <c:pt idx="1731">
                  <c:v>0.77</c:v>
                </c:pt>
                <c:pt idx="1732">
                  <c:v>0.77</c:v>
                </c:pt>
                <c:pt idx="1733">
                  <c:v>0.77</c:v>
                </c:pt>
                <c:pt idx="1734">
                  <c:v>0.77</c:v>
                </c:pt>
                <c:pt idx="1735">
                  <c:v>0.77</c:v>
                </c:pt>
                <c:pt idx="1736">
                  <c:v>0.76</c:v>
                </c:pt>
                <c:pt idx="1737">
                  <c:v>0.76</c:v>
                </c:pt>
                <c:pt idx="1738">
                  <c:v>0.76</c:v>
                </c:pt>
                <c:pt idx="1739">
                  <c:v>0.76</c:v>
                </c:pt>
                <c:pt idx="1740">
                  <c:v>0.76</c:v>
                </c:pt>
                <c:pt idx="1741">
                  <c:v>0.76</c:v>
                </c:pt>
                <c:pt idx="1742">
                  <c:v>0.76</c:v>
                </c:pt>
                <c:pt idx="1743">
                  <c:v>0.76</c:v>
                </c:pt>
                <c:pt idx="1744">
                  <c:v>0.76</c:v>
                </c:pt>
                <c:pt idx="1745">
                  <c:v>0.76</c:v>
                </c:pt>
                <c:pt idx="1746">
                  <c:v>0.76</c:v>
                </c:pt>
                <c:pt idx="1747">
                  <c:v>0.76</c:v>
                </c:pt>
                <c:pt idx="1748">
                  <c:v>0.76</c:v>
                </c:pt>
                <c:pt idx="1749">
                  <c:v>0.76</c:v>
                </c:pt>
                <c:pt idx="1750">
                  <c:v>0.76</c:v>
                </c:pt>
                <c:pt idx="1751">
                  <c:v>0.76</c:v>
                </c:pt>
                <c:pt idx="1752">
                  <c:v>0.76</c:v>
                </c:pt>
                <c:pt idx="1753">
                  <c:v>0.76</c:v>
                </c:pt>
                <c:pt idx="1754">
                  <c:v>0.76</c:v>
                </c:pt>
                <c:pt idx="1755">
                  <c:v>0.76</c:v>
                </c:pt>
                <c:pt idx="1756">
                  <c:v>0.76</c:v>
                </c:pt>
                <c:pt idx="1757">
                  <c:v>0.76</c:v>
                </c:pt>
                <c:pt idx="1758">
                  <c:v>0.76</c:v>
                </c:pt>
                <c:pt idx="1759">
                  <c:v>0.76</c:v>
                </c:pt>
                <c:pt idx="1760">
                  <c:v>0.76</c:v>
                </c:pt>
                <c:pt idx="1761">
                  <c:v>0.76</c:v>
                </c:pt>
                <c:pt idx="1762">
                  <c:v>0.76</c:v>
                </c:pt>
                <c:pt idx="1763">
                  <c:v>0.76</c:v>
                </c:pt>
                <c:pt idx="1764">
                  <c:v>0.76</c:v>
                </c:pt>
                <c:pt idx="1765">
                  <c:v>0.76</c:v>
                </c:pt>
                <c:pt idx="1766">
                  <c:v>0.76</c:v>
                </c:pt>
                <c:pt idx="1767">
                  <c:v>0.76</c:v>
                </c:pt>
                <c:pt idx="1768">
                  <c:v>0.76</c:v>
                </c:pt>
                <c:pt idx="1769">
                  <c:v>0.76</c:v>
                </c:pt>
                <c:pt idx="1770">
                  <c:v>0.76</c:v>
                </c:pt>
                <c:pt idx="1771">
                  <c:v>0.76</c:v>
                </c:pt>
                <c:pt idx="1772">
                  <c:v>0.76</c:v>
                </c:pt>
                <c:pt idx="1773">
                  <c:v>0.76</c:v>
                </c:pt>
                <c:pt idx="1774">
                  <c:v>0.76</c:v>
                </c:pt>
                <c:pt idx="1775">
                  <c:v>0.76</c:v>
                </c:pt>
                <c:pt idx="1776">
                  <c:v>0.76</c:v>
                </c:pt>
                <c:pt idx="1777">
                  <c:v>0.76</c:v>
                </c:pt>
                <c:pt idx="1778">
                  <c:v>0.76</c:v>
                </c:pt>
                <c:pt idx="1779">
                  <c:v>0.76</c:v>
                </c:pt>
                <c:pt idx="1780">
                  <c:v>0.76</c:v>
                </c:pt>
                <c:pt idx="1781">
                  <c:v>0.76</c:v>
                </c:pt>
                <c:pt idx="1782">
                  <c:v>0.76</c:v>
                </c:pt>
                <c:pt idx="1783">
                  <c:v>0.76</c:v>
                </c:pt>
                <c:pt idx="1784">
                  <c:v>0.76</c:v>
                </c:pt>
                <c:pt idx="1785">
                  <c:v>0.76</c:v>
                </c:pt>
                <c:pt idx="1786">
                  <c:v>0.76</c:v>
                </c:pt>
                <c:pt idx="1787">
                  <c:v>0.76</c:v>
                </c:pt>
                <c:pt idx="1788">
                  <c:v>0.76</c:v>
                </c:pt>
                <c:pt idx="1789">
                  <c:v>0.76</c:v>
                </c:pt>
                <c:pt idx="1790">
                  <c:v>0.76</c:v>
                </c:pt>
                <c:pt idx="1791">
                  <c:v>0.76</c:v>
                </c:pt>
                <c:pt idx="1792">
                  <c:v>0.76</c:v>
                </c:pt>
                <c:pt idx="1793">
                  <c:v>0.76</c:v>
                </c:pt>
                <c:pt idx="1794">
                  <c:v>0.76</c:v>
                </c:pt>
                <c:pt idx="1795">
                  <c:v>0.76</c:v>
                </c:pt>
                <c:pt idx="1796">
                  <c:v>0.76</c:v>
                </c:pt>
                <c:pt idx="1797">
                  <c:v>0.76</c:v>
                </c:pt>
                <c:pt idx="1798">
                  <c:v>0.76</c:v>
                </c:pt>
                <c:pt idx="1799">
                  <c:v>0.76</c:v>
                </c:pt>
                <c:pt idx="1800">
                  <c:v>0.76</c:v>
                </c:pt>
                <c:pt idx="1801">
                  <c:v>0.76</c:v>
                </c:pt>
                <c:pt idx="1802">
                  <c:v>0.76</c:v>
                </c:pt>
                <c:pt idx="1803">
                  <c:v>0.76</c:v>
                </c:pt>
                <c:pt idx="1804">
                  <c:v>0.76</c:v>
                </c:pt>
                <c:pt idx="1805">
                  <c:v>0.76</c:v>
                </c:pt>
                <c:pt idx="1806">
                  <c:v>0.76</c:v>
                </c:pt>
                <c:pt idx="1807">
                  <c:v>0.76</c:v>
                </c:pt>
                <c:pt idx="1808">
                  <c:v>0.76</c:v>
                </c:pt>
                <c:pt idx="1809">
                  <c:v>0.76</c:v>
                </c:pt>
                <c:pt idx="1810">
                  <c:v>0.76</c:v>
                </c:pt>
                <c:pt idx="1811">
                  <c:v>0.77</c:v>
                </c:pt>
                <c:pt idx="1812">
                  <c:v>0.78</c:v>
                </c:pt>
                <c:pt idx="1813">
                  <c:v>0.79</c:v>
                </c:pt>
                <c:pt idx="1814">
                  <c:v>0.79</c:v>
                </c:pt>
                <c:pt idx="1815">
                  <c:v>0.79</c:v>
                </c:pt>
                <c:pt idx="1816">
                  <c:v>0.79</c:v>
                </c:pt>
                <c:pt idx="1817">
                  <c:v>0.79</c:v>
                </c:pt>
                <c:pt idx="1818">
                  <c:v>0.78</c:v>
                </c:pt>
                <c:pt idx="1819">
                  <c:v>0.78</c:v>
                </c:pt>
                <c:pt idx="1820">
                  <c:v>0.78</c:v>
                </c:pt>
                <c:pt idx="1821">
                  <c:v>0.79</c:v>
                </c:pt>
                <c:pt idx="1822">
                  <c:v>0.79</c:v>
                </c:pt>
                <c:pt idx="1823">
                  <c:v>0.79</c:v>
                </c:pt>
                <c:pt idx="1824">
                  <c:v>0.79</c:v>
                </c:pt>
                <c:pt idx="1825">
                  <c:v>0.8</c:v>
                </c:pt>
                <c:pt idx="1826">
                  <c:v>0.8</c:v>
                </c:pt>
                <c:pt idx="1827">
                  <c:v>0.8</c:v>
                </c:pt>
                <c:pt idx="1828">
                  <c:v>0.8</c:v>
                </c:pt>
                <c:pt idx="1829">
                  <c:v>0.81</c:v>
                </c:pt>
                <c:pt idx="1830">
                  <c:v>0.81</c:v>
                </c:pt>
                <c:pt idx="1831">
                  <c:v>0.81</c:v>
                </c:pt>
                <c:pt idx="1832">
                  <c:v>0.82</c:v>
                </c:pt>
                <c:pt idx="1833">
                  <c:v>0.82</c:v>
                </c:pt>
                <c:pt idx="1834">
                  <c:v>0.82</c:v>
                </c:pt>
                <c:pt idx="1835">
                  <c:v>0.82</c:v>
                </c:pt>
                <c:pt idx="1836">
                  <c:v>0.82</c:v>
                </c:pt>
                <c:pt idx="1837">
                  <c:v>0.82</c:v>
                </c:pt>
                <c:pt idx="1838">
                  <c:v>0.82</c:v>
                </c:pt>
                <c:pt idx="1839">
                  <c:v>0.82</c:v>
                </c:pt>
                <c:pt idx="1840">
                  <c:v>0.83</c:v>
                </c:pt>
                <c:pt idx="1841">
                  <c:v>0.83</c:v>
                </c:pt>
                <c:pt idx="1842">
                  <c:v>0.84</c:v>
                </c:pt>
                <c:pt idx="1843">
                  <c:v>0.84</c:v>
                </c:pt>
                <c:pt idx="1844">
                  <c:v>0.84</c:v>
                </c:pt>
                <c:pt idx="1845">
                  <c:v>0.84</c:v>
                </c:pt>
                <c:pt idx="1846">
                  <c:v>0.84</c:v>
                </c:pt>
                <c:pt idx="1847">
                  <c:v>0.84</c:v>
                </c:pt>
                <c:pt idx="1848">
                  <c:v>0.84</c:v>
                </c:pt>
                <c:pt idx="1849">
                  <c:v>0.85</c:v>
                </c:pt>
                <c:pt idx="1850">
                  <c:v>0.85</c:v>
                </c:pt>
                <c:pt idx="1851">
                  <c:v>0.85</c:v>
                </c:pt>
                <c:pt idx="1852">
                  <c:v>0.85</c:v>
                </c:pt>
                <c:pt idx="1853">
                  <c:v>0.85</c:v>
                </c:pt>
                <c:pt idx="1854">
                  <c:v>0.85</c:v>
                </c:pt>
                <c:pt idx="1855">
                  <c:v>0.85</c:v>
                </c:pt>
                <c:pt idx="1856">
                  <c:v>0.86</c:v>
                </c:pt>
                <c:pt idx="1857">
                  <c:v>0.86</c:v>
                </c:pt>
                <c:pt idx="1858">
                  <c:v>0.86</c:v>
                </c:pt>
                <c:pt idx="1859">
                  <c:v>0.86</c:v>
                </c:pt>
                <c:pt idx="1860">
                  <c:v>0.86</c:v>
                </c:pt>
                <c:pt idx="1861">
                  <c:v>0.86</c:v>
                </c:pt>
                <c:pt idx="1862">
                  <c:v>0.86</c:v>
                </c:pt>
                <c:pt idx="1863">
                  <c:v>0.86</c:v>
                </c:pt>
                <c:pt idx="1864">
                  <c:v>0.86</c:v>
                </c:pt>
                <c:pt idx="1865">
                  <c:v>0.86</c:v>
                </c:pt>
                <c:pt idx="1866">
                  <c:v>0.86</c:v>
                </c:pt>
                <c:pt idx="1867">
                  <c:v>0.86</c:v>
                </c:pt>
                <c:pt idx="1868">
                  <c:v>0.86</c:v>
                </c:pt>
                <c:pt idx="1869">
                  <c:v>0.86</c:v>
                </c:pt>
                <c:pt idx="1870">
                  <c:v>0.86</c:v>
                </c:pt>
                <c:pt idx="1871">
                  <c:v>0.86</c:v>
                </c:pt>
                <c:pt idx="1872">
                  <c:v>0.86</c:v>
                </c:pt>
                <c:pt idx="1873">
                  <c:v>0.86</c:v>
                </c:pt>
                <c:pt idx="1874">
                  <c:v>0.86</c:v>
                </c:pt>
                <c:pt idx="1875">
                  <c:v>0.86</c:v>
                </c:pt>
                <c:pt idx="1876">
                  <c:v>0.86</c:v>
                </c:pt>
                <c:pt idx="1877">
                  <c:v>0.86</c:v>
                </c:pt>
                <c:pt idx="1878">
                  <c:v>0.86</c:v>
                </c:pt>
                <c:pt idx="1879">
                  <c:v>0.86</c:v>
                </c:pt>
                <c:pt idx="1880">
                  <c:v>0.86</c:v>
                </c:pt>
                <c:pt idx="1881">
                  <c:v>0.86</c:v>
                </c:pt>
                <c:pt idx="1882">
                  <c:v>0.86</c:v>
                </c:pt>
                <c:pt idx="1883">
                  <c:v>0.86</c:v>
                </c:pt>
                <c:pt idx="1884">
                  <c:v>0.86</c:v>
                </c:pt>
                <c:pt idx="1885">
                  <c:v>0.86</c:v>
                </c:pt>
                <c:pt idx="1886">
                  <c:v>0.86</c:v>
                </c:pt>
                <c:pt idx="1887">
                  <c:v>0.86</c:v>
                </c:pt>
                <c:pt idx="1888">
                  <c:v>0.86</c:v>
                </c:pt>
                <c:pt idx="1889">
                  <c:v>0.86</c:v>
                </c:pt>
                <c:pt idx="1890">
                  <c:v>0.86</c:v>
                </c:pt>
                <c:pt idx="1891">
                  <c:v>0.86</c:v>
                </c:pt>
                <c:pt idx="1892">
                  <c:v>0.86</c:v>
                </c:pt>
                <c:pt idx="1893">
                  <c:v>0.86</c:v>
                </c:pt>
                <c:pt idx="1894">
                  <c:v>0.86</c:v>
                </c:pt>
                <c:pt idx="1895">
                  <c:v>0.85</c:v>
                </c:pt>
                <c:pt idx="1896">
                  <c:v>0.85</c:v>
                </c:pt>
                <c:pt idx="1897">
                  <c:v>0.85</c:v>
                </c:pt>
                <c:pt idx="1898">
                  <c:v>0.86</c:v>
                </c:pt>
                <c:pt idx="1899">
                  <c:v>0.86</c:v>
                </c:pt>
                <c:pt idx="1900">
                  <c:v>0.86</c:v>
                </c:pt>
                <c:pt idx="1901">
                  <c:v>0.86</c:v>
                </c:pt>
                <c:pt idx="1902">
                  <c:v>0.92</c:v>
                </c:pt>
                <c:pt idx="1903">
                  <c:v>0.95</c:v>
                </c:pt>
                <c:pt idx="1904">
                  <c:v>0.96</c:v>
                </c:pt>
                <c:pt idx="1905">
                  <c:v>0.96</c:v>
                </c:pt>
                <c:pt idx="1906">
                  <c:v>0.97</c:v>
                </c:pt>
                <c:pt idx="1907">
                  <c:v>0.97</c:v>
                </c:pt>
                <c:pt idx="1908">
                  <c:v>0.97</c:v>
                </c:pt>
                <c:pt idx="1909">
                  <c:v>0.97</c:v>
                </c:pt>
                <c:pt idx="1910">
                  <c:v>0.98</c:v>
                </c:pt>
                <c:pt idx="1911">
                  <c:v>0.98</c:v>
                </c:pt>
                <c:pt idx="1912">
                  <c:v>0.99</c:v>
                </c:pt>
                <c:pt idx="1913">
                  <c:v>0.99</c:v>
                </c:pt>
                <c:pt idx="1914">
                  <c:v>0.99</c:v>
                </c:pt>
                <c:pt idx="1915">
                  <c:v>0.99</c:v>
                </c:pt>
                <c:pt idx="1916">
                  <c:v>0.99</c:v>
                </c:pt>
                <c:pt idx="1917">
                  <c:v>0.99</c:v>
                </c:pt>
                <c:pt idx="1918">
                  <c:v>1</c:v>
                </c:pt>
                <c:pt idx="1919">
                  <c:v>1.01</c:v>
                </c:pt>
                <c:pt idx="1920">
                  <c:v>1.01</c:v>
                </c:pt>
                <c:pt idx="1921">
                  <c:v>1.01</c:v>
                </c:pt>
                <c:pt idx="1922">
                  <c:v>1.01</c:v>
                </c:pt>
                <c:pt idx="1923">
                  <c:v>1.02</c:v>
                </c:pt>
                <c:pt idx="1924">
                  <c:v>1.02</c:v>
                </c:pt>
                <c:pt idx="1925">
                  <c:v>1.02</c:v>
                </c:pt>
                <c:pt idx="1926">
                  <c:v>1.03</c:v>
                </c:pt>
                <c:pt idx="1927">
                  <c:v>1.04</c:v>
                </c:pt>
                <c:pt idx="1928">
                  <c:v>1.04</c:v>
                </c:pt>
                <c:pt idx="1929">
                  <c:v>1.04</c:v>
                </c:pt>
                <c:pt idx="1930">
                  <c:v>1.05</c:v>
                </c:pt>
                <c:pt idx="1931">
                  <c:v>1.05</c:v>
                </c:pt>
                <c:pt idx="1932">
                  <c:v>1.05</c:v>
                </c:pt>
                <c:pt idx="1933">
                  <c:v>1.06</c:v>
                </c:pt>
                <c:pt idx="1934">
                  <c:v>1.06</c:v>
                </c:pt>
                <c:pt idx="1935">
                  <c:v>1.06</c:v>
                </c:pt>
                <c:pt idx="1936">
                  <c:v>1.06</c:v>
                </c:pt>
                <c:pt idx="1937">
                  <c:v>1.07</c:v>
                </c:pt>
                <c:pt idx="1938">
                  <c:v>1.08</c:v>
                </c:pt>
                <c:pt idx="1939">
                  <c:v>1.1399999999999999</c:v>
                </c:pt>
                <c:pt idx="1940">
                  <c:v>1.1499999999999999</c:v>
                </c:pt>
                <c:pt idx="1941">
                  <c:v>1.1399999999999999</c:v>
                </c:pt>
                <c:pt idx="1942">
                  <c:v>1.1399999999999999</c:v>
                </c:pt>
                <c:pt idx="1943">
                  <c:v>1.1399999999999999</c:v>
                </c:pt>
                <c:pt idx="1944">
                  <c:v>1.1399999999999999</c:v>
                </c:pt>
                <c:pt idx="1945">
                  <c:v>1.1399999999999999</c:v>
                </c:pt>
                <c:pt idx="1946">
                  <c:v>1.1399999999999999</c:v>
                </c:pt>
                <c:pt idx="1947">
                  <c:v>1.1399999999999999</c:v>
                </c:pt>
                <c:pt idx="1948">
                  <c:v>1.1399999999999999</c:v>
                </c:pt>
                <c:pt idx="1949">
                  <c:v>1.1399999999999999</c:v>
                </c:pt>
                <c:pt idx="1950">
                  <c:v>1.1399999999999999</c:v>
                </c:pt>
                <c:pt idx="1951">
                  <c:v>1.1399999999999999</c:v>
                </c:pt>
                <c:pt idx="1952">
                  <c:v>1.1399999999999999</c:v>
                </c:pt>
                <c:pt idx="1953">
                  <c:v>1.1399999999999999</c:v>
                </c:pt>
                <c:pt idx="1954">
                  <c:v>1.1499999999999999</c:v>
                </c:pt>
                <c:pt idx="1955">
                  <c:v>1.1499999999999999</c:v>
                </c:pt>
                <c:pt idx="1956">
                  <c:v>1.1499999999999999</c:v>
                </c:pt>
                <c:pt idx="1957">
                  <c:v>1.1499999999999999</c:v>
                </c:pt>
                <c:pt idx="1958">
                  <c:v>1.1599999999999999</c:v>
                </c:pt>
                <c:pt idx="1959">
                  <c:v>1.1599999999999999</c:v>
                </c:pt>
                <c:pt idx="1960">
                  <c:v>1.1599999999999999</c:v>
                </c:pt>
                <c:pt idx="1961">
                  <c:v>1.1599999999999999</c:v>
                </c:pt>
                <c:pt idx="1962">
                  <c:v>1.1599999999999999</c:v>
                </c:pt>
                <c:pt idx="1963">
                  <c:v>1.1599999999999999</c:v>
                </c:pt>
                <c:pt idx="1964">
                  <c:v>1.1599999999999999</c:v>
                </c:pt>
                <c:pt idx="1965">
                  <c:v>1.1599999999999999</c:v>
                </c:pt>
                <c:pt idx="1966">
                  <c:v>1.1599999999999999</c:v>
                </c:pt>
                <c:pt idx="1967">
                  <c:v>1.1599999999999999</c:v>
                </c:pt>
                <c:pt idx="1968">
                  <c:v>1.1599999999999999</c:v>
                </c:pt>
                <c:pt idx="1969">
                  <c:v>1.1599999999999999</c:v>
                </c:pt>
                <c:pt idx="1970">
                  <c:v>1.1599999999999999</c:v>
                </c:pt>
                <c:pt idx="1971">
                  <c:v>1.1599999999999999</c:v>
                </c:pt>
                <c:pt idx="1972">
                  <c:v>1.1599999999999999</c:v>
                </c:pt>
                <c:pt idx="1973">
                  <c:v>1.1599999999999999</c:v>
                </c:pt>
                <c:pt idx="1974">
                  <c:v>1.42</c:v>
                </c:pt>
                <c:pt idx="1975">
                  <c:v>1.43</c:v>
                </c:pt>
                <c:pt idx="1976">
                  <c:v>1.44</c:v>
                </c:pt>
                <c:pt idx="1977">
                  <c:v>1.44</c:v>
                </c:pt>
                <c:pt idx="1978">
                  <c:v>1.44</c:v>
                </c:pt>
                <c:pt idx="1979">
                  <c:v>1.44</c:v>
                </c:pt>
                <c:pt idx="1980">
                  <c:v>1.44</c:v>
                </c:pt>
                <c:pt idx="1981">
                  <c:v>1.44</c:v>
                </c:pt>
                <c:pt idx="1982">
                  <c:v>1.45</c:v>
                </c:pt>
                <c:pt idx="1983">
                  <c:v>1.45</c:v>
                </c:pt>
                <c:pt idx="1984">
                  <c:v>1.45</c:v>
                </c:pt>
                <c:pt idx="1985">
                  <c:v>1.45</c:v>
                </c:pt>
                <c:pt idx="1986">
                  <c:v>1.46</c:v>
                </c:pt>
                <c:pt idx="1987">
                  <c:v>1.46</c:v>
                </c:pt>
                <c:pt idx="1988">
                  <c:v>1.46</c:v>
                </c:pt>
                <c:pt idx="1989">
                  <c:v>1.47</c:v>
                </c:pt>
                <c:pt idx="1990">
                  <c:v>1.47</c:v>
                </c:pt>
                <c:pt idx="1991">
                  <c:v>1.47</c:v>
                </c:pt>
                <c:pt idx="1992">
                  <c:v>1.47</c:v>
                </c:pt>
                <c:pt idx="1993">
                  <c:v>1.47</c:v>
                </c:pt>
                <c:pt idx="1994">
                  <c:v>1.47</c:v>
                </c:pt>
                <c:pt idx="1995">
                  <c:v>1.48</c:v>
                </c:pt>
                <c:pt idx="1996">
                  <c:v>1.49</c:v>
                </c:pt>
                <c:pt idx="1997">
                  <c:v>1.49</c:v>
                </c:pt>
                <c:pt idx="1998">
                  <c:v>1.49</c:v>
                </c:pt>
                <c:pt idx="1999">
                  <c:v>1.49</c:v>
                </c:pt>
                <c:pt idx="2000">
                  <c:v>1.5</c:v>
                </c:pt>
                <c:pt idx="2001">
                  <c:v>1.52</c:v>
                </c:pt>
                <c:pt idx="2002">
                  <c:v>1.67</c:v>
                </c:pt>
                <c:pt idx="2003">
                  <c:v>1.66</c:v>
                </c:pt>
                <c:pt idx="2004">
                  <c:v>1.66</c:v>
                </c:pt>
                <c:pt idx="2005">
                  <c:v>1.66</c:v>
                </c:pt>
                <c:pt idx="2006">
                  <c:v>1.66</c:v>
                </c:pt>
                <c:pt idx="2007">
                  <c:v>1.66</c:v>
                </c:pt>
                <c:pt idx="2008">
                  <c:v>1.66</c:v>
                </c:pt>
                <c:pt idx="2009">
                  <c:v>1.66</c:v>
                </c:pt>
                <c:pt idx="2010">
                  <c:v>1.66</c:v>
                </c:pt>
                <c:pt idx="2011">
                  <c:v>1.65</c:v>
                </c:pt>
                <c:pt idx="2012">
                  <c:v>1.65</c:v>
                </c:pt>
                <c:pt idx="2013">
                  <c:v>1.65</c:v>
                </c:pt>
                <c:pt idx="2014">
                  <c:v>1.65</c:v>
                </c:pt>
                <c:pt idx="2015">
                  <c:v>1.65</c:v>
                </c:pt>
                <c:pt idx="2016">
                  <c:v>1.65</c:v>
                </c:pt>
                <c:pt idx="2017">
                  <c:v>1.64</c:v>
                </c:pt>
                <c:pt idx="2018">
                  <c:v>1.64</c:v>
                </c:pt>
                <c:pt idx="2019">
                  <c:v>1.64</c:v>
                </c:pt>
                <c:pt idx="2020">
                  <c:v>1.64</c:v>
                </c:pt>
                <c:pt idx="2021">
                  <c:v>1.64</c:v>
                </c:pt>
                <c:pt idx="2022">
                  <c:v>1.65</c:v>
                </c:pt>
                <c:pt idx="2023">
                  <c:v>1.66</c:v>
                </c:pt>
                <c:pt idx="2024">
                  <c:v>1.67</c:v>
                </c:pt>
                <c:pt idx="2025">
                  <c:v>1.68</c:v>
                </c:pt>
                <c:pt idx="2026">
                  <c:v>1.68</c:v>
                </c:pt>
                <c:pt idx="2027">
                  <c:v>1.68</c:v>
                </c:pt>
                <c:pt idx="2028">
                  <c:v>1.7</c:v>
                </c:pt>
                <c:pt idx="2029">
                  <c:v>1.72</c:v>
                </c:pt>
                <c:pt idx="2030">
                  <c:v>1.77</c:v>
                </c:pt>
                <c:pt idx="2031">
                  <c:v>1.8</c:v>
                </c:pt>
                <c:pt idx="2032">
                  <c:v>1.82</c:v>
                </c:pt>
                <c:pt idx="2033">
                  <c:v>1.82</c:v>
                </c:pt>
                <c:pt idx="2034">
                  <c:v>1.82</c:v>
                </c:pt>
                <c:pt idx="2035">
                  <c:v>1.84</c:v>
                </c:pt>
                <c:pt idx="2036">
                  <c:v>1.85</c:v>
                </c:pt>
                <c:pt idx="2037">
                  <c:v>1.85</c:v>
                </c:pt>
                <c:pt idx="2038">
                  <c:v>1.85</c:v>
                </c:pt>
                <c:pt idx="2039">
                  <c:v>1.85</c:v>
                </c:pt>
                <c:pt idx="2040">
                  <c:v>1.85</c:v>
                </c:pt>
                <c:pt idx="2041">
                  <c:v>1.85</c:v>
                </c:pt>
                <c:pt idx="2042">
                  <c:v>1.86</c:v>
                </c:pt>
                <c:pt idx="2043">
                  <c:v>1.88</c:v>
                </c:pt>
                <c:pt idx="2044">
                  <c:v>1.89</c:v>
                </c:pt>
                <c:pt idx="2045">
                  <c:v>1.91</c:v>
                </c:pt>
                <c:pt idx="2046">
                  <c:v>1.93</c:v>
                </c:pt>
                <c:pt idx="2047">
                  <c:v>1.93</c:v>
                </c:pt>
                <c:pt idx="2048">
                  <c:v>1.93</c:v>
                </c:pt>
                <c:pt idx="2049">
                  <c:v>1.95</c:v>
                </c:pt>
                <c:pt idx="2050">
                  <c:v>1.96</c:v>
                </c:pt>
                <c:pt idx="2051">
                  <c:v>1.96</c:v>
                </c:pt>
                <c:pt idx="2052">
                  <c:v>1.97</c:v>
                </c:pt>
                <c:pt idx="2053">
                  <c:v>1.98</c:v>
                </c:pt>
                <c:pt idx="2054">
                  <c:v>1.98</c:v>
                </c:pt>
                <c:pt idx="2055">
                  <c:v>1.98</c:v>
                </c:pt>
                <c:pt idx="2056">
                  <c:v>2</c:v>
                </c:pt>
                <c:pt idx="2057">
                  <c:v>2.02</c:v>
                </c:pt>
                <c:pt idx="2058">
                  <c:v>2.11</c:v>
                </c:pt>
                <c:pt idx="2059">
                  <c:v>2.13</c:v>
                </c:pt>
                <c:pt idx="2060">
                  <c:v>2.15</c:v>
                </c:pt>
                <c:pt idx="2061">
                  <c:v>2.15</c:v>
                </c:pt>
                <c:pt idx="2062">
                  <c:v>2.15</c:v>
                </c:pt>
                <c:pt idx="2063">
                  <c:v>2.15</c:v>
                </c:pt>
                <c:pt idx="2064">
                  <c:v>2.16</c:v>
                </c:pt>
                <c:pt idx="2065">
                  <c:v>2.17</c:v>
                </c:pt>
                <c:pt idx="2066">
                  <c:v>2.1800000000000002</c:v>
                </c:pt>
                <c:pt idx="2067">
                  <c:v>2.19</c:v>
                </c:pt>
                <c:pt idx="2068">
                  <c:v>2.19</c:v>
                </c:pt>
                <c:pt idx="2069">
                  <c:v>2.19</c:v>
                </c:pt>
                <c:pt idx="2070">
                  <c:v>2.19</c:v>
                </c:pt>
                <c:pt idx="2071">
                  <c:v>2.2000000000000002</c:v>
                </c:pt>
                <c:pt idx="2072">
                  <c:v>2.2000000000000002</c:v>
                </c:pt>
                <c:pt idx="2073">
                  <c:v>2.2000000000000002</c:v>
                </c:pt>
                <c:pt idx="2074">
                  <c:v>2.21</c:v>
                </c:pt>
                <c:pt idx="2075">
                  <c:v>2.21</c:v>
                </c:pt>
                <c:pt idx="2076">
                  <c:v>2.21</c:v>
                </c:pt>
                <c:pt idx="2077">
                  <c:v>2.2200000000000002</c:v>
                </c:pt>
                <c:pt idx="2078">
                  <c:v>2.25</c:v>
                </c:pt>
                <c:pt idx="2079">
                  <c:v>2.2799999999999998</c:v>
                </c:pt>
                <c:pt idx="2080">
                  <c:v>2.33</c:v>
                </c:pt>
                <c:pt idx="2081">
                  <c:v>2.38</c:v>
                </c:pt>
                <c:pt idx="2082">
                  <c:v>2.38</c:v>
                </c:pt>
                <c:pt idx="2083">
                  <c:v>2.38</c:v>
                </c:pt>
                <c:pt idx="2084">
                  <c:v>2.44</c:v>
                </c:pt>
                <c:pt idx="2085">
                  <c:v>2.4900000000000002</c:v>
                </c:pt>
                <c:pt idx="2086">
                  <c:v>2.69</c:v>
                </c:pt>
                <c:pt idx="2087">
                  <c:v>2.75</c:v>
                </c:pt>
                <c:pt idx="2088">
                  <c:v>2.95</c:v>
                </c:pt>
                <c:pt idx="2089">
                  <c:v>2.95</c:v>
                </c:pt>
                <c:pt idx="2090">
                  <c:v>2.95</c:v>
                </c:pt>
                <c:pt idx="2091">
                  <c:v>3.04</c:v>
                </c:pt>
                <c:pt idx="2092">
                  <c:v>3.16</c:v>
                </c:pt>
                <c:pt idx="2093">
                  <c:v>3.25</c:v>
                </c:pt>
                <c:pt idx="2094">
                  <c:v>3.58</c:v>
                </c:pt>
                <c:pt idx="2095">
                  <c:v>3.64</c:v>
                </c:pt>
                <c:pt idx="2096">
                  <c:v>3.64</c:v>
                </c:pt>
                <c:pt idx="2097">
                  <c:v>3.64</c:v>
                </c:pt>
                <c:pt idx="2098">
                  <c:v>3.66</c:v>
                </c:pt>
                <c:pt idx="2099">
                  <c:v>3.66</c:v>
                </c:pt>
                <c:pt idx="2100">
                  <c:v>3.68</c:v>
                </c:pt>
                <c:pt idx="2101">
                  <c:v>3.79</c:v>
                </c:pt>
                <c:pt idx="2102">
                  <c:v>3.81</c:v>
                </c:pt>
                <c:pt idx="2103">
                  <c:v>3.81</c:v>
                </c:pt>
                <c:pt idx="2104">
                  <c:v>3.81</c:v>
                </c:pt>
                <c:pt idx="2105">
                  <c:v>3.82</c:v>
                </c:pt>
                <c:pt idx="2106">
                  <c:v>3.83</c:v>
                </c:pt>
                <c:pt idx="2107">
                  <c:v>3.84</c:v>
                </c:pt>
                <c:pt idx="2108">
                  <c:v>3.95</c:v>
                </c:pt>
                <c:pt idx="2109">
                  <c:v>3.97</c:v>
                </c:pt>
                <c:pt idx="2110">
                  <c:v>3.97</c:v>
                </c:pt>
                <c:pt idx="2111">
                  <c:v>3.97</c:v>
                </c:pt>
                <c:pt idx="2112">
                  <c:v>3.99</c:v>
                </c:pt>
                <c:pt idx="2113">
                  <c:v>4</c:v>
                </c:pt>
                <c:pt idx="2114">
                  <c:v>4.1399999999999997</c:v>
                </c:pt>
                <c:pt idx="2115">
                  <c:v>4.26</c:v>
                </c:pt>
                <c:pt idx="2116">
                  <c:v>4.26</c:v>
                </c:pt>
                <c:pt idx="2117">
                  <c:v>4.26</c:v>
                </c:pt>
                <c:pt idx="2118">
                  <c:v>4.26</c:v>
                </c:pt>
                <c:pt idx="2119">
                  <c:v>4.2699999999999996</c:v>
                </c:pt>
                <c:pt idx="2120">
                  <c:v>4.2699999999999996</c:v>
                </c:pt>
                <c:pt idx="2121">
                  <c:v>4.2699999999999996</c:v>
                </c:pt>
                <c:pt idx="2122">
                  <c:v>4.3499999999999996</c:v>
                </c:pt>
                <c:pt idx="2123">
                  <c:v>4.3499999999999996</c:v>
                </c:pt>
                <c:pt idx="2124">
                  <c:v>4.3499999999999996</c:v>
                </c:pt>
                <c:pt idx="2125">
                  <c:v>4.3499999999999996</c:v>
                </c:pt>
                <c:pt idx="2126">
                  <c:v>4.3600000000000003</c:v>
                </c:pt>
                <c:pt idx="2127">
                  <c:v>4.37</c:v>
                </c:pt>
                <c:pt idx="2128">
                  <c:v>4.37</c:v>
                </c:pt>
                <c:pt idx="2129">
                  <c:v>4.47</c:v>
                </c:pt>
                <c:pt idx="2130">
                  <c:v>4.49</c:v>
                </c:pt>
                <c:pt idx="2131">
                  <c:v>4.49</c:v>
                </c:pt>
                <c:pt idx="2132">
                  <c:v>4.49</c:v>
                </c:pt>
                <c:pt idx="2133">
                  <c:v>4.5</c:v>
                </c:pt>
                <c:pt idx="2134">
                  <c:v>4.51</c:v>
                </c:pt>
                <c:pt idx="2135">
                  <c:v>4.53</c:v>
                </c:pt>
                <c:pt idx="2136">
                  <c:v>4.55</c:v>
                </c:pt>
                <c:pt idx="2137">
                  <c:v>4.54</c:v>
                </c:pt>
                <c:pt idx="2138">
                  <c:v>4.54</c:v>
                </c:pt>
                <c:pt idx="2139">
                  <c:v>4.54</c:v>
                </c:pt>
                <c:pt idx="2140">
                  <c:v>4.54</c:v>
                </c:pt>
                <c:pt idx="2141">
                  <c:v>4.54</c:v>
                </c:pt>
                <c:pt idx="2142">
                  <c:v>4.54</c:v>
                </c:pt>
                <c:pt idx="2143">
                  <c:v>4.51</c:v>
                </c:pt>
                <c:pt idx="2144">
                  <c:v>4.49</c:v>
                </c:pt>
                <c:pt idx="2145">
                  <c:v>4.49</c:v>
                </c:pt>
                <c:pt idx="2146">
                  <c:v>4.49</c:v>
                </c:pt>
                <c:pt idx="2147">
                  <c:v>4.49</c:v>
                </c:pt>
              </c:numCache>
            </c:numRef>
          </c:val>
          <c:smooth val="0"/>
          <c:extLst>
            <c:ext xmlns:c16="http://schemas.microsoft.com/office/drawing/2014/chart" uri="{C3380CC4-5D6E-409C-BE32-E72D297353CC}">
              <c16:uniqueId val="{00000003-1F34-4772-B35F-AA8181655FDE}"/>
            </c:ext>
          </c:extLst>
        </c:ser>
        <c:ser>
          <c:idx val="5"/>
          <c:order val="4"/>
          <c:tx>
            <c:strRef>
              <c:f>Baserate_FRA!$M$2</c:f>
              <c:strCache>
                <c:ptCount val="1"/>
                <c:pt idx="0">
                  <c:v>BUBOR 12hó</c:v>
                </c:pt>
              </c:strCache>
            </c:strRef>
          </c:tx>
          <c:spPr>
            <a:ln w="19050"/>
          </c:spPr>
          <c:marker>
            <c:symbol val="none"/>
          </c:marker>
          <c:cat>
            <c:numRef>
              <c:f>Baserate_FRA!$B$3:$B$2880</c:f>
              <c:numCache>
                <c:formatCode>m/d/yyyy</c:formatCode>
                <c:ptCount val="2878"/>
                <c:pt idx="0">
                  <c:v>42248</c:v>
                </c:pt>
                <c:pt idx="1">
                  <c:v>42249</c:v>
                </c:pt>
                <c:pt idx="2">
                  <c:v>42250</c:v>
                </c:pt>
                <c:pt idx="3">
                  <c:v>42251</c:v>
                </c:pt>
                <c:pt idx="4">
                  <c:v>42254</c:v>
                </c:pt>
                <c:pt idx="5">
                  <c:v>42255</c:v>
                </c:pt>
                <c:pt idx="6">
                  <c:v>42256</c:v>
                </c:pt>
                <c:pt idx="7">
                  <c:v>42257</c:v>
                </c:pt>
                <c:pt idx="8">
                  <c:v>42258</c:v>
                </c:pt>
                <c:pt idx="9">
                  <c:v>42261</c:v>
                </c:pt>
                <c:pt idx="10">
                  <c:v>42262</c:v>
                </c:pt>
                <c:pt idx="11">
                  <c:v>42263</c:v>
                </c:pt>
                <c:pt idx="12">
                  <c:v>42264</c:v>
                </c:pt>
                <c:pt idx="13">
                  <c:v>42265</c:v>
                </c:pt>
                <c:pt idx="14">
                  <c:v>42268</c:v>
                </c:pt>
                <c:pt idx="15">
                  <c:v>42269</c:v>
                </c:pt>
                <c:pt idx="16">
                  <c:v>42270</c:v>
                </c:pt>
                <c:pt idx="17">
                  <c:v>42271</c:v>
                </c:pt>
                <c:pt idx="18">
                  <c:v>42272</c:v>
                </c:pt>
                <c:pt idx="19">
                  <c:v>42275</c:v>
                </c:pt>
                <c:pt idx="20">
                  <c:v>42276</c:v>
                </c:pt>
                <c:pt idx="21">
                  <c:v>42277</c:v>
                </c:pt>
                <c:pt idx="22">
                  <c:v>42278</c:v>
                </c:pt>
                <c:pt idx="23">
                  <c:v>42279</c:v>
                </c:pt>
                <c:pt idx="24">
                  <c:v>42282</c:v>
                </c:pt>
                <c:pt idx="25">
                  <c:v>42283</c:v>
                </c:pt>
                <c:pt idx="26">
                  <c:v>42284</c:v>
                </c:pt>
                <c:pt idx="27">
                  <c:v>42285</c:v>
                </c:pt>
                <c:pt idx="28">
                  <c:v>42286</c:v>
                </c:pt>
                <c:pt idx="29">
                  <c:v>42289</c:v>
                </c:pt>
                <c:pt idx="30">
                  <c:v>42290</c:v>
                </c:pt>
                <c:pt idx="31">
                  <c:v>42291</c:v>
                </c:pt>
                <c:pt idx="32">
                  <c:v>42292</c:v>
                </c:pt>
                <c:pt idx="33">
                  <c:v>42293</c:v>
                </c:pt>
                <c:pt idx="34">
                  <c:v>42296</c:v>
                </c:pt>
                <c:pt idx="35">
                  <c:v>42297</c:v>
                </c:pt>
                <c:pt idx="36">
                  <c:v>42298</c:v>
                </c:pt>
                <c:pt idx="37">
                  <c:v>42299</c:v>
                </c:pt>
                <c:pt idx="38">
                  <c:v>42303</c:v>
                </c:pt>
                <c:pt idx="39">
                  <c:v>42304</c:v>
                </c:pt>
                <c:pt idx="40">
                  <c:v>42305</c:v>
                </c:pt>
                <c:pt idx="41">
                  <c:v>42306</c:v>
                </c:pt>
                <c:pt idx="42">
                  <c:v>42307</c:v>
                </c:pt>
                <c:pt idx="43">
                  <c:v>42310</c:v>
                </c:pt>
                <c:pt idx="44">
                  <c:v>42311</c:v>
                </c:pt>
                <c:pt idx="45">
                  <c:v>42312</c:v>
                </c:pt>
                <c:pt idx="46">
                  <c:v>42313</c:v>
                </c:pt>
                <c:pt idx="47">
                  <c:v>42314</c:v>
                </c:pt>
                <c:pt idx="48">
                  <c:v>42317</c:v>
                </c:pt>
                <c:pt idx="49">
                  <c:v>42318</c:v>
                </c:pt>
                <c:pt idx="50">
                  <c:v>42319</c:v>
                </c:pt>
                <c:pt idx="51">
                  <c:v>42320</c:v>
                </c:pt>
                <c:pt idx="52">
                  <c:v>42321</c:v>
                </c:pt>
                <c:pt idx="53">
                  <c:v>42324</c:v>
                </c:pt>
                <c:pt idx="54">
                  <c:v>42325</c:v>
                </c:pt>
                <c:pt idx="55">
                  <c:v>42326</c:v>
                </c:pt>
                <c:pt idx="56">
                  <c:v>42327</c:v>
                </c:pt>
                <c:pt idx="57">
                  <c:v>42328</c:v>
                </c:pt>
                <c:pt idx="58">
                  <c:v>42331</c:v>
                </c:pt>
                <c:pt idx="59">
                  <c:v>42332</c:v>
                </c:pt>
                <c:pt idx="60">
                  <c:v>42333</c:v>
                </c:pt>
                <c:pt idx="61">
                  <c:v>42334</c:v>
                </c:pt>
                <c:pt idx="62">
                  <c:v>42335</c:v>
                </c:pt>
                <c:pt idx="63">
                  <c:v>42338</c:v>
                </c:pt>
                <c:pt idx="64">
                  <c:v>42339</c:v>
                </c:pt>
                <c:pt idx="65">
                  <c:v>42340</c:v>
                </c:pt>
                <c:pt idx="66">
                  <c:v>42341</c:v>
                </c:pt>
                <c:pt idx="67">
                  <c:v>42342</c:v>
                </c:pt>
                <c:pt idx="68">
                  <c:v>42345</c:v>
                </c:pt>
                <c:pt idx="69">
                  <c:v>42346</c:v>
                </c:pt>
                <c:pt idx="70">
                  <c:v>42347</c:v>
                </c:pt>
                <c:pt idx="71">
                  <c:v>42348</c:v>
                </c:pt>
                <c:pt idx="72">
                  <c:v>42349</c:v>
                </c:pt>
                <c:pt idx="73">
                  <c:v>42350</c:v>
                </c:pt>
                <c:pt idx="74">
                  <c:v>42352</c:v>
                </c:pt>
                <c:pt idx="75">
                  <c:v>42353</c:v>
                </c:pt>
                <c:pt idx="76">
                  <c:v>42354</c:v>
                </c:pt>
                <c:pt idx="77">
                  <c:v>42355</c:v>
                </c:pt>
                <c:pt idx="78">
                  <c:v>42356</c:v>
                </c:pt>
                <c:pt idx="79">
                  <c:v>42359</c:v>
                </c:pt>
                <c:pt idx="80">
                  <c:v>42360</c:v>
                </c:pt>
                <c:pt idx="81">
                  <c:v>42361</c:v>
                </c:pt>
                <c:pt idx="82">
                  <c:v>42366</c:v>
                </c:pt>
                <c:pt idx="83">
                  <c:v>42367</c:v>
                </c:pt>
                <c:pt idx="84">
                  <c:v>42368</c:v>
                </c:pt>
                <c:pt idx="85">
                  <c:v>42369</c:v>
                </c:pt>
                <c:pt idx="86">
                  <c:v>42373</c:v>
                </c:pt>
                <c:pt idx="87">
                  <c:v>42374</c:v>
                </c:pt>
                <c:pt idx="88">
                  <c:v>42375</c:v>
                </c:pt>
                <c:pt idx="89">
                  <c:v>42376</c:v>
                </c:pt>
                <c:pt idx="90">
                  <c:v>42377</c:v>
                </c:pt>
                <c:pt idx="91">
                  <c:v>42380</c:v>
                </c:pt>
                <c:pt idx="92">
                  <c:v>42381</c:v>
                </c:pt>
                <c:pt idx="93">
                  <c:v>42382</c:v>
                </c:pt>
                <c:pt idx="94">
                  <c:v>42383</c:v>
                </c:pt>
                <c:pt idx="95">
                  <c:v>42384</c:v>
                </c:pt>
                <c:pt idx="96">
                  <c:v>42387</c:v>
                </c:pt>
                <c:pt idx="97">
                  <c:v>42388</c:v>
                </c:pt>
                <c:pt idx="98">
                  <c:v>42389</c:v>
                </c:pt>
                <c:pt idx="99">
                  <c:v>42390</c:v>
                </c:pt>
                <c:pt idx="100">
                  <c:v>42391</c:v>
                </c:pt>
                <c:pt idx="101">
                  <c:v>42394</c:v>
                </c:pt>
                <c:pt idx="102">
                  <c:v>42395</c:v>
                </c:pt>
                <c:pt idx="103">
                  <c:v>42396</c:v>
                </c:pt>
                <c:pt idx="104">
                  <c:v>42397</c:v>
                </c:pt>
                <c:pt idx="105">
                  <c:v>42398</c:v>
                </c:pt>
                <c:pt idx="106">
                  <c:v>42401</c:v>
                </c:pt>
                <c:pt idx="107">
                  <c:v>42402</c:v>
                </c:pt>
                <c:pt idx="108">
                  <c:v>42403</c:v>
                </c:pt>
                <c:pt idx="109">
                  <c:v>42404</c:v>
                </c:pt>
                <c:pt idx="110">
                  <c:v>42405</c:v>
                </c:pt>
                <c:pt idx="111">
                  <c:v>42408</c:v>
                </c:pt>
                <c:pt idx="112">
                  <c:v>42409</c:v>
                </c:pt>
                <c:pt idx="113">
                  <c:v>42410</c:v>
                </c:pt>
                <c:pt idx="114">
                  <c:v>42411</c:v>
                </c:pt>
                <c:pt idx="115">
                  <c:v>42412</c:v>
                </c:pt>
                <c:pt idx="116">
                  <c:v>42415</c:v>
                </c:pt>
                <c:pt idx="117">
                  <c:v>42416</c:v>
                </c:pt>
                <c:pt idx="118">
                  <c:v>42417</c:v>
                </c:pt>
                <c:pt idx="119">
                  <c:v>42418</c:v>
                </c:pt>
                <c:pt idx="120">
                  <c:v>42419</c:v>
                </c:pt>
                <c:pt idx="121">
                  <c:v>42422</c:v>
                </c:pt>
                <c:pt idx="122">
                  <c:v>42423</c:v>
                </c:pt>
                <c:pt idx="123">
                  <c:v>42424</c:v>
                </c:pt>
                <c:pt idx="124">
                  <c:v>42425</c:v>
                </c:pt>
                <c:pt idx="125">
                  <c:v>42426</c:v>
                </c:pt>
                <c:pt idx="126">
                  <c:v>42429</c:v>
                </c:pt>
                <c:pt idx="127">
                  <c:v>42430</c:v>
                </c:pt>
                <c:pt idx="128">
                  <c:v>42431</c:v>
                </c:pt>
                <c:pt idx="129">
                  <c:v>42432</c:v>
                </c:pt>
                <c:pt idx="130">
                  <c:v>42433</c:v>
                </c:pt>
                <c:pt idx="131">
                  <c:v>42434</c:v>
                </c:pt>
                <c:pt idx="132">
                  <c:v>42436</c:v>
                </c:pt>
                <c:pt idx="133">
                  <c:v>42437</c:v>
                </c:pt>
                <c:pt idx="134">
                  <c:v>42438</c:v>
                </c:pt>
                <c:pt idx="135">
                  <c:v>42439</c:v>
                </c:pt>
                <c:pt idx="136">
                  <c:v>42440</c:v>
                </c:pt>
                <c:pt idx="137">
                  <c:v>42445</c:v>
                </c:pt>
                <c:pt idx="138">
                  <c:v>42446</c:v>
                </c:pt>
                <c:pt idx="139">
                  <c:v>42447</c:v>
                </c:pt>
                <c:pt idx="140">
                  <c:v>42450</c:v>
                </c:pt>
                <c:pt idx="141">
                  <c:v>42451</c:v>
                </c:pt>
                <c:pt idx="142">
                  <c:v>42452</c:v>
                </c:pt>
                <c:pt idx="143">
                  <c:v>42453</c:v>
                </c:pt>
                <c:pt idx="144">
                  <c:v>42454</c:v>
                </c:pt>
                <c:pt idx="145">
                  <c:v>42458</c:v>
                </c:pt>
                <c:pt idx="146">
                  <c:v>42459</c:v>
                </c:pt>
                <c:pt idx="147">
                  <c:v>42460</c:v>
                </c:pt>
                <c:pt idx="148">
                  <c:v>42461</c:v>
                </c:pt>
                <c:pt idx="149">
                  <c:v>42464</c:v>
                </c:pt>
                <c:pt idx="150">
                  <c:v>42465</c:v>
                </c:pt>
                <c:pt idx="151">
                  <c:v>42466</c:v>
                </c:pt>
                <c:pt idx="152">
                  <c:v>42467</c:v>
                </c:pt>
                <c:pt idx="153">
                  <c:v>42468</c:v>
                </c:pt>
                <c:pt idx="154">
                  <c:v>42471</c:v>
                </c:pt>
                <c:pt idx="155">
                  <c:v>42472</c:v>
                </c:pt>
                <c:pt idx="156">
                  <c:v>42473</c:v>
                </c:pt>
                <c:pt idx="157">
                  <c:v>42474</c:v>
                </c:pt>
                <c:pt idx="158">
                  <c:v>42475</c:v>
                </c:pt>
                <c:pt idx="159">
                  <c:v>42478</c:v>
                </c:pt>
                <c:pt idx="160">
                  <c:v>42479</c:v>
                </c:pt>
                <c:pt idx="161">
                  <c:v>42480</c:v>
                </c:pt>
                <c:pt idx="162">
                  <c:v>42481</c:v>
                </c:pt>
                <c:pt idx="163">
                  <c:v>42482</c:v>
                </c:pt>
                <c:pt idx="164">
                  <c:v>42485</c:v>
                </c:pt>
                <c:pt idx="165">
                  <c:v>42486</c:v>
                </c:pt>
                <c:pt idx="166">
                  <c:v>42487</c:v>
                </c:pt>
                <c:pt idx="167">
                  <c:v>42488</c:v>
                </c:pt>
                <c:pt idx="168">
                  <c:v>42489</c:v>
                </c:pt>
                <c:pt idx="169">
                  <c:v>42492</c:v>
                </c:pt>
                <c:pt idx="170">
                  <c:v>42493</c:v>
                </c:pt>
                <c:pt idx="171">
                  <c:v>42494</c:v>
                </c:pt>
                <c:pt idx="172">
                  <c:v>42495</c:v>
                </c:pt>
                <c:pt idx="173">
                  <c:v>42496</c:v>
                </c:pt>
                <c:pt idx="174">
                  <c:v>42499</c:v>
                </c:pt>
                <c:pt idx="175">
                  <c:v>42500</c:v>
                </c:pt>
                <c:pt idx="176">
                  <c:v>42501</c:v>
                </c:pt>
                <c:pt idx="177">
                  <c:v>42502</c:v>
                </c:pt>
                <c:pt idx="178">
                  <c:v>42503</c:v>
                </c:pt>
                <c:pt idx="179">
                  <c:v>42507</c:v>
                </c:pt>
                <c:pt idx="180">
                  <c:v>42508</c:v>
                </c:pt>
                <c:pt idx="181">
                  <c:v>42509</c:v>
                </c:pt>
                <c:pt idx="182">
                  <c:v>42510</c:v>
                </c:pt>
                <c:pt idx="183">
                  <c:v>42513</c:v>
                </c:pt>
                <c:pt idx="184">
                  <c:v>42514</c:v>
                </c:pt>
                <c:pt idx="185">
                  <c:v>42515</c:v>
                </c:pt>
                <c:pt idx="186">
                  <c:v>42516</c:v>
                </c:pt>
                <c:pt idx="187">
                  <c:v>42517</c:v>
                </c:pt>
                <c:pt idx="188">
                  <c:v>42520</c:v>
                </c:pt>
                <c:pt idx="189">
                  <c:v>42521</c:v>
                </c:pt>
                <c:pt idx="190">
                  <c:v>42522</c:v>
                </c:pt>
                <c:pt idx="191">
                  <c:v>42523</c:v>
                </c:pt>
                <c:pt idx="192">
                  <c:v>42524</c:v>
                </c:pt>
                <c:pt idx="193">
                  <c:v>42527</c:v>
                </c:pt>
                <c:pt idx="194">
                  <c:v>42528</c:v>
                </c:pt>
                <c:pt idx="195">
                  <c:v>42529</c:v>
                </c:pt>
                <c:pt idx="196">
                  <c:v>42530</c:v>
                </c:pt>
                <c:pt idx="197">
                  <c:v>42531</c:v>
                </c:pt>
                <c:pt idx="198">
                  <c:v>42534</c:v>
                </c:pt>
                <c:pt idx="199">
                  <c:v>42535</c:v>
                </c:pt>
                <c:pt idx="200">
                  <c:v>42536</c:v>
                </c:pt>
                <c:pt idx="201">
                  <c:v>42537</c:v>
                </c:pt>
                <c:pt idx="202">
                  <c:v>42538</c:v>
                </c:pt>
                <c:pt idx="203">
                  <c:v>42541</c:v>
                </c:pt>
                <c:pt idx="204">
                  <c:v>42542</c:v>
                </c:pt>
                <c:pt idx="205">
                  <c:v>42543</c:v>
                </c:pt>
                <c:pt idx="206">
                  <c:v>42544</c:v>
                </c:pt>
                <c:pt idx="207">
                  <c:v>42545</c:v>
                </c:pt>
                <c:pt idx="208">
                  <c:v>42548</c:v>
                </c:pt>
                <c:pt idx="209">
                  <c:v>42549</c:v>
                </c:pt>
                <c:pt idx="210">
                  <c:v>42550</c:v>
                </c:pt>
                <c:pt idx="211">
                  <c:v>42551</c:v>
                </c:pt>
                <c:pt idx="212">
                  <c:v>42552</c:v>
                </c:pt>
                <c:pt idx="213">
                  <c:v>42555</c:v>
                </c:pt>
                <c:pt idx="214">
                  <c:v>42556</c:v>
                </c:pt>
                <c:pt idx="215">
                  <c:v>42557</c:v>
                </c:pt>
                <c:pt idx="216">
                  <c:v>42558</c:v>
                </c:pt>
                <c:pt idx="217">
                  <c:v>42559</c:v>
                </c:pt>
                <c:pt idx="218">
                  <c:v>42562</c:v>
                </c:pt>
                <c:pt idx="219">
                  <c:v>42563</c:v>
                </c:pt>
                <c:pt idx="220">
                  <c:v>42564</c:v>
                </c:pt>
                <c:pt idx="221">
                  <c:v>42565</c:v>
                </c:pt>
                <c:pt idx="222">
                  <c:v>42566</c:v>
                </c:pt>
                <c:pt idx="223">
                  <c:v>42569</c:v>
                </c:pt>
                <c:pt idx="224">
                  <c:v>42570</c:v>
                </c:pt>
                <c:pt idx="225">
                  <c:v>42571</c:v>
                </c:pt>
                <c:pt idx="226">
                  <c:v>42572</c:v>
                </c:pt>
                <c:pt idx="227">
                  <c:v>42573</c:v>
                </c:pt>
                <c:pt idx="228">
                  <c:v>42576</c:v>
                </c:pt>
                <c:pt idx="229">
                  <c:v>42577</c:v>
                </c:pt>
                <c:pt idx="230">
                  <c:v>42578</c:v>
                </c:pt>
                <c:pt idx="231">
                  <c:v>42579</c:v>
                </c:pt>
                <c:pt idx="232">
                  <c:v>42580</c:v>
                </c:pt>
                <c:pt idx="233">
                  <c:v>42583</c:v>
                </c:pt>
                <c:pt idx="234">
                  <c:v>42584</c:v>
                </c:pt>
                <c:pt idx="235">
                  <c:v>42585</c:v>
                </c:pt>
                <c:pt idx="236">
                  <c:v>42586</c:v>
                </c:pt>
                <c:pt idx="237">
                  <c:v>42587</c:v>
                </c:pt>
                <c:pt idx="238">
                  <c:v>42590</c:v>
                </c:pt>
                <c:pt idx="239">
                  <c:v>42591</c:v>
                </c:pt>
                <c:pt idx="240">
                  <c:v>42592</c:v>
                </c:pt>
                <c:pt idx="241">
                  <c:v>42593</c:v>
                </c:pt>
                <c:pt idx="242">
                  <c:v>42594</c:v>
                </c:pt>
                <c:pt idx="243">
                  <c:v>42597</c:v>
                </c:pt>
                <c:pt idx="244">
                  <c:v>42598</c:v>
                </c:pt>
                <c:pt idx="245">
                  <c:v>42599</c:v>
                </c:pt>
                <c:pt idx="246">
                  <c:v>42600</c:v>
                </c:pt>
                <c:pt idx="247">
                  <c:v>42601</c:v>
                </c:pt>
                <c:pt idx="248">
                  <c:v>42604</c:v>
                </c:pt>
                <c:pt idx="249">
                  <c:v>42605</c:v>
                </c:pt>
                <c:pt idx="250">
                  <c:v>42606</c:v>
                </c:pt>
                <c:pt idx="251">
                  <c:v>42607</c:v>
                </c:pt>
                <c:pt idx="252">
                  <c:v>42608</c:v>
                </c:pt>
                <c:pt idx="253">
                  <c:v>42611</c:v>
                </c:pt>
                <c:pt idx="254">
                  <c:v>42612</c:v>
                </c:pt>
                <c:pt idx="255">
                  <c:v>42613</c:v>
                </c:pt>
                <c:pt idx="256">
                  <c:v>42614</c:v>
                </c:pt>
                <c:pt idx="257">
                  <c:v>42615</c:v>
                </c:pt>
                <c:pt idx="258">
                  <c:v>42618</c:v>
                </c:pt>
                <c:pt idx="259">
                  <c:v>42619</c:v>
                </c:pt>
                <c:pt idx="260">
                  <c:v>42620</c:v>
                </c:pt>
                <c:pt idx="261">
                  <c:v>42621</c:v>
                </c:pt>
                <c:pt idx="262">
                  <c:v>42622</c:v>
                </c:pt>
                <c:pt idx="263">
                  <c:v>42625</c:v>
                </c:pt>
                <c:pt idx="264">
                  <c:v>42626</c:v>
                </c:pt>
                <c:pt idx="265">
                  <c:v>42627</c:v>
                </c:pt>
                <c:pt idx="266">
                  <c:v>42628</c:v>
                </c:pt>
                <c:pt idx="267">
                  <c:v>42629</c:v>
                </c:pt>
                <c:pt idx="268">
                  <c:v>42632</c:v>
                </c:pt>
                <c:pt idx="269">
                  <c:v>42633</c:v>
                </c:pt>
                <c:pt idx="270">
                  <c:v>42634</c:v>
                </c:pt>
                <c:pt idx="271">
                  <c:v>42635</c:v>
                </c:pt>
                <c:pt idx="272">
                  <c:v>42636</c:v>
                </c:pt>
                <c:pt idx="273">
                  <c:v>42639</c:v>
                </c:pt>
                <c:pt idx="274">
                  <c:v>42640</c:v>
                </c:pt>
                <c:pt idx="275">
                  <c:v>42641</c:v>
                </c:pt>
                <c:pt idx="276">
                  <c:v>42642</c:v>
                </c:pt>
                <c:pt idx="277">
                  <c:v>42643</c:v>
                </c:pt>
                <c:pt idx="278">
                  <c:v>42646</c:v>
                </c:pt>
                <c:pt idx="279">
                  <c:v>42647</c:v>
                </c:pt>
                <c:pt idx="280">
                  <c:v>42648</c:v>
                </c:pt>
                <c:pt idx="281">
                  <c:v>42649</c:v>
                </c:pt>
                <c:pt idx="282">
                  <c:v>42650</c:v>
                </c:pt>
                <c:pt idx="283">
                  <c:v>42653</c:v>
                </c:pt>
                <c:pt idx="284">
                  <c:v>42654</c:v>
                </c:pt>
                <c:pt idx="285">
                  <c:v>42655</c:v>
                </c:pt>
                <c:pt idx="286">
                  <c:v>42656</c:v>
                </c:pt>
                <c:pt idx="287">
                  <c:v>42657</c:v>
                </c:pt>
                <c:pt idx="288">
                  <c:v>42658</c:v>
                </c:pt>
                <c:pt idx="289">
                  <c:v>42660</c:v>
                </c:pt>
                <c:pt idx="290">
                  <c:v>42661</c:v>
                </c:pt>
                <c:pt idx="291">
                  <c:v>42662</c:v>
                </c:pt>
                <c:pt idx="292">
                  <c:v>42663</c:v>
                </c:pt>
                <c:pt idx="293">
                  <c:v>42664</c:v>
                </c:pt>
                <c:pt idx="294">
                  <c:v>42667</c:v>
                </c:pt>
                <c:pt idx="295">
                  <c:v>42668</c:v>
                </c:pt>
                <c:pt idx="296">
                  <c:v>42669</c:v>
                </c:pt>
                <c:pt idx="297">
                  <c:v>42670</c:v>
                </c:pt>
                <c:pt idx="298">
                  <c:v>42671</c:v>
                </c:pt>
                <c:pt idx="299">
                  <c:v>42676</c:v>
                </c:pt>
                <c:pt idx="300">
                  <c:v>42677</c:v>
                </c:pt>
                <c:pt idx="301">
                  <c:v>42678</c:v>
                </c:pt>
                <c:pt idx="302">
                  <c:v>42681</c:v>
                </c:pt>
                <c:pt idx="303">
                  <c:v>42682</c:v>
                </c:pt>
                <c:pt idx="304">
                  <c:v>42683</c:v>
                </c:pt>
                <c:pt idx="305">
                  <c:v>42684</c:v>
                </c:pt>
                <c:pt idx="306">
                  <c:v>42685</c:v>
                </c:pt>
                <c:pt idx="307">
                  <c:v>42688</c:v>
                </c:pt>
                <c:pt idx="308">
                  <c:v>42689</c:v>
                </c:pt>
                <c:pt idx="309">
                  <c:v>42690</c:v>
                </c:pt>
                <c:pt idx="310">
                  <c:v>42691</c:v>
                </c:pt>
                <c:pt idx="311">
                  <c:v>42692</c:v>
                </c:pt>
                <c:pt idx="312">
                  <c:v>42695</c:v>
                </c:pt>
                <c:pt idx="313">
                  <c:v>42696</c:v>
                </c:pt>
                <c:pt idx="314">
                  <c:v>42697</c:v>
                </c:pt>
                <c:pt idx="315">
                  <c:v>42698</c:v>
                </c:pt>
                <c:pt idx="316">
                  <c:v>42699</c:v>
                </c:pt>
                <c:pt idx="317">
                  <c:v>42702</c:v>
                </c:pt>
                <c:pt idx="318">
                  <c:v>42703</c:v>
                </c:pt>
                <c:pt idx="319">
                  <c:v>42704</c:v>
                </c:pt>
                <c:pt idx="320">
                  <c:v>42705</c:v>
                </c:pt>
                <c:pt idx="321">
                  <c:v>42706</c:v>
                </c:pt>
                <c:pt idx="322">
                  <c:v>42709</c:v>
                </c:pt>
                <c:pt idx="323">
                  <c:v>42710</c:v>
                </c:pt>
                <c:pt idx="324">
                  <c:v>42711</c:v>
                </c:pt>
                <c:pt idx="325">
                  <c:v>42712</c:v>
                </c:pt>
                <c:pt idx="326">
                  <c:v>42713</c:v>
                </c:pt>
                <c:pt idx="327">
                  <c:v>42716</c:v>
                </c:pt>
                <c:pt idx="328">
                  <c:v>42717</c:v>
                </c:pt>
                <c:pt idx="329">
                  <c:v>42718</c:v>
                </c:pt>
                <c:pt idx="330">
                  <c:v>42719</c:v>
                </c:pt>
                <c:pt idx="331">
                  <c:v>42720</c:v>
                </c:pt>
                <c:pt idx="332">
                  <c:v>42723</c:v>
                </c:pt>
                <c:pt idx="333">
                  <c:v>42724</c:v>
                </c:pt>
                <c:pt idx="334">
                  <c:v>42725</c:v>
                </c:pt>
                <c:pt idx="335">
                  <c:v>42726</c:v>
                </c:pt>
                <c:pt idx="336">
                  <c:v>42727</c:v>
                </c:pt>
                <c:pt idx="337">
                  <c:v>42731</c:v>
                </c:pt>
                <c:pt idx="338">
                  <c:v>42732</c:v>
                </c:pt>
                <c:pt idx="339">
                  <c:v>42733</c:v>
                </c:pt>
                <c:pt idx="340">
                  <c:v>42734</c:v>
                </c:pt>
                <c:pt idx="341">
                  <c:v>42737</c:v>
                </c:pt>
                <c:pt idx="342">
                  <c:v>42738</c:v>
                </c:pt>
                <c:pt idx="343">
                  <c:v>42739</c:v>
                </c:pt>
                <c:pt idx="344">
                  <c:v>42740</c:v>
                </c:pt>
                <c:pt idx="345">
                  <c:v>42741</c:v>
                </c:pt>
                <c:pt idx="346">
                  <c:v>42744</c:v>
                </c:pt>
                <c:pt idx="347">
                  <c:v>42745</c:v>
                </c:pt>
                <c:pt idx="348">
                  <c:v>42746</c:v>
                </c:pt>
                <c:pt idx="349">
                  <c:v>42747</c:v>
                </c:pt>
                <c:pt idx="350">
                  <c:v>42748</c:v>
                </c:pt>
                <c:pt idx="351">
                  <c:v>42751</c:v>
                </c:pt>
                <c:pt idx="352">
                  <c:v>42752</c:v>
                </c:pt>
                <c:pt idx="353">
                  <c:v>42753</c:v>
                </c:pt>
                <c:pt idx="354">
                  <c:v>42754</c:v>
                </c:pt>
                <c:pt idx="355">
                  <c:v>42755</c:v>
                </c:pt>
                <c:pt idx="356">
                  <c:v>42758</c:v>
                </c:pt>
                <c:pt idx="357">
                  <c:v>42759</c:v>
                </c:pt>
                <c:pt idx="358">
                  <c:v>42760</c:v>
                </c:pt>
                <c:pt idx="359">
                  <c:v>42761</c:v>
                </c:pt>
                <c:pt idx="360">
                  <c:v>42762</c:v>
                </c:pt>
                <c:pt idx="361">
                  <c:v>42765</c:v>
                </c:pt>
                <c:pt idx="362">
                  <c:v>42766</c:v>
                </c:pt>
                <c:pt idx="363">
                  <c:v>42767</c:v>
                </c:pt>
                <c:pt idx="364">
                  <c:v>42768</c:v>
                </c:pt>
                <c:pt idx="365">
                  <c:v>42769</c:v>
                </c:pt>
                <c:pt idx="366">
                  <c:v>42772</c:v>
                </c:pt>
                <c:pt idx="367">
                  <c:v>42773</c:v>
                </c:pt>
                <c:pt idx="368">
                  <c:v>42774</c:v>
                </c:pt>
                <c:pt idx="369">
                  <c:v>42775</c:v>
                </c:pt>
                <c:pt idx="370">
                  <c:v>42776</c:v>
                </c:pt>
                <c:pt idx="371">
                  <c:v>42779</c:v>
                </c:pt>
                <c:pt idx="372">
                  <c:v>42780</c:v>
                </c:pt>
                <c:pt idx="373">
                  <c:v>42781</c:v>
                </c:pt>
                <c:pt idx="374">
                  <c:v>42782</c:v>
                </c:pt>
                <c:pt idx="375">
                  <c:v>42783</c:v>
                </c:pt>
                <c:pt idx="376">
                  <c:v>42786</c:v>
                </c:pt>
                <c:pt idx="377">
                  <c:v>42787</c:v>
                </c:pt>
                <c:pt idx="378">
                  <c:v>42788</c:v>
                </c:pt>
                <c:pt idx="379">
                  <c:v>42789</c:v>
                </c:pt>
                <c:pt idx="380">
                  <c:v>42790</c:v>
                </c:pt>
                <c:pt idx="381">
                  <c:v>42793</c:v>
                </c:pt>
                <c:pt idx="382">
                  <c:v>42794</c:v>
                </c:pt>
                <c:pt idx="383">
                  <c:v>42795</c:v>
                </c:pt>
                <c:pt idx="384">
                  <c:v>42796</c:v>
                </c:pt>
                <c:pt idx="385">
                  <c:v>42797</c:v>
                </c:pt>
                <c:pt idx="386">
                  <c:v>42800</c:v>
                </c:pt>
                <c:pt idx="387">
                  <c:v>42801</c:v>
                </c:pt>
                <c:pt idx="388">
                  <c:v>42802</c:v>
                </c:pt>
                <c:pt idx="389">
                  <c:v>42803</c:v>
                </c:pt>
                <c:pt idx="390">
                  <c:v>42804</c:v>
                </c:pt>
                <c:pt idx="391">
                  <c:v>42807</c:v>
                </c:pt>
                <c:pt idx="392">
                  <c:v>42808</c:v>
                </c:pt>
                <c:pt idx="393">
                  <c:v>42810</c:v>
                </c:pt>
                <c:pt idx="394">
                  <c:v>42811</c:v>
                </c:pt>
                <c:pt idx="395">
                  <c:v>42814</c:v>
                </c:pt>
                <c:pt idx="396">
                  <c:v>42815</c:v>
                </c:pt>
                <c:pt idx="397">
                  <c:v>42816</c:v>
                </c:pt>
                <c:pt idx="398">
                  <c:v>42817</c:v>
                </c:pt>
                <c:pt idx="399">
                  <c:v>42818</c:v>
                </c:pt>
                <c:pt idx="400">
                  <c:v>42821</c:v>
                </c:pt>
                <c:pt idx="401">
                  <c:v>42822</c:v>
                </c:pt>
                <c:pt idx="402">
                  <c:v>42823</c:v>
                </c:pt>
                <c:pt idx="403">
                  <c:v>42824</c:v>
                </c:pt>
                <c:pt idx="404">
                  <c:v>42825</c:v>
                </c:pt>
                <c:pt idx="405">
                  <c:v>42828</c:v>
                </c:pt>
                <c:pt idx="406">
                  <c:v>42829</c:v>
                </c:pt>
                <c:pt idx="407">
                  <c:v>42830</c:v>
                </c:pt>
                <c:pt idx="408">
                  <c:v>42831</c:v>
                </c:pt>
                <c:pt idx="409">
                  <c:v>42832</c:v>
                </c:pt>
                <c:pt idx="410">
                  <c:v>42835</c:v>
                </c:pt>
                <c:pt idx="411">
                  <c:v>42836</c:v>
                </c:pt>
                <c:pt idx="412">
                  <c:v>42837</c:v>
                </c:pt>
                <c:pt idx="413">
                  <c:v>42838</c:v>
                </c:pt>
                <c:pt idx="414">
                  <c:v>42843</c:v>
                </c:pt>
                <c:pt idx="415">
                  <c:v>42844</c:v>
                </c:pt>
                <c:pt idx="416">
                  <c:v>42845</c:v>
                </c:pt>
                <c:pt idx="417">
                  <c:v>42846</c:v>
                </c:pt>
                <c:pt idx="418">
                  <c:v>42849</c:v>
                </c:pt>
                <c:pt idx="419">
                  <c:v>42850</c:v>
                </c:pt>
                <c:pt idx="420">
                  <c:v>42851</c:v>
                </c:pt>
                <c:pt idx="421">
                  <c:v>42852</c:v>
                </c:pt>
                <c:pt idx="422">
                  <c:v>42853</c:v>
                </c:pt>
                <c:pt idx="423">
                  <c:v>42854</c:v>
                </c:pt>
                <c:pt idx="424">
                  <c:v>42855</c:v>
                </c:pt>
                <c:pt idx="425">
                  <c:v>42856</c:v>
                </c:pt>
                <c:pt idx="426">
                  <c:v>42857</c:v>
                </c:pt>
                <c:pt idx="427">
                  <c:v>42858</c:v>
                </c:pt>
                <c:pt idx="428">
                  <c:v>42859</c:v>
                </c:pt>
                <c:pt idx="429">
                  <c:v>42860</c:v>
                </c:pt>
                <c:pt idx="430">
                  <c:v>42861</c:v>
                </c:pt>
                <c:pt idx="431">
                  <c:v>42862</c:v>
                </c:pt>
                <c:pt idx="432">
                  <c:v>42863</c:v>
                </c:pt>
                <c:pt idx="433">
                  <c:v>42864</c:v>
                </c:pt>
                <c:pt idx="434">
                  <c:v>42865</c:v>
                </c:pt>
                <c:pt idx="435">
                  <c:v>42866</c:v>
                </c:pt>
                <c:pt idx="436">
                  <c:v>42867</c:v>
                </c:pt>
                <c:pt idx="437">
                  <c:v>42868</c:v>
                </c:pt>
                <c:pt idx="438">
                  <c:v>42869</c:v>
                </c:pt>
                <c:pt idx="439">
                  <c:v>42870</c:v>
                </c:pt>
                <c:pt idx="440">
                  <c:v>42871</c:v>
                </c:pt>
                <c:pt idx="441">
                  <c:v>42872</c:v>
                </c:pt>
                <c:pt idx="442">
                  <c:v>42873</c:v>
                </c:pt>
                <c:pt idx="443">
                  <c:v>42874</c:v>
                </c:pt>
                <c:pt idx="444">
                  <c:v>42875</c:v>
                </c:pt>
                <c:pt idx="445">
                  <c:v>42876</c:v>
                </c:pt>
                <c:pt idx="446">
                  <c:v>42877</c:v>
                </c:pt>
                <c:pt idx="447">
                  <c:v>42878</c:v>
                </c:pt>
                <c:pt idx="448">
                  <c:v>42879</c:v>
                </c:pt>
                <c:pt idx="449">
                  <c:v>42880</c:v>
                </c:pt>
                <c:pt idx="450">
                  <c:v>42881</c:v>
                </c:pt>
                <c:pt idx="451">
                  <c:v>42882</c:v>
                </c:pt>
                <c:pt idx="452">
                  <c:v>42883</c:v>
                </c:pt>
                <c:pt idx="453">
                  <c:v>42884</c:v>
                </c:pt>
                <c:pt idx="454">
                  <c:v>42885</c:v>
                </c:pt>
                <c:pt idx="455">
                  <c:v>42886</c:v>
                </c:pt>
                <c:pt idx="456">
                  <c:v>42887</c:v>
                </c:pt>
                <c:pt idx="457">
                  <c:v>42888</c:v>
                </c:pt>
                <c:pt idx="458">
                  <c:v>42889</c:v>
                </c:pt>
                <c:pt idx="459">
                  <c:v>42890</c:v>
                </c:pt>
                <c:pt idx="460">
                  <c:v>42891</c:v>
                </c:pt>
                <c:pt idx="461">
                  <c:v>42892</c:v>
                </c:pt>
                <c:pt idx="462">
                  <c:v>42893</c:v>
                </c:pt>
                <c:pt idx="463">
                  <c:v>42894</c:v>
                </c:pt>
                <c:pt idx="464">
                  <c:v>42895</c:v>
                </c:pt>
                <c:pt idx="465">
                  <c:v>42896</c:v>
                </c:pt>
                <c:pt idx="466">
                  <c:v>42897</c:v>
                </c:pt>
                <c:pt idx="467">
                  <c:v>42898</c:v>
                </c:pt>
                <c:pt idx="468">
                  <c:v>42899</c:v>
                </c:pt>
                <c:pt idx="469">
                  <c:v>42900</c:v>
                </c:pt>
                <c:pt idx="470">
                  <c:v>42901</c:v>
                </c:pt>
                <c:pt idx="471">
                  <c:v>42902</c:v>
                </c:pt>
                <c:pt idx="472">
                  <c:v>42903</c:v>
                </c:pt>
                <c:pt idx="473">
                  <c:v>42904</c:v>
                </c:pt>
                <c:pt idx="474">
                  <c:v>42905</c:v>
                </c:pt>
                <c:pt idx="475">
                  <c:v>42906</c:v>
                </c:pt>
                <c:pt idx="476">
                  <c:v>42907</c:v>
                </c:pt>
                <c:pt idx="477">
                  <c:v>42908</c:v>
                </c:pt>
                <c:pt idx="478">
                  <c:v>42909</c:v>
                </c:pt>
                <c:pt idx="479">
                  <c:v>42910</c:v>
                </c:pt>
                <c:pt idx="480">
                  <c:v>42911</c:v>
                </c:pt>
                <c:pt idx="481">
                  <c:v>42912</c:v>
                </c:pt>
                <c:pt idx="482">
                  <c:v>42913</c:v>
                </c:pt>
                <c:pt idx="483">
                  <c:v>42914</c:v>
                </c:pt>
                <c:pt idx="484">
                  <c:v>42915</c:v>
                </c:pt>
                <c:pt idx="485">
                  <c:v>42916</c:v>
                </c:pt>
                <c:pt idx="486">
                  <c:v>42917</c:v>
                </c:pt>
                <c:pt idx="487">
                  <c:v>42918</c:v>
                </c:pt>
                <c:pt idx="488">
                  <c:v>42919</c:v>
                </c:pt>
                <c:pt idx="489">
                  <c:v>42920</c:v>
                </c:pt>
                <c:pt idx="490">
                  <c:v>42921</c:v>
                </c:pt>
                <c:pt idx="491">
                  <c:v>42922</c:v>
                </c:pt>
                <c:pt idx="492">
                  <c:v>42923</c:v>
                </c:pt>
                <c:pt idx="493">
                  <c:v>42924</c:v>
                </c:pt>
                <c:pt idx="494">
                  <c:v>42925</c:v>
                </c:pt>
                <c:pt idx="495">
                  <c:v>42926</c:v>
                </c:pt>
                <c:pt idx="496">
                  <c:v>42927</c:v>
                </c:pt>
                <c:pt idx="497">
                  <c:v>42928</c:v>
                </c:pt>
                <c:pt idx="498">
                  <c:v>42929</c:v>
                </c:pt>
                <c:pt idx="499">
                  <c:v>42930</c:v>
                </c:pt>
                <c:pt idx="500">
                  <c:v>42931</c:v>
                </c:pt>
                <c:pt idx="501">
                  <c:v>42932</c:v>
                </c:pt>
                <c:pt idx="502">
                  <c:v>42933</c:v>
                </c:pt>
                <c:pt idx="503">
                  <c:v>42934</c:v>
                </c:pt>
                <c:pt idx="504">
                  <c:v>42935</c:v>
                </c:pt>
                <c:pt idx="505">
                  <c:v>42936</c:v>
                </c:pt>
                <c:pt idx="506">
                  <c:v>42937</c:v>
                </c:pt>
                <c:pt idx="507">
                  <c:v>42938</c:v>
                </c:pt>
                <c:pt idx="508">
                  <c:v>42939</c:v>
                </c:pt>
                <c:pt idx="509">
                  <c:v>42940</c:v>
                </c:pt>
                <c:pt idx="510">
                  <c:v>42941</c:v>
                </c:pt>
                <c:pt idx="511">
                  <c:v>42942</c:v>
                </c:pt>
                <c:pt idx="512">
                  <c:v>42943</c:v>
                </c:pt>
                <c:pt idx="513">
                  <c:v>42944</c:v>
                </c:pt>
                <c:pt idx="514">
                  <c:v>42945</c:v>
                </c:pt>
                <c:pt idx="515">
                  <c:v>42946</c:v>
                </c:pt>
                <c:pt idx="516">
                  <c:v>42947</c:v>
                </c:pt>
                <c:pt idx="517">
                  <c:v>42948</c:v>
                </c:pt>
                <c:pt idx="518">
                  <c:v>42949</c:v>
                </c:pt>
                <c:pt idx="519">
                  <c:v>42950</c:v>
                </c:pt>
                <c:pt idx="520">
                  <c:v>42951</c:v>
                </c:pt>
                <c:pt idx="521">
                  <c:v>42952</c:v>
                </c:pt>
                <c:pt idx="522">
                  <c:v>42953</c:v>
                </c:pt>
                <c:pt idx="523">
                  <c:v>42954</c:v>
                </c:pt>
                <c:pt idx="524">
                  <c:v>42955</c:v>
                </c:pt>
                <c:pt idx="525">
                  <c:v>42956</c:v>
                </c:pt>
                <c:pt idx="526">
                  <c:v>42957</c:v>
                </c:pt>
                <c:pt idx="527">
                  <c:v>42958</c:v>
                </c:pt>
                <c:pt idx="528">
                  <c:v>42959</c:v>
                </c:pt>
                <c:pt idx="529">
                  <c:v>42960</c:v>
                </c:pt>
                <c:pt idx="530">
                  <c:v>42961</c:v>
                </c:pt>
                <c:pt idx="531">
                  <c:v>42962</c:v>
                </c:pt>
                <c:pt idx="532">
                  <c:v>42963</c:v>
                </c:pt>
                <c:pt idx="533">
                  <c:v>42964</c:v>
                </c:pt>
                <c:pt idx="534">
                  <c:v>42965</c:v>
                </c:pt>
                <c:pt idx="535">
                  <c:v>42966</c:v>
                </c:pt>
                <c:pt idx="536">
                  <c:v>42967</c:v>
                </c:pt>
                <c:pt idx="537">
                  <c:v>42968</c:v>
                </c:pt>
                <c:pt idx="538">
                  <c:v>42969</c:v>
                </c:pt>
                <c:pt idx="539">
                  <c:v>42970</c:v>
                </c:pt>
                <c:pt idx="540">
                  <c:v>42971</c:v>
                </c:pt>
                <c:pt idx="541">
                  <c:v>42972</c:v>
                </c:pt>
                <c:pt idx="542">
                  <c:v>42973</c:v>
                </c:pt>
                <c:pt idx="543">
                  <c:v>42974</c:v>
                </c:pt>
                <c:pt idx="544">
                  <c:v>42975</c:v>
                </c:pt>
                <c:pt idx="545">
                  <c:v>42976</c:v>
                </c:pt>
                <c:pt idx="546">
                  <c:v>42977</c:v>
                </c:pt>
                <c:pt idx="547">
                  <c:v>42978</c:v>
                </c:pt>
                <c:pt idx="548">
                  <c:v>42979</c:v>
                </c:pt>
                <c:pt idx="549">
                  <c:v>42980</c:v>
                </c:pt>
                <c:pt idx="550">
                  <c:v>42981</c:v>
                </c:pt>
                <c:pt idx="551">
                  <c:v>42982</c:v>
                </c:pt>
                <c:pt idx="552">
                  <c:v>42983</c:v>
                </c:pt>
                <c:pt idx="553">
                  <c:v>42984</c:v>
                </c:pt>
                <c:pt idx="554">
                  <c:v>42985</c:v>
                </c:pt>
                <c:pt idx="555">
                  <c:v>42986</c:v>
                </c:pt>
                <c:pt idx="556">
                  <c:v>42987</c:v>
                </c:pt>
                <c:pt idx="557">
                  <c:v>42988</c:v>
                </c:pt>
                <c:pt idx="558">
                  <c:v>42989</c:v>
                </c:pt>
                <c:pt idx="559">
                  <c:v>42990</c:v>
                </c:pt>
                <c:pt idx="560">
                  <c:v>42991</c:v>
                </c:pt>
                <c:pt idx="561">
                  <c:v>42992</c:v>
                </c:pt>
                <c:pt idx="562">
                  <c:v>42993</c:v>
                </c:pt>
                <c:pt idx="563">
                  <c:v>42994</c:v>
                </c:pt>
                <c:pt idx="564">
                  <c:v>42995</c:v>
                </c:pt>
                <c:pt idx="565">
                  <c:v>42996</c:v>
                </c:pt>
                <c:pt idx="566">
                  <c:v>42997</c:v>
                </c:pt>
                <c:pt idx="567">
                  <c:v>42998</c:v>
                </c:pt>
                <c:pt idx="568">
                  <c:v>42999</c:v>
                </c:pt>
                <c:pt idx="569">
                  <c:v>43000</c:v>
                </c:pt>
                <c:pt idx="570">
                  <c:v>43001</c:v>
                </c:pt>
                <c:pt idx="571">
                  <c:v>43002</c:v>
                </c:pt>
                <c:pt idx="572">
                  <c:v>43003</c:v>
                </c:pt>
                <c:pt idx="573">
                  <c:v>43004</c:v>
                </c:pt>
                <c:pt idx="574">
                  <c:v>43005</c:v>
                </c:pt>
                <c:pt idx="575">
                  <c:v>43006</c:v>
                </c:pt>
                <c:pt idx="576">
                  <c:v>43007</c:v>
                </c:pt>
                <c:pt idx="577">
                  <c:v>43008</c:v>
                </c:pt>
                <c:pt idx="578">
                  <c:v>43009</c:v>
                </c:pt>
                <c:pt idx="579">
                  <c:v>43010</c:v>
                </c:pt>
                <c:pt idx="580">
                  <c:v>43011</c:v>
                </c:pt>
                <c:pt idx="581">
                  <c:v>43012</c:v>
                </c:pt>
                <c:pt idx="582">
                  <c:v>43013</c:v>
                </c:pt>
                <c:pt idx="583">
                  <c:v>43014</c:v>
                </c:pt>
                <c:pt idx="584">
                  <c:v>43015</c:v>
                </c:pt>
                <c:pt idx="585">
                  <c:v>43016</c:v>
                </c:pt>
                <c:pt idx="586">
                  <c:v>43017</c:v>
                </c:pt>
                <c:pt idx="587">
                  <c:v>43018</c:v>
                </c:pt>
                <c:pt idx="588">
                  <c:v>43019</c:v>
                </c:pt>
                <c:pt idx="589">
                  <c:v>43020</c:v>
                </c:pt>
                <c:pt idx="590">
                  <c:v>43021</c:v>
                </c:pt>
                <c:pt idx="591">
                  <c:v>43022</c:v>
                </c:pt>
                <c:pt idx="592">
                  <c:v>43023</c:v>
                </c:pt>
                <c:pt idx="593">
                  <c:v>43024</c:v>
                </c:pt>
                <c:pt idx="594">
                  <c:v>43025</c:v>
                </c:pt>
                <c:pt idx="595">
                  <c:v>43026</c:v>
                </c:pt>
                <c:pt idx="596">
                  <c:v>43027</c:v>
                </c:pt>
                <c:pt idx="597">
                  <c:v>43028</c:v>
                </c:pt>
                <c:pt idx="598">
                  <c:v>43029</c:v>
                </c:pt>
                <c:pt idx="599">
                  <c:v>43030</c:v>
                </c:pt>
                <c:pt idx="600">
                  <c:v>43031</c:v>
                </c:pt>
                <c:pt idx="601">
                  <c:v>43032</c:v>
                </c:pt>
                <c:pt idx="602">
                  <c:v>43033</c:v>
                </c:pt>
                <c:pt idx="603">
                  <c:v>43034</c:v>
                </c:pt>
                <c:pt idx="604">
                  <c:v>43035</c:v>
                </c:pt>
                <c:pt idx="605">
                  <c:v>43036</c:v>
                </c:pt>
                <c:pt idx="606">
                  <c:v>43037</c:v>
                </c:pt>
                <c:pt idx="607">
                  <c:v>43038</c:v>
                </c:pt>
                <c:pt idx="608">
                  <c:v>43039</c:v>
                </c:pt>
                <c:pt idx="609">
                  <c:v>43040</c:v>
                </c:pt>
                <c:pt idx="610">
                  <c:v>43041</c:v>
                </c:pt>
                <c:pt idx="611">
                  <c:v>43042</c:v>
                </c:pt>
                <c:pt idx="612">
                  <c:v>43043</c:v>
                </c:pt>
                <c:pt idx="613">
                  <c:v>43044</c:v>
                </c:pt>
                <c:pt idx="614">
                  <c:v>43045</c:v>
                </c:pt>
                <c:pt idx="615">
                  <c:v>43046</c:v>
                </c:pt>
                <c:pt idx="616">
                  <c:v>43047</c:v>
                </c:pt>
                <c:pt idx="617">
                  <c:v>43048</c:v>
                </c:pt>
                <c:pt idx="618">
                  <c:v>43049</c:v>
                </c:pt>
                <c:pt idx="619">
                  <c:v>43050</c:v>
                </c:pt>
                <c:pt idx="620">
                  <c:v>43051</c:v>
                </c:pt>
                <c:pt idx="621">
                  <c:v>43052</c:v>
                </c:pt>
                <c:pt idx="622">
                  <c:v>43053</c:v>
                </c:pt>
                <c:pt idx="623">
                  <c:v>43054</c:v>
                </c:pt>
                <c:pt idx="624">
                  <c:v>43055</c:v>
                </c:pt>
                <c:pt idx="625">
                  <c:v>43056</c:v>
                </c:pt>
                <c:pt idx="626">
                  <c:v>43057</c:v>
                </c:pt>
                <c:pt idx="627">
                  <c:v>43058</c:v>
                </c:pt>
                <c:pt idx="628">
                  <c:v>43059</c:v>
                </c:pt>
                <c:pt idx="629">
                  <c:v>43060</c:v>
                </c:pt>
                <c:pt idx="630">
                  <c:v>43061</c:v>
                </c:pt>
                <c:pt idx="631">
                  <c:v>43062</c:v>
                </c:pt>
                <c:pt idx="632">
                  <c:v>43063</c:v>
                </c:pt>
                <c:pt idx="633">
                  <c:v>43064</c:v>
                </c:pt>
                <c:pt idx="634">
                  <c:v>43065</c:v>
                </c:pt>
                <c:pt idx="635">
                  <c:v>43066</c:v>
                </c:pt>
                <c:pt idx="636">
                  <c:v>43067</c:v>
                </c:pt>
                <c:pt idx="637">
                  <c:v>43068</c:v>
                </c:pt>
                <c:pt idx="638">
                  <c:v>43069</c:v>
                </c:pt>
                <c:pt idx="639">
                  <c:v>43070</c:v>
                </c:pt>
                <c:pt idx="640">
                  <c:v>43071</c:v>
                </c:pt>
                <c:pt idx="641">
                  <c:v>43072</c:v>
                </c:pt>
                <c:pt idx="642">
                  <c:v>43073</c:v>
                </c:pt>
                <c:pt idx="643">
                  <c:v>43074</c:v>
                </c:pt>
                <c:pt idx="644">
                  <c:v>43075</c:v>
                </c:pt>
                <c:pt idx="645">
                  <c:v>43076</c:v>
                </c:pt>
                <c:pt idx="646">
                  <c:v>43077</c:v>
                </c:pt>
                <c:pt idx="647">
                  <c:v>43078</c:v>
                </c:pt>
                <c:pt idx="648">
                  <c:v>43079</c:v>
                </c:pt>
                <c:pt idx="649">
                  <c:v>43080</c:v>
                </c:pt>
                <c:pt idx="650">
                  <c:v>43081</c:v>
                </c:pt>
                <c:pt idx="651">
                  <c:v>43082</c:v>
                </c:pt>
                <c:pt idx="652">
                  <c:v>43083</c:v>
                </c:pt>
                <c:pt idx="653">
                  <c:v>43084</c:v>
                </c:pt>
                <c:pt idx="654">
                  <c:v>43085</c:v>
                </c:pt>
                <c:pt idx="655">
                  <c:v>43086</c:v>
                </c:pt>
                <c:pt idx="656">
                  <c:v>43087</c:v>
                </c:pt>
                <c:pt idx="657">
                  <c:v>43088</c:v>
                </c:pt>
                <c:pt idx="658">
                  <c:v>43089</c:v>
                </c:pt>
                <c:pt idx="659">
                  <c:v>43090</c:v>
                </c:pt>
                <c:pt idx="660">
                  <c:v>43091</c:v>
                </c:pt>
                <c:pt idx="661">
                  <c:v>43092</c:v>
                </c:pt>
                <c:pt idx="662">
                  <c:v>43093</c:v>
                </c:pt>
                <c:pt idx="663">
                  <c:v>43094</c:v>
                </c:pt>
                <c:pt idx="664">
                  <c:v>43095</c:v>
                </c:pt>
                <c:pt idx="665">
                  <c:v>43096</c:v>
                </c:pt>
                <c:pt idx="666">
                  <c:v>43097</c:v>
                </c:pt>
                <c:pt idx="667">
                  <c:v>43098</c:v>
                </c:pt>
                <c:pt idx="668">
                  <c:v>43099</c:v>
                </c:pt>
                <c:pt idx="669">
                  <c:v>43100</c:v>
                </c:pt>
                <c:pt idx="670">
                  <c:v>43101</c:v>
                </c:pt>
                <c:pt idx="671">
                  <c:v>43102</c:v>
                </c:pt>
                <c:pt idx="672">
                  <c:v>43103</c:v>
                </c:pt>
                <c:pt idx="673">
                  <c:v>43104</c:v>
                </c:pt>
                <c:pt idx="674">
                  <c:v>43105</c:v>
                </c:pt>
                <c:pt idx="675">
                  <c:v>43106</c:v>
                </c:pt>
                <c:pt idx="676">
                  <c:v>43107</c:v>
                </c:pt>
                <c:pt idx="677">
                  <c:v>43108</c:v>
                </c:pt>
                <c:pt idx="678">
                  <c:v>43109</c:v>
                </c:pt>
                <c:pt idx="679">
                  <c:v>43110</c:v>
                </c:pt>
                <c:pt idx="680">
                  <c:v>43111</c:v>
                </c:pt>
                <c:pt idx="681">
                  <c:v>43112</c:v>
                </c:pt>
                <c:pt idx="682">
                  <c:v>43113</c:v>
                </c:pt>
                <c:pt idx="683">
                  <c:v>43114</c:v>
                </c:pt>
                <c:pt idx="684">
                  <c:v>43115</c:v>
                </c:pt>
                <c:pt idx="685">
                  <c:v>43116</c:v>
                </c:pt>
                <c:pt idx="686">
                  <c:v>43117</c:v>
                </c:pt>
                <c:pt idx="687">
                  <c:v>43118</c:v>
                </c:pt>
                <c:pt idx="688">
                  <c:v>43119</c:v>
                </c:pt>
                <c:pt idx="689">
                  <c:v>43120</c:v>
                </c:pt>
                <c:pt idx="690">
                  <c:v>43121</c:v>
                </c:pt>
                <c:pt idx="691">
                  <c:v>43122</c:v>
                </c:pt>
                <c:pt idx="692">
                  <c:v>43123</c:v>
                </c:pt>
                <c:pt idx="693">
                  <c:v>43124</c:v>
                </c:pt>
                <c:pt idx="694">
                  <c:v>43125</c:v>
                </c:pt>
                <c:pt idx="695">
                  <c:v>43126</c:v>
                </c:pt>
                <c:pt idx="696">
                  <c:v>43127</c:v>
                </c:pt>
                <c:pt idx="697">
                  <c:v>43128</c:v>
                </c:pt>
                <c:pt idx="698">
                  <c:v>43129</c:v>
                </c:pt>
                <c:pt idx="699">
                  <c:v>43130</c:v>
                </c:pt>
                <c:pt idx="700">
                  <c:v>43131</c:v>
                </c:pt>
                <c:pt idx="701">
                  <c:v>43132</c:v>
                </c:pt>
                <c:pt idx="702">
                  <c:v>43133</c:v>
                </c:pt>
                <c:pt idx="703">
                  <c:v>43134</c:v>
                </c:pt>
                <c:pt idx="704">
                  <c:v>43135</c:v>
                </c:pt>
                <c:pt idx="705">
                  <c:v>43136</c:v>
                </c:pt>
                <c:pt idx="706">
                  <c:v>43137</c:v>
                </c:pt>
                <c:pt idx="707">
                  <c:v>43138</c:v>
                </c:pt>
                <c:pt idx="708">
                  <c:v>43139</c:v>
                </c:pt>
                <c:pt idx="709">
                  <c:v>43140</c:v>
                </c:pt>
                <c:pt idx="710">
                  <c:v>43141</c:v>
                </c:pt>
                <c:pt idx="711">
                  <c:v>43142</c:v>
                </c:pt>
                <c:pt idx="712">
                  <c:v>43143</c:v>
                </c:pt>
                <c:pt idx="713">
                  <c:v>43144</c:v>
                </c:pt>
                <c:pt idx="714">
                  <c:v>43145</c:v>
                </c:pt>
                <c:pt idx="715">
                  <c:v>43146</c:v>
                </c:pt>
                <c:pt idx="716">
                  <c:v>43147</c:v>
                </c:pt>
                <c:pt idx="717">
                  <c:v>43148</c:v>
                </c:pt>
                <c:pt idx="718">
                  <c:v>43149</c:v>
                </c:pt>
                <c:pt idx="719">
                  <c:v>43150</c:v>
                </c:pt>
                <c:pt idx="720">
                  <c:v>43151</c:v>
                </c:pt>
                <c:pt idx="721">
                  <c:v>43152</c:v>
                </c:pt>
                <c:pt idx="722">
                  <c:v>43153</c:v>
                </c:pt>
                <c:pt idx="723">
                  <c:v>43154</c:v>
                </c:pt>
                <c:pt idx="724">
                  <c:v>43155</c:v>
                </c:pt>
                <c:pt idx="725">
                  <c:v>43156</c:v>
                </c:pt>
                <c:pt idx="726">
                  <c:v>43157</c:v>
                </c:pt>
                <c:pt idx="727">
                  <c:v>43158</c:v>
                </c:pt>
                <c:pt idx="728">
                  <c:v>43159</c:v>
                </c:pt>
                <c:pt idx="729">
                  <c:v>43160</c:v>
                </c:pt>
                <c:pt idx="730">
                  <c:v>43161</c:v>
                </c:pt>
                <c:pt idx="731">
                  <c:v>43162</c:v>
                </c:pt>
                <c:pt idx="732">
                  <c:v>43163</c:v>
                </c:pt>
                <c:pt idx="733">
                  <c:v>43164</c:v>
                </c:pt>
                <c:pt idx="734">
                  <c:v>43165</c:v>
                </c:pt>
                <c:pt idx="735">
                  <c:v>43166</c:v>
                </c:pt>
                <c:pt idx="736">
                  <c:v>43167</c:v>
                </c:pt>
                <c:pt idx="737">
                  <c:v>43168</c:v>
                </c:pt>
                <c:pt idx="738">
                  <c:v>43169</c:v>
                </c:pt>
                <c:pt idx="739">
                  <c:v>43170</c:v>
                </c:pt>
                <c:pt idx="740">
                  <c:v>43171</c:v>
                </c:pt>
                <c:pt idx="741">
                  <c:v>43172</c:v>
                </c:pt>
                <c:pt idx="742">
                  <c:v>43173</c:v>
                </c:pt>
                <c:pt idx="743">
                  <c:v>43174</c:v>
                </c:pt>
                <c:pt idx="744">
                  <c:v>43175</c:v>
                </c:pt>
                <c:pt idx="745">
                  <c:v>43176</c:v>
                </c:pt>
                <c:pt idx="746">
                  <c:v>43177</c:v>
                </c:pt>
                <c:pt idx="747">
                  <c:v>43178</c:v>
                </c:pt>
                <c:pt idx="748">
                  <c:v>43179</c:v>
                </c:pt>
                <c:pt idx="749">
                  <c:v>43180</c:v>
                </c:pt>
                <c:pt idx="750">
                  <c:v>43181</c:v>
                </c:pt>
                <c:pt idx="751">
                  <c:v>43182</c:v>
                </c:pt>
                <c:pt idx="752">
                  <c:v>43183</c:v>
                </c:pt>
                <c:pt idx="753">
                  <c:v>43184</c:v>
                </c:pt>
                <c:pt idx="754">
                  <c:v>43185</c:v>
                </c:pt>
                <c:pt idx="755">
                  <c:v>43186</c:v>
                </c:pt>
                <c:pt idx="756">
                  <c:v>43187</c:v>
                </c:pt>
                <c:pt idx="757">
                  <c:v>43188</c:v>
                </c:pt>
                <c:pt idx="758">
                  <c:v>43189</c:v>
                </c:pt>
                <c:pt idx="759">
                  <c:v>43190</c:v>
                </c:pt>
                <c:pt idx="760">
                  <c:v>43191</c:v>
                </c:pt>
                <c:pt idx="761">
                  <c:v>43192</c:v>
                </c:pt>
                <c:pt idx="762">
                  <c:v>43193</c:v>
                </c:pt>
                <c:pt idx="763">
                  <c:v>43194</c:v>
                </c:pt>
                <c:pt idx="764">
                  <c:v>43195</c:v>
                </c:pt>
                <c:pt idx="765">
                  <c:v>43196</c:v>
                </c:pt>
                <c:pt idx="766">
                  <c:v>43197</c:v>
                </c:pt>
                <c:pt idx="767">
                  <c:v>43198</c:v>
                </c:pt>
                <c:pt idx="768">
                  <c:v>43199</c:v>
                </c:pt>
                <c:pt idx="769">
                  <c:v>43200</c:v>
                </c:pt>
                <c:pt idx="770">
                  <c:v>43201</c:v>
                </c:pt>
                <c:pt idx="771">
                  <c:v>43202</c:v>
                </c:pt>
                <c:pt idx="772">
                  <c:v>43203</c:v>
                </c:pt>
                <c:pt idx="773">
                  <c:v>43204</c:v>
                </c:pt>
                <c:pt idx="774">
                  <c:v>43205</c:v>
                </c:pt>
                <c:pt idx="775">
                  <c:v>43206</c:v>
                </c:pt>
                <c:pt idx="776">
                  <c:v>43207</c:v>
                </c:pt>
                <c:pt idx="777">
                  <c:v>43208</c:v>
                </c:pt>
                <c:pt idx="778">
                  <c:v>43209</c:v>
                </c:pt>
                <c:pt idx="779">
                  <c:v>43210</c:v>
                </c:pt>
                <c:pt idx="780">
                  <c:v>43211</c:v>
                </c:pt>
                <c:pt idx="781">
                  <c:v>43212</c:v>
                </c:pt>
                <c:pt idx="782">
                  <c:v>43213</c:v>
                </c:pt>
                <c:pt idx="783">
                  <c:v>43214</c:v>
                </c:pt>
                <c:pt idx="784">
                  <c:v>43215</c:v>
                </c:pt>
                <c:pt idx="785">
                  <c:v>43216</c:v>
                </c:pt>
                <c:pt idx="786">
                  <c:v>43217</c:v>
                </c:pt>
                <c:pt idx="787">
                  <c:v>43218</c:v>
                </c:pt>
                <c:pt idx="788">
                  <c:v>43219</c:v>
                </c:pt>
                <c:pt idx="789">
                  <c:v>43220</c:v>
                </c:pt>
                <c:pt idx="790">
                  <c:v>43221</c:v>
                </c:pt>
                <c:pt idx="791">
                  <c:v>43222</c:v>
                </c:pt>
                <c:pt idx="792">
                  <c:v>43223</c:v>
                </c:pt>
                <c:pt idx="793">
                  <c:v>43224</c:v>
                </c:pt>
                <c:pt idx="794">
                  <c:v>43225</c:v>
                </c:pt>
                <c:pt idx="795">
                  <c:v>43226</c:v>
                </c:pt>
                <c:pt idx="796">
                  <c:v>43227</c:v>
                </c:pt>
                <c:pt idx="797">
                  <c:v>43228</c:v>
                </c:pt>
                <c:pt idx="798">
                  <c:v>43229</c:v>
                </c:pt>
                <c:pt idx="799">
                  <c:v>43230</c:v>
                </c:pt>
                <c:pt idx="800">
                  <c:v>43231</c:v>
                </c:pt>
                <c:pt idx="801">
                  <c:v>43232</c:v>
                </c:pt>
                <c:pt idx="802">
                  <c:v>43233</c:v>
                </c:pt>
                <c:pt idx="803">
                  <c:v>43234</c:v>
                </c:pt>
                <c:pt idx="804">
                  <c:v>43235</c:v>
                </c:pt>
                <c:pt idx="805">
                  <c:v>43236</c:v>
                </c:pt>
                <c:pt idx="806">
                  <c:v>43237</c:v>
                </c:pt>
                <c:pt idx="807">
                  <c:v>43238</c:v>
                </c:pt>
                <c:pt idx="808">
                  <c:v>43239</c:v>
                </c:pt>
                <c:pt idx="809">
                  <c:v>43240</c:v>
                </c:pt>
                <c:pt idx="810">
                  <c:v>43241</c:v>
                </c:pt>
                <c:pt idx="811">
                  <c:v>43242</c:v>
                </c:pt>
                <c:pt idx="812">
                  <c:v>43243</c:v>
                </c:pt>
                <c:pt idx="813">
                  <c:v>43244</c:v>
                </c:pt>
                <c:pt idx="814">
                  <c:v>43245</c:v>
                </c:pt>
                <c:pt idx="815">
                  <c:v>43246</c:v>
                </c:pt>
                <c:pt idx="816">
                  <c:v>43247</c:v>
                </c:pt>
                <c:pt idx="817">
                  <c:v>43248</c:v>
                </c:pt>
                <c:pt idx="818">
                  <c:v>43249</c:v>
                </c:pt>
                <c:pt idx="819">
                  <c:v>43250</c:v>
                </c:pt>
                <c:pt idx="820">
                  <c:v>43251</c:v>
                </c:pt>
                <c:pt idx="821">
                  <c:v>43252</c:v>
                </c:pt>
                <c:pt idx="822">
                  <c:v>43253</c:v>
                </c:pt>
                <c:pt idx="823">
                  <c:v>43254</c:v>
                </c:pt>
                <c:pt idx="824">
                  <c:v>43255</c:v>
                </c:pt>
                <c:pt idx="825">
                  <c:v>43256</c:v>
                </c:pt>
                <c:pt idx="826">
                  <c:v>43257</c:v>
                </c:pt>
                <c:pt idx="827">
                  <c:v>43258</c:v>
                </c:pt>
                <c:pt idx="828">
                  <c:v>43259</c:v>
                </c:pt>
                <c:pt idx="829">
                  <c:v>43260</c:v>
                </c:pt>
                <c:pt idx="830">
                  <c:v>43261</c:v>
                </c:pt>
                <c:pt idx="831">
                  <c:v>43262</c:v>
                </c:pt>
                <c:pt idx="832">
                  <c:v>43263</c:v>
                </c:pt>
                <c:pt idx="833">
                  <c:v>43264</c:v>
                </c:pt>
                <c:pt idx="834">
                  <c:v>43265</c:v>
                </c:pt>
                <c:pt idx="835">
                  <c:v>43266</c:v>
                </c:pt>
                <c:pt idx="836">
                  <c:v>43267</c:v>
                </c:pt>
                <c:pt idx="837">
                  <c:v>43268</c:v>
                </c:pt>
                <c:pt idx="838">
                  <c:v>43269</c:v>
                </c:pt>
                <c:pt idx="839">
                  <c:v>43270</c:v>
                </c:pt>
                <c:pt idx="840">
                  <c:v>43271</c:v>
                </c:pt>
                <c:pt idx="841">
                  <c:v>43272</c:v>
                </c:pt>
                <c:pt idx="842">
                  <c:v>43273</c:v>
                </c:pt>
                <c:pt idx="843">
                  <c:v>43274</c:v>
                </c:pt>
                <c:pt idx="844">
                  <c:v>43275</c:v>
                </c:pt>
                <c:pt idx="845">
                  <c:v>43276</c:v>
                </c:pt>
                <c:pt idx="846">
                  <c:v>43277</c:v>
                </c:pt>
                <c:pt idx="847">
                  <c:v>43278</c:v>
                </c:pt>
                <c:pt idx="848">
                  <c:v>43279</c:v>
                </c:pt>
                <c:pt idx="849">
                  <c:v>43280</c:v>
                </c:pt>
                <c:pt idx="850">
                  <c:v>43281</c:v>
                </c:pt>
                <c:pt idx="851">
                  <c:v>43282</c:v>
                </c:pt>
                <c:pt idx="852">
                  <c:v>43283</c:v>
                </c:pt>
                <c:pt idx="853">
                  <c:v>43284</c:v>
                </c:pt>
                <c:pt idx="854">
                  <c:v>43285</c:v>
                </c:pt>
                <c:pt idx="855">
                  <c:v>43286</c:v>
                </c:pt>
                <c:pt idx="856">
                  <c:v>43287</c:v>
                </c:pt>
                <c:pt idx="857">
                  <c:v>43288</c:v>
                </c:pt>
                <c:pt idx="858">
                  <c:v>43289</c:v>
                </c:pt>
                <c:pt idx="859">
                  <c:v>43290</c:v>
                </c:pt>
                <c:pt idx="860">
                  <c:v>43291</c:v>
                </c:pt>
                <c:pt idx="861">
                  <c:v>43292</c:v>
                </c:pt>
                <c:pt idx="862">
                  <c:v>43293</c:v>
                </c:pt>
                <c:pt idx="863">
                  <c:v>43294</c:v>
                </c:pt>
                <c:pt idx="864">
                  <c:v>43295</c:v>
                </c:pt>
                <c:pt idx="865">
                  <c:v>43296</c:v>
                </c:pt>
                <c:pt idx="866">
                  <c:v>43297</c:v>
                </c:pt>
                <c:pt idx="867">
                  <c:v>43298</c:v>
                </c:pt>
                <c:pt idx="868">
                  <c:v>43299</c:v>
                </c:pt>
                <c:pt idx="869">
                  <c:v>43300</c:v>
                </c:pt>
                <c:pt idx="870">
                  <c:v>43301</c:v>
                </c:pt>
                <c:pt idx="871">
                  <c:v>43302</c:v>
                </c:pt>
                <c:pt idx="872">
                  <c:v>43303</c:v>
                </c:pt>
                <c:pt idx="873">
                  <c:v>43304</c:v>
                </c:pt>
                <c:pt idx="874">
                  <c:v>43305</c:v>
                </c:pt>
                <c:pt idx="875">
                  <c:v>43306</c:v>
                </c:pt>
                <c:pt idx="876">
                  <c:v>43307</c:v>
                </c:pt>
                <c:pt idx="877">
                  <c:v>43308</c:v>
                </c:pt>
                <c:pt idx="878">
                  <c:v>43309</c:v>
                </c:pt>
                <c:pt idx="879">
                  <c:v>43310</c:v>
                </c:pt>
                <c:pt idx="880">
                  <c:v>43311</c:v>
                </c:pt>
                <c:pt idx="881">
                  <c:v>43312</c:v>
                </c:pt>
                <c:pt idx="882">
                  <c:v>43313</c:v>
                </c:pt>
                <c:pt idx="883">
                  <c:v>43314</c:v>
                </c:pt>
                <c:pt idx="884">
                  <c:v>43315</c:v>
                </c:pt>
                <c:pt idx="885">
                  <c:v>43316</c:v>
                </c:pt>
                <c:pt idx="886">
                  <c:v>43317</c:v>
                </c:pt>
                <c:pt idx="887">
                  <c:v>43318</c:v>
                </c:pt>
                <c:pt idx="888">
                  <c:v>43319</c:v>
                </c:pt>
                <c:pt idx="889">
                  <c:v>43320</c:v>
                </c:pt>
                <c:pt idx="890">
                  <c:v>43321</c:v>
                </c:pt>
                <c:pt idx="891">
                  <c:v>43322</c:v>
                </c:pt>
                <c:pt idx="892">
                  <c:v>43323</c:v>
                </c:pt>
                <c:pt idx="893">
                  <c:v>43324</c:v>
                </c:pt>
                <c:pt idx="894">
                  <c:v>43325</c:v>
                </c:pt>
                <c:pt idx="895">
                  <c:v>43326</c:v>
                </c:pt>
                <c:pt idx="896">
                  <c:v>43327</c:v>
                </c:pt>
                <c:pt idx="897">
                  <c:v>43328</c:v>
                </c:pt>
                <c:pt idx="898">
                  <c:v>43329</c:v>
                </c:pt>
                <c:pt idx="899">
                  <c:v>43330</c:v>
                </c:pt>
                <c:pt idx="900">
                  <c:v>43331</c:v>
                </c:pt>
                <c:pt idx="901">
                  <c:v>43332</c:v>
                </c:pt>
                <c:pt idx="902">
                  <c:v>43333</c:v>
                </c:pt>
                <c:pt idx="903">
                  <c:v>43334</c:v>
                </c:pt>
                <c:pt idx="904">
                  <c:v>43335</c:v>
                </c:pt>
                <c:pt idx="905">
                  <c:v>43336</c:v>
                </c:pt>
                <c:pt idx="906">
                  <c:v>43337</c:v>
                </c:pt>
                <c:pt idx="907">
                  <c:v>43338</c:v>
                </c:pt>
                <c:pt idx="908">
                  <c:v>43339</c:v>
                </c:pt>
                <c:pt idx="909">
                  <c:v>43340</c:v>
                </c:pt>
                <c:pt idx="910">
                  <c:v>43341</c:v>
                </c:pt>
                <c:pt idx="911">
                  <c:v>43342</c:v>
                </c:pt>
                <c:pt idx="912">
                  <c:v>43343</c:v>
                </c:pt>
                <c:pt idx="913">
                  <c:v>43344</c:v>
                </c:pt>
                <c:pt idx="914">
                  <c:v>43345</c:v>
                </c:pt>
                <c:pt idx="915">
                  <c:v>43346</c:v>
                </c:pt>
                <c:pt idx="916">
                  <c:v>43347</c:v>
                </c:pt>
                <c:pt idx="917">
                  <c:v>43348</c:v>
                </c:pt>
                <c:pt idx="918">
                  <c:v>43349</c:v>
                </c:pt>
                <c:pt idx="919">
                  <c:v>43350</c:v>
                </c:pt>
                <c:pt idx="920">
                  <c:v>43351</c:v>
                </c:pt>
                <c:pt idx="921">
                  <c:v>43352</c:v>
                </c:pt>
                <c:pt idx="922">
                  <c:v>43353</c:v>
                </c:pt>
                <c:pt idx="923">
                  <c:v>43354</c:v>
                </c:pt>
                <c:pt idx="924">
                  <c:v>43355</c:v>
                </c:pt>
                <c:pt idx="925">
                  <c:v>43356</c:v>
                </c:pt>
                <c:pt idx="926">
                  <c:v>43357</c:v>
                </c:pt>
                <c:pt idx="927">
                  <c:v>43358</c:v>
                </c:pt>
                <c:pt idx="928">
                  <c:v>43359</c:v>
                </c:pt>
                <c:pt idx="929">
                  <c:v>43360</c:v>
                </c:pt>
                <c:pt idx="930">
                  <c:v>43361</c:v>
                </c:pt>
                <c:pt idx="931">
                  <c:v>43362</c:v>
                </c:pt>
                <c:pt idx="932">
                  <c:v>43363</c:v>
                </c:pt>
                <c:pt idx="933">
                  <c:v>43364</c:v>
                </c:pt>
                <c:pt idx="934">
                  <c:v>43365</c:v>
                </c:pt>
                <c:pt idx="935">
                  <c:v>43366</c:v>
                </c:pt>
                <c:pt idx="936">
                  <c:v>43367</c:v>
                </c:pt>
                <c:pt idx="937">
                  <c:v>43368</c:v>
                </c:pt>
                <c:pt idx="938">
                  <c:v>43369</c:v>
                </c:pt>
                <c:pt idx="939">
                  <c:v>43370</c:v>
                </c:pt>
                <c:pt idx="940">
                  <c:v>43371</c:v>
                </c:pt>
                <c:pt idx="941">
                  <c:v>43372</c:v>
                </c:pt>
                <c:pt idx="942">
                  <c:v>43373</c:v>
                </c:pt>
                <c:pt idx="943">
                  <c:v>43374</c:v>
                </c:pt>
                <c:pt idx="944">
                  <c:v>43375</c:v>
                </c:pt>
                <c:pt idx="945">
                  <c:v>43376</c:v>
                </c:pt>
                <c:pt idx="946">
                  <c:v>43377</c:v>
                </c:pt>
                <c:pt idx="947">
                  <c:v>43378</c:v>
                </c:pt>
                <c:pt idx="948">
                  <c:v>43379</c:v>
                </c:pt>
                <c:pt idx="949">
                  <c:v>43380</c:v>
                </c:pt>
                <c:pt idx="950">
                  <c:v>43381</c:v>
                </c:pt>
                <c:pt idx="951">
                  <c:v>43382</c:v>
                </c:pt>
                <c:pt idx="952">
                  <c:v>43383</c:v>
                </c:pt>
                <c:pt idx="953">
                  <c:v>43384</c:v>
                </c:pt>
                <c:pt idx="954">
                  <c:v>43385</c:v>
                </c:pt>
                <c:pt idx="955">
                  <c:v>43386</c:v>
                </c:pt>
                <c:pt idx="956">
                  <c:v>43387</c:v>
                </c:pt>
                <c:pt idx="957">
                  <c:v>43388</c:v>
                </c:pt>
                <c:pt idx="958">
                  <c:v>43389</c:v>
                </c:pt>
                <c:pt idx="959">
                  <c:v>43390</c:v>
                </c:pt>
                <c:pt idx="960">
                  <c:v>43391</c:v>
                </c:pt>
                <c:pt idx="961">
                  <c:v>43392</c:v>
                </c:pt>
                <c:pt idx="962">
                  <c:v>43393</c:v>
                </c:pt>
                <c:pt idx="963">
                  <c:v>43394</c:v>
                </c:pt>
                <c:pt idx="964">
                  <c:v>43395</c:v>
                </c:pt>
                <c:pt idx="965">
                  <c:v>43396</c:v>
                </c:pt>
                <c:pt idx="966">
                  <c:v>43397</c:v>
                </c:pt>
                <c:pt idx="967">
                  <c:v>43398</c:v>
                </c:pt>
                <c:pt idx="968">
                  <c:v>43399</c:v>
                </c:pt>
                <c:pt idx="969">
                  <c:v>43400</c:v>
                </c:pt>
                <c:pt idx="970">
                  <c:v>43401</c:v>
                </c:pt>
                <c:pt idx="971">
                  <c:v>43402</c:v>
                </c:pt>
                <c:pt idx="972">
                  <c:v>43403</c:v>
                </c:pt>
                <c:pt idx="973">
                  <c:v>43404</c:v>
                </c:pt>
                <c:pt idx="974">
                  <c:v>43405</c:v>
                </c:pt>
                <c:pt idx="975">
                  <c:v>43406</c:v>
                </c:pt>
                <c:pt idx="976">
                  <c:v>43407</c:v>
                </c:pt>
                <c:pt idx="977">
                  <c:v>43408</c:v>
                </c:pt>
                <c:pt idx="978">
                  <c:v>43409</c:v>
                </c:pt>
                <c:pt idx="979">
                  <c:v>43410</c:v>
                </c:pt>
                <c:pt idx="980">
                  <c:v>43411</c:v>
                </c:pt>
                <c:pt idx="981">
                  <c:v>43412</c:v>
                </c:pt>
                <c:pt idx="982">
                  <c:v>43413</c:v>
                </c:pt>
                <c:pt idx="983">
                  <c:v>43414</c:v>
                </c:pt>
                <c:pt idx="984">
                  <c:v>43415</c:v>
                </c:pt>
                <c:pt idx="985">
                  <c:v>43416</c:v>
                </c:pt>
                <c:pt idx="986">
                  <c:v>43417</c:v>
                </c:pt>
                <c:pt idx="987">
                  <c:v>43418</c:v>
                </c:pt>
                <c:pt idx="988">
                  <c:v>43419</c:v>
                </c:pt>
                <c:pt idx="989">
                  <c:v>43420</c:v>
                </c:pt>
                <c:pt idx="990">
                  <c:v>43421</c:v>
                </c:pt>
                <c:pt idx="991">
                  <c:v>43422</c:v>
                </c:pt>
                <c:pt idx="992">
                  <c:v>43423</c:v>
                </c:pt>
                <c:pt idx="993">
                  <c:v>43424</c:v>
                </c:pt>
                <c:pt idx="994">
                  <c:v>43425</c:v>
                </c:pt>
                <c:pt idx="995">
                  <c:v>43426</c:v>
                </c:pt>
                <c:pt idx="996">
                  <c:v>43427</c:v>
                </c:pt>
                <c:pt idx="997">
                  <c:v>43428</c:v>
                </c:pt>
                <c:pt idx="998">
                  <c:v>43429</c:v>
                </c:pt>
                <c:pt idx="999">
                  <c:v>43430</c:v>
                </c:pt>
                <c:pt idx="1000">
                  <c:v>43431</c:v>
                </c:pt>
                <c:pt idx="1001">
                  <c:v>43432</c:v>
                </c:pt>
                <c:pt idx="1002">
                  <c:v>43433</c:v>
                </c:pt>
                <c:pt idx="1003">
                  <c:v>43434</c:v>
                </c:pt>
                <c:pt idx="1004">
                  <c:v>43435</c:v>
                </c:pt>
                <c:pt idx="1005">
                  <c:v>43436</c:v>
                </c:pt>
                <c:pt idx="1006">
                  <c:v>43437</c:v>
                </c:pt>
                <c:pt idx="1007">
                  <c:v>43438</c:v>
                </c:pt>
                <c:pt idx="1008">
                  <c:v>43439</c:v>
                </c:pt>
                <c:pt idx="1009">
                  <c:v>43440</c:v>
                </c:pt>
                <c:pt idx="1010">
                  <c:v>43441</c:v>
                </c:pt>
                <c:pt idx="1011">
                  <c:v>43442</c:v>
                </c:pt>
                <c:pt idx="1012">
                  <c:v>43443</c:v>
                </c:pt>
                <c:pt idx="1013">
                  <c:v>43444</c:v>
                </c:pt>
                <c:pt idx="1014">
                  <c:v>43445</c:v>
                </c:pt>
                <c:pt idx="1015">
                  <c:v>43446</c:v>
                </c:pt>
                <c:pt idx="1016">
                  <c:v>43447</c:v>
                </c:pt>
                <c:pt idx="1017">
                  <c:v>43448</c:v>
                </c:pt>
                <c:pt idx="1018">
                  <c:v>43449</c:v>
                </c:pt>
                <c:pt idx="1019">
                  <c:v>43450</c:v>
                </c:pt>
                <c:pt idx="1020">
                  <c:v>43451</c:v>
                </c:pt>
                <c:pt idx="1021">
                  <c:v>43452</c:v>
                </c:pt>
                <c:pt idx="1022">
                  <c:v>43453</c:v>
                </c:pt>
                <c:pt idx="1023">
                  <c:v>43454</c:v>
                </c:pt>
                <c:pt idx="1024">
                  <c:v>43455</c:v>
                </c:pt>
                <c:pt idx="1025">
                  <c:v>43456</c:v>
                </c:pt>
                <c:pt idx="1026">
                  <c:v>43457</c:v>
                </c:pt>
                <c:pt idx="1027">
                  <c:v>43458</c:v>
                </c:pt>
                <c:pt idx="1028">
                  <c:v>43459</c:v>
                </c:pt>
                <c:pt idx="1029">
                  <c:v>43460</c:v>
                </c:pt>
                <c:pt idx="1030">
                  <c:v>43461</c:v>
                </c:pt>
                <c:pt idx="1031">
                  <c:v>43462</c:v>
                </c:pt>
                <c:pt idx="1032">
                  <c:v>43463</c:v>
                </c:pt>
                <c:pt idx="1033">
                  <c:v>43464</c:v>
                </c:pt>
                <c:pt idx="1034">
                  <c:v>43465</c:v>
                </c:pt>
                <c:pt idx="1035">
                  <c:v>43466</c:v>
                </c:pt>
                <c:pt idx="1036">
                  <c:v>43467</c:v>
                </c:pt>
                <c:pt idx="1037">
                  <c:v>43468</c:v>
                </c:pt>
                <c:pt idx="1038">
                  <c:v>43469</c:v>
                </c:pt>
                <c:pt idx="1039">
                  <c:v>43470</c:v>
                </c:pt>
                <c:pt idx="1040">
                  <c:v>43471</c:v>
                </c:pt>
                <c:pt idx="1041">
                  <c:v>43472</c:v>
                </c:pt>
                <c:pt idx="1042">
                  <c:v>43473</c:v>
                </c:pt>
                <c:pt idx="1043">
                  <c:v>43474</c:v>
                </c:pt>
                <c:pt idx="1044">
                  <c:v>43475</c:v>
                </c:pt>
                <c:pt idx="1045">
                  <c:v>43476</c:v>
                </c:pt>
                <c:pt idx="1046">
                  <c:v>43477</c:v>
                </c:pt>
                <c:pt idx="1047">
                  <c:v>43478</c:v>
                </c:pt>
                <c:pt idx="1048">
                  <c:v>43479</c:v>
                </c:pt>
                <c:pt idx="1049">
                  <c:v>43480</c:v>
                </c:pt>
                <c:pt idx="1050">
                  <c:v>43481</c:v>
                </c:pt>
                <c:pt idx="1051">
                  <c:v>43482</c:v>
                </c:pt>
                <c:pt idx="1052">
                  <c:v>43483</c:v>
                </c:pt>
                <c:pt idx="1053">
                  <c:v>43484</c:v>
                </c:pt>
                <c:pt idx="1054">
                  <c:v>43485</c:v>
                </c:pt>
                <c:pt idx="1055">
                  <c:v>43486</c:v>
                </c:pt>
                <c:pt idx="1056">
                  <c:v>43487</c:v>
                </c:pt>
                <c:pt idx="1057">
                  <c:v>43488</c:v>
                </c:pt>
                <c:pt idx="1058">
                  <c:v>43489</c:v>
                </c:pt>
                <c:pt idx="1059">
                  <c:v>43490</c:v>
                </c:pt>
                <c:pt idx="1060">
                  <c:v>43491</c:v>
                </c:pt>
                <c:pt idx="1061">
                  <c:v>43492</c:v>
                </c:pt>
                <c:pt idx="1062">
                  <c:v>43493</c:v>
                </c:pt>
                <c:pt idx="1063">
                  <c:v>43494</c:v>
                </c:pt>
                <c:pt idx="1064">
                  <c:v>43495</c:v>
                </c:pt>
                <c:pt idx="1065">
                  <c:v>43496</c:v>
                </c:pt>
                <c:pt idx="1066">
                  <c:v>43497</c:v>
                </c:pt>
                <c:pt idx="1067">
                  <c:v>43498</c:v>
                </c:pt>
                <c:pt idx="1068">
                  <c:v>43499</c:v>
                </c:pt>
                <c:pt idx="1069">
                  <c:v>43500</c:v>
                </c:pt>
                <c:pt idx="1070">
                  <c:v>43501</c:v>
                </c:pt>
                <c:pt idx="1071">
                  <c:v>43502</c:v>
                </c:pt>
                <c:pt idx="1072">
                  <c:v>43503</c:v>
                </c:pt>
                <c:pt idx="1073">
                  <c:v>43504</c:v>
                </c:pt>
                <c:pt idx="1074">
                  <c:v>43505</c:v>
                </c:pt>
                <c:pt idx="1075">
                  <c:v>43506</c:v>
                </c:pt>
                <c:pt idx="1076">
                  <c:v>43507</c:v>
                </c:pt>
                <c:pt idx="1077">
                  <c:v>43508</c:v>
                </c:pt>
                <c:pt idx="1078">
                  <c:v>43509</c:v>
                </c:pt>
                <c:pt idx="1079">
                  <c:v>43510</c:v>
                </c:pt>
                <c:pt idx="1080">
                  <c:v>43511</c:v>
                </c:pt>
                <c:pt idx="1081">
                  <c:v>43512</c:v>
                </c:pt>
                <c:pt idx="1082">
                  <c:v>43513</c:v>
                </c:pt>
                <c:pt idx="1083">
                  <c:v>43514</c:v>
                </c:pt>
                <c:pt idx="1084">
                  <c:v>43515</c:v>
                </c:pt>
                <c:pt idx="1085">
                  <c:v>43516</c:v>
                </c:pt>
                <c:pt idx="1086">
                  <c:v>43517</c:v>
                </c:pt>
                <c:pt idx="1087">
                  <c:v>43518</c:v>
                </c:pt>
                <c:pt idx="1088">
                  <c:v>43519</c:v>
                </c:pt>
                <c:pt idx="1089">
                  <c:v>43520</c:v>
                </c:pt>
                <c:pt idx="1090">
                  <c:v>43521</c:v>
                </c:pt>
                <c:pt idx="1091">
                  <c:v>43522</c:v>
                </c:pt>
                <c:pt idx="1092">
                  <c:v>43523</c:v>
                </c:pt>
                <c:pt idx="1093">
                  <c:v>43524</c:v>
                </c:pt>
                <c:pt idx="1094">
                  <c:v>43525</c:v>
                </c:pt>
                <c:pt idx="1095">
                  <c:v>43526</c:v>
                </c:pt>
                <c:pt idx="1096">
                  <c:v>43527</c:v>
                </c:pt>
                <c:pt idx="1097">
                  <c:v>43528</c:v>
                </c:pt>
                <c:pt idx="1098">
                  <c:v>43529</c:v>
                </c:pt>
                <c:pt idx="1099">
                  <c:v>43530</c:v>
                </c:pt>
                <c:pt idx="1100">
                  <c:v>43531</c:v>
                </c:pt>
                <c:pt idx="1101">
                  <c:v>43532</c:v>
                </c:pt>
                <c:pt idx="1102">
                  <c:v>43533</c:v>
                </c:pt>
                <c:pt idx="1103">
                  <c:v>43534</c:v>
                </c:pt>
                <c:pt idx="1104">
                  <c:v>43535</c:v>
                </c:pt>
                <c:pt idx="1105">
                  <c:v>43536</c:v>
                </c:pt>
                <c:pt idx="1106">
                  <c:v>43537</c:v>
                </c:pt>
                <c:pt idx="1107">
                  <c:v>43538</c:v>
                </c:pt>
                <c:pt idx="1108">
                  <c:v>43539</c:v>
                </c:pt>
                <c:pt idx="1109">
                  <c:v>43540</c:v>
                </c:pt>
                <c:pt idx="1110">
                  <c:v>43541</c:v>
                </c:pt>
                <c:pt idx="1111">
                  <c:v>43542</c:v>
                </c:pt>
                <c:pt idx="1112">
                  <c:v>43543</c:v>
                </c:pt>
                <c:pt idx="1113">
                  <c:v>43544</c:v>
                </c:pt>
                <c:pt idx="1114">
                  <c:v>43545</c:v>
                </c:pt>
                <c:pt idx="1115">
                  <c:v>43546</c:v>
                </c:pt>
                <c:pt idx="1116">
                  <c:v>43547</c:v>
                </c:pt>
                <c:pt idx="1117">
                  <c:v>43548</c:v>
                </c:pt>
                <c:pt idx="1118">
                  <c:v>43549</c:v>
                </c:pt>
                <c:pt idx="1119">
                  <c:v>43550</c:v>
                </c:pt>
                <c:pt idx="1120">
                  <c:v>43551</c:v>
                </c:pt>
                <c:pt idx="1121">
                  <c:v>43552</c:v>
                </c:pt>
                <c:pt idx="1122">
                  <c:v>43553</c:v>
                </c:pt>
                <c:pt idx="1123">
                  <c:v>43554</c:v>
                </c:pt>
                <c:pt idx="1124">
                  <c:v>43555</c:v>
                </c:pt>
                <c:pt idx="1125">
                  <c:v>43556</c:v>
                </c:pt>
                <c:pt idx="1126">
                  <c:v>43557</c:v>
                </c:pt>
                <c:pt idx="1127">
                  <c:v>43558</c:v>
                </c:pt>
                <c:pt idx="1128">
                  <c:v>43559</c:v>
                </c:pt>
                <c:pt idx="1129">
                  <c:v>43560</c:v>
                </c:pt>
                <c:pt idx="1130">
                  <c:v>43561</c:v>
                </c:pt>
                <c:pt idx="1131">
                  <c:v>43562</c:v>
                </c:pt>
                <c:pt idx="1132">
                  <c:v>43563</c:v>
                </c:pt>
                <c:pt idx="1133">
                  <c:v>43564</c:v>
                </c:pt>
                <c:pt idx="1134">
                  <c:v>43565</c:v>
                </c:pt>
                <c:pt idx="1135">
                  <c:v>43566</c:v>
                </c:pt>
                <c:pt idx="1136">
                  <c:v>43567</c:v>
                </c:pt>
                <c:pt idx="1137">
                  <c:v>43568</c:v>
                </c:pt>
                <c:pt idx="1138">
                  <c:v>43569</c:v>
                </c:pt>
                <c:pt idx="1139">
                  <c:v>43570</c:v>
                </c:pt>
                <c:pt idx="1140">
                  <c:v>43571</c:v>
                </c:pt>
                <c:pt idx="1141">
                  <c:v>43572</c:v>
                </c:pt>
                <c:pt idx="1142">
                  <c:v>43573</c:v>
                </c:pt>
                <c:pt idx="1143">
                  <c:v>43574</c:v>
                </c:pt>
                <c:pt idx="1144">
                  <c:v>43575</c:v>
                </c:pt>
                <c:pt idx="1145">
                  <c:v>43576</c:v>
                </c:pt>
                <c:pt idx="1146">
                  <c:v>43577</c:v>
                </c:pt>
                <c:pt idx="1147">
                  <c:v>43578</c:v>
                </c:pt>
                <c:pt idx="1148">
                  <c:v>43579</c:v>
                </c:pt>
                <c:pt idx="1149">
                  <c:v>43580</c:v>
                </c:pt>
                <c:pt idx="1150">
                  <c:v>43581</c:v>
                </c:pt>
                <c:pt idx="1151">
                  <c:v>43582</c:v>
                </c:pt>
                <c:pt idx="1152">
                  <c:v>43583</c:v>
                </c:pt>
                <c:pt idx="1153">
                  <c:v>43584</c:v>
                </c:pt>
                <c:pt idx="1154">
                  <c:v>43585</c:v>
                </c:pt>
                <c:pt idx="1155">
                  <c:v>43586</c:v>
                </c:pt>
                <c:pt idx="1156">
                  <c:v>43587</c:v>
                </c:pt>
                <c:pt idx="1157">
                  <c:v>43588</c:v>
                </c:pt>
                <c:pt idx="1158">
                  <c:v>43589</c:v>
                </c:pt>
                <c:pt idx="1159">
                  <c:v>43590</c:v>
                </c:pt>
                <c:pt idx="1160">
                  <c:v>43591</c:v>
                </c:pt>
                <c:pt idx="1161">
                  <c:v>43592</c:v>
                </c:pt>
                <c:pt idx="1162">
                  <c:v>43593</c:v>
                </c:pt>
                <c:pt idx="1163">
                  <c:v>43594</c:v>
                </c:pt>
                <c:pt idx="1164">
                  <c:v>43595</c:v>
                </c:pt>
                <c:pt idx="1165">
                  <c:v>43596</c:v>
                </c:pt>
                <c:pt idx="1166">
                  <c:v>43597</c:v>
                </c:pt>
                <c:pt idx="1167">
                  <c:v>43598</c:v>
                </c:pt>
                <c:pt idx="1168">
                  <c:v>43599</c:v>
                </c:pt>
                <c:pt idx="1169">
                  <c:v>43600</c:v>
                </c:pt>
                <c:pt idx="1170">
                  <c:v>43601</c:v>
                </c:pt>
                <c:pt idx="1171">
                  <c:v>43602</c:v>
                </c:pt>
                <c:pt idx="1172">
                  <c:v>43603</c:v>
                </c:pt>
                <c:pt idx="1173">
                  <c:v>43604</c:v>
                </c:pt>
                <c:pt idx="1174">
                  <c:v>43605</c:v>
                </c:pt>
                <c:pt idx="1175">
                  <c:v>43606</c:v>
                </c:pt>
                <c:pt idx="1176">
                  <c:v>43607</c:v>
                </c:pt>
                <c:pt idx="1177">
                  <c:v>43608</c:v>
                </c:pt>
                <c:pt idx="1178">
                  <c:v>43609</c:v>
                </c:pt>
                <c:pt idx="1179">
                  <c:v>43610</c:v>
                </c:pt>
                <c:pt idx="1180">
                  <c:v>43611</c:v>
                </c:pt>
                <c:pt idx="1181">
                  <c:v>43612</c:v>
                </c:pt>
                <c:pt idx="1182">
                  <c:v>43613</c:v>
                </c:pt>
                <c:pt idx="1183">
                  <c:v>43614</c:v>
                </c:pt>
                <c:pt idx="1184">
                  <c:v>43615</c:v>
                </c:pt>
                <c:pt idx="1185">
                  <c:v>43616</c:v>
                </c:pt>
                <c:pt idx="1186">
                  <c:v>43617</c:v>
                </c:pt>
                <c:pt idx="1187">
                  <c:v>43618</c:v>
                </c:pt>
                <c:pt idx="1188">
                  <c:v>43619</c:v>
                </c:pt>
                <c:pt idx="1189">
                  <c:v>43620</c:v>
                </c:pt>
                <c:pt idx="1190">
                  <c:v>43621</c:v>
                </c:pt>
                <c:pt idx="1191">
                  <c:v>43622</c:v>
                </c:pt>
                <c:pt idx="1192">
                  <c:v>43623</c:v>
                </c:pt>
                <c:pt idx="1193">
                  <c:v>43624</c:v>
                </c:pt>
                <c:pt idx="1194">
                  <c:v>43625</c:v>
                </c:pt>
                <c:pt idx="1195">
                  <c:v>43626</c:v>
                </c:pt>
                <c:pt idx="1196">
                  <c:v>43627</c:v>
                </c:pt>
                <c:pt idx="1197">
                  <c:v>43628</c:v>
                </c:pt>
                <c:pt idx="1198">
                  <c:v>43629</c:v>
                </c:pt>
                <c:pt idx="1199">
                  <c:v>43630</c:v>
                </c:pt>
                <c:pt idx="1200">
                  <c:v>43631</c:v>
                </c:pt>
                <c:pt idx="1201">
                  <c:v>43632</c:v>
                </c:pt>
                <c:pt idx="1202">
                  <c:v>43633</c:v>
                </c:pt>
                <c:pt idx="1203">
                  <c:v>43634</c:v>
                </c:pt>
                <c:pt idx="1204">
                  <c:v>43635</c:v>
                </c:pt>
                <c:pt idx="1205">
                  <c:v>43636</c:v>
                </c:pt>
                <c:pt idx="1206">
                  <c:v>43637</c:v>
                </c:pt>
                <c:pt idx="1207">
                  <c:v>43638</c:v>
                </c:pt>
                <c:pt idx="1208">
                  <c:v>43639</c:v>
                </c:pt>
                <c:pt idx="1209">
                  <c:v>43640</c:v>
                </c:pt>
                <c:pt idx="1210">
                  <c:v>43641</c:v>
                </c:pt>
                <c:pt idx="1211">
                  <c:v>43642</c:v>
                </c:pt>
                <c:pt idx="1212">
                  <c:v>43643</c:v>
                </c:pt>
                <c:pt idx="1213">
                  <c:v>43644</c:v>
                </c:pt>
                <c:pt idx="1214">
                  <c:v>43645</c:v>
                </c:pt>
                <c:pt idx="1215">
                  <c:v>43646</c:v>
                </c:pt>
                <c:pt idx="1216">
                  <c:v>43647</c:v>
                </c:pt>
                <c:pt idx="1217">
                  <c:v>43648</c:v>
                </c:pt>
                <c:pt idx="1218">
                  <c:v>43649</c:v>
                </c:pt>
                <c:pt idx="1219">
                  <c:v>43650</c:v>
                </c:pt>
                <c:pt idx="1220">
                  <c:v>43651</c:v>
                </c:pt>
                <c:pt idx="1221">
                  <c:v>43652</c:v>
                </c:pt>
                <c:pt idx="1222">
                  <c:v>43653</c:v>
                </c:pt>
                <c:pt idx="1223">
                  <c:v>43654</c:v>
                </c:pt>
                <c:pt idx="1224">
                  <c:v>43655</c:v>
                </c:pt>
                <c:pt idx="1225">
                  <c:v>43656</c:v>
                </c:pt>
                <c:pt idx="1226">
                  <c:v>43657</c:v>
                </c:pt>
                <c:pt idx="1227">
                  <c:v>43658</c:v>
                </c:pt>
                <c:pt idx="1228">
                  <c:v>43659</c:v>
                </c:pt>
                <c:pt idx="1229">
                  <c:v>43660</c:v>
                </c:pt>
                <c:pt idx="1230">
                  <c:v>43661</c:v>
                </c:pt>
                <c:pt idx="1231">
                  <c:v>43662</c:v>
                </c:pt>
                <c:pt idx="1232">
                  <c:v>43663</c:v>
                </c:pt>
                <c:pt idx="1233">
                  <c:v>43664</c:v>
                </c:pt>
                <c:pt idx="1234">
                  <c:v>43665</c:v>
                </c:pt>
                <c:pt idx="1235">
                  <c:v>43666</c:v>
                </c:pt>
                <c:pt idx="1236">
                  <c:v>43667</c:v>
                </c:pt>
                <c:pt idx="1237">
                  <c:v>43668</c:v>
                </c:pt>
                <c:pt idx="1238">
                  <c:v>43669</c:v>
                </c:pt>
                <c:pt idx="1239">
                  <c:v>43670</c:v>
                </c:pt>
                <c:pt idx="1240">
                  <c:v>43671</c:v>
                </c:pt>
                <c:pt idx="1241">
                  <c:v>43672</c:v>
                </c:pt>
                <c:pt idx="1242">
                  <c:v>43673</c:v>
                </c:pt>
                <c:pt idx="1243">
                  <c:v>43674</c:v>
                </c:pt>
                <c:pt idx="1244">
                  <c:v>43675</c:v>
                </c:pt>
                <c:pt idx="1245">
                  <c:v>43676</c:v>
                </c:pt>
                <c:pt idx="1246">
                  <c:v>43677</c:v>
                </c:pt>
                <c:pt idx="1247">
                  <c:v>43678</c:v>
                </c:pt>
                <c:pt idx="1248">
                  <c:v>43679</c:v>
                </c:pt>
                <c:pt idx="1249">
                  <c:v>43680</c:v>
                </c:pt>
                <c:pt idx="1250">
                  <c:v>43681</c:v>
                </c:pt>
                <c:pt idx="1251">
                  <c:v>43682</c:v>
                </c:pt>
                <c:pt idx="1252">
                  <c:v>43683</c:v>
                </c:pt>
                <c:pt idx="1253">
                  <c:v>43684</c:v>
                </c:pt>
                <c:pt idx="1254">
                  <c:v>43685</c:v>
                </c:pt>
                <c:pt idx="1255">
                  <c:v>43686</c:v>
                </c:pt>
                <c:pt idx="1256">
                  <c:v>43687</c:v>
                </c:pt>
                <c:pt idx="1257">
                  <c:v>43688</c:v>
                </c:pt>
                <c:pt idx="1258">
                  <c:v>43689</c:v>
                </c:pt>
                <c:pt idx="1259">
                  <c:v>43690</c:v>
                </c:pt>
                <c:pt idx="1260">
                  <c:v>43691</c:v>
                </c:pt>
                <c:pt idx="1261">
                  <c:v>43692</c:v>
                </c:pt>
                <c:pt idx="1262">
                  <c:v>43693</c:v>
                </c:pt>
                <c:pt idx="1263">
                  <c:v>43694</c:v>
                </c:pt>
                <c:pt idx="1264">
                  <c:v>43695</c:v>
                </c:pt>
                <c:pt idx="1265">
                  <c:v>43696</c:v>
                </c:pt>
                <c:pt idx="1266">
                  <c:v>43697</c:v>
                </c:pt>
                <c:pt idx="1267">
                  <c:v>43698</c:v>
                </c:pt>
                <c:pt idx="1268">
                  <c:v>43699</c:v>
                </c:pt>
                <c:pt idx="1269">
                  <c:v>43700</c:v>
                </c:pt>
                <c:pt idx="1270">
                  <c:v>43701</c:v>
                </c:pt>
                <c:pt idx="1271">
                  <c:v>43702</c:v>
                </c:pt>
                <c:pt idx="1272">
                  <c:v>43703</c:v>
                </c:pt>
                <c:pt idx="1273">
                  <c:v>43704</c:v>
                </c:pt>
                <c:pt idx="1274">
                  <c:v>43705</c:v>
                </c:pt>
                <c:pt idx="1275">
                  <c:v>43706</c:v>
                </c:pt>
                <c:pt idx="1276">
                  <c:v>43707</c:v>
                </c:pt>
                <c:pt idx="1277">
                  <c:v>43708</c:v>
                </c:pt>
                <c:pt idx="1278">
                  <c:v>43709</c:v>
                </c:pt>
                <c:pt idx="1279">
                  <c:v>43710</c:v>
                </c:pt>
                <c:pt idx="1280">
                  <c:v>43711</c:v>
                </c:pt>
                <c:pt idx="1281">
                  <c:v>43712</c:v>
                </c:pt>
                <c:pt idx="1282">
                  <c:v>43713</c:v>
                </c:pt>
                <c:pt idx="1283">
                  <c:v>43714</c:v>
                </c:pt>
                <c:pt idx="1284">
                  <c:v>43715</c:v>
                </c:pt>
                <c:pt idx="1285">
                  <c:v>43716</c:v>
                </c:pt>
                <c:pt idx="1286">
                  <c:v>43717</c:v>
                </c:pt>
                <c:pt idx="1287">
                  <c:v>43718</c:v>
                </c:pt>
                <c:pt idx="1288">
                  <c:v>43719</c:v>
                </c:pt>
                <c:pt idx="1289">
                  <c:v>43720</c:v>
                </c:pt>
                <c:pt idx="1290">
                  <c:v>43721</c:v>
                </c:pt>
                <c:pt idx="1291">
                  <c:v>43722</c:v>
                </c:pt>
                <c:pt idx="1292">
                  <c:v>43723</c:v>
                </c:pt>
                <c:pt idx="1293">
                  <c:v>43724</c:v>
                </c:pt>
                <c:pt idx="1294">
                  <c:v>43725</c:v>
                </c:pt>
                <c:pt idx="1295">
                  <c:v>43726</c:v>
                </c:pt>
                <c:pt idx="1296">
                  <c:v>43727</c:v>
                </c:pt>
                <c:pt idx="1297">
                  <c:v>43728</c:v>
                </c:pt>
                <c:pt idx="1298">
                  <c:v>43729</c:v>
                </c:pt>
                <c:pt idx="1299">
                  <c:v>43730</c:v>
                </c:pt>
                <c:pt idx="1300">
                  <c:v>43731</c:v>
                </c:pt>
                <c:pt idx="1301">
                  <c:v>43732</c:v>
                </c:pt>
                <c:pt idx="1302">
                  <c:v>43733</c:v>
                </c:pt>
                <c:pt idx="1303">
                  <c:v>43734</c:v>
                </c:pt>
                <c:pt idx="1304">
                  <c:v>43735</c:v>
                </c:pt>
                <c:pt idx="1305">
                  <c:v>43736</c:v>
                </c:pt>
                <c:pt idx="1306">
                  <c:v>43737</c:v>
                </c:pt>
                <c:pt idx="1307">
                  <c:v>43738</c:v>
                </c:pt>
                <c:pt idx="1308">
                  <c:v>43739</c:v>
                </c:pt>
                <c:pt idx="1309">
                  <c:v>43740</c:v>
                </c:pt>
                <c:pt idx="1310">
                  <c:v>43741</c:v>
                </c:pt>
                <c:pt idx="1311">
                  <c:v>43742</c:v>
                </c:pt>
                <c:pt idx="1312">
                  <c:v>43743</c:v>
                </c:pt>
                <c:pt idx="1313">
                  <c:v>43744</c:v>
                </c:pt>
                <c:pt idx="1314">
                  <c:v>43745</c:v>
                </c:pt>
                <c:pt idx="1315">
                  <c:v>43746</c:v>
                </c:pt>
                <c:pt idx="1316">
                  <c:v>43747</c:v>
                </c:pt>
                <c:pt idx="1317">
                  <c:v>43748</c:v>
                </c:pt>
                <c:pt idx="1318">
                  <c:v>43749</c:v>
                </c:pt>
                <c:pt idx="1319">
                  <c:v>43750</c:v>
                </c:pt>
                <c:pt idx="1320">
                  <c:v>43751</c:v>
                </c:pt>
                <c:pt idx="1321">
                  <c:v>43752</c:v>
                </c:pt>
                <c:pt idx="1322">
                  <c:v>43753</c:v>
                </c:pt>
                <c:pt idx="1323">
                  <c:v>43754</c:v>
                </c:pt>
                <c:pt idx="1324">
                  <c:v>43755</c:v>
                </c:pt>
                <c:pt idx="1325">
                  <c:v>43756</c:v>
                </c:pt>
                <c:pt idx="1326">
                  <c:v>43757</c:v>
                </c:pt>
                <c:pt idx="1327">
                  <c:v>43758</c:v>
                </c:pt>
                <c:pt idx="1328">
                  <c:v>43759</c:v>
                </c:pt>
                <c:pt idx="1329">
                  <c:v>43760</c:v>
                </c:pt>
                <c:pt idx="1330">
                  <c:v>43761</c:v>
                </c:pt>
                <c:pt idx="1331">
                  <c:v>43762</c:v>
                </c:pt>
                <c:pt idx="1332">
                  <c:v>43763</c:v>
                </c:pt>
                <c:pt idx="1333">
                  <c:v>43764</c:v>
                </c:pt>
                <c:pt idx="1334">
                  <c:v>43765</c:v>
                </c:pt>
                <c:pt idx="1335">
                  <c:v>43766</c:v>
                </c:pt>
                <c:pt idx="1336">
                  <c:v>43767</c:v>
                </c:pt>
                <c:pt idx="1337">
                  <c:v>43768</c:v>
                </c:pt>
                <c:pt idx="1338">
                  <c:v>43769</c:v>
                </c:pt>
                <c:pt idx="1339">
                  <c:v>43770</c:v>
                </c:pt>
                <c:pt idx="1340">
                  <c:v>43771</c:v>
                </c:pt>
                <c:pt idx="1341">
                  <c:v>43772</c:v>
                </c:pt>
                <c:pt idx="1342">
                  <c:v>43773</c:v>
                </c:pt>
                <c:pt idx="1343">
                  <c:v>43774</c:v>
                </c:pt>
                <c:pt idx="1344">
                  <c:v>43775</c:v>
                </c:pt>
                <c:pt idx="1345">
                  <c:v>43776</c:v>
                </c:pt>
                <c:pt idx="1346">
                  <c:v>43777</c:v>
                </c:pt>
                <c:pt idx="1347">
                  <c:v>43778</c:v>
                </c:pt>
                <c:pt idx="1348">
                  <c:v>43779</c:v>
                </c:pt>
                <c:pt idx="1349">
                  <c:v>43780</c:v>
                </c:pt>
                <c:pt idx="1350">
                  <c:v>43781</c:v>
                </c:pt>
                <c:pt idx="1351">
                  <c:v>43782</c:v>
                </c:pt>
                <c:pt idx="1352">
                  <c:v>43783</c:v>
                </c:pt>
                <c:pt idx="1353">
                  <c:v>43784</c:v>
                </c:pt>
                <c:pt idx="1354">
                  <c:v>43785</c:v>
                </c:pt>
                <c:pt idx="1355">
                  <c:v>43786</c:v>
                </c:pt>
                <c:pt idx="1356">
                  <c:v>43787</c:v>
                </c:pt>
                <c:pt idx="1357">
                  <c:v>43788</c:v>
                </c:pt>
                <c:pt idx="1358">
                  <c:v>43789</c:v>
                </c:pt>
                <c:pt idx="1359">
                  <c:v>43790</c:v>
                </c:pt>
                <c:pt idx="1360">
                  <c:v>43791</c:v>
                </c:pt>
                <c:pt idx="1361">
                  <c:v>43792</c:v>
                </c:pt>
                <c:pt idx="1362">
                  <c:v>43793</c:v>
                </c:pt>
                <c:pt idx="1363">
                  <c:v>43794</c:v>
                </c:pt>
                <c:pt idx="1364">
                  <c:v>43795</c:v>
                </c:pt>
                <c:pt idx="1365">
                  <c:v>43796</c:v>
                </c:pt>
                <c:pt idx="1366">
                  <c:v>43797</c:v>
                </c:pt>
                <c:pt idx="1367">
                  <c:v>43798</c:v>
                </c:pt>
                <c:pt idx="1368">
                  <c:v>43799</c:v>
                </c:pt>
                <c:pt idx="1369">
                  <c:v>43800</c:v>
                </c:pt>
                <c:pt idx="1370">
                  <c:v>43801</c:v>
                </c:pt>
                <c:pt idx="1371">
                  <c:v>43802</c:v>
                </c:pt>
                <c:pt idx="1372">
                  <c:v>43803</c:v>
                </c:pt>
                <c:pt idx="1373">
                  <c:v>43804</c:v>
                </c:pt>
                <c:pt idx="1374">
                  <c:v>43805</c:v>
                </c:pt>
                <c:pt idx="1375">
                  <c:v>43806</c:v>
                </c:pt>
                <c:pt idx="1376">
                  <c:v>43807</c:v>
                </c:pt>
                <c:pt idx="1377">
                  <c:v>43808</c:v>
                </c:pt>
                <c:pt idx="1378">
                  <c:v>43809</c:v>
                </c:pt>
                <c:pt idx="1379">
                  <c:v>43810</c:v>
                </c:pt>
                <c:pt idx="1380">
                  <c:v>43811</c:v>
                </c:pt>
                <c:pt idx="1381">
                  <c:v>43812</c:v>
                </c:pt>
                <c:pt idx="1382">
                  <c:v>43813</c:v>
                </c:pt>
                <c:pt idx="1383">
                  <c:v>43814</c:v>
                </c:pt>
                <c:pt idx="1384">
                  <c:v>43815</c:v>
                </c:pt>
                <c:pt idx="1385">
                  <c:v>43816</c:v>
                </c:pt>
                <c:pt idx="1386">
                  <c:v>43817</c:v>
                </c:pt>
                <c:pt idx="1387">
                  <c:v>43818</c:v>
                </c:pt>
                <c:pt idx="1388">
                  <c:v>43819</c:v>
                </c:pt>
                <c:pt idx="1389">
                  <c:v>43820</c:v>
                </c:pt>
                <c:pt idx="1390">
                  <c:v>43821</c:v>
                </c:pt>
                <c:pt idx="1391">
                  <c:v>43822</c:v>
                </c:pt>
                <c:pt idx="1392">
                  <c:v>43823</c:v>
                </c:pt>
                <c:pt idx="1393">
                  <c:v>43824</c:v>
                </c:pt>
                <c:pt idx="1394">
                  <c:v>43825</c:v>
                </c:pt>
                <c:pt idx="1395">
                  <c:v>43826</c:v>
                </c:pt>
                <c:pt idx="1396">
                  <c:v>43827</c:v>
                </c:pt>
                <c:pt idx="1397">
                  <c:v>43828</c:v>
                </c:pt>
                <c:pt idx="1398">
                  <c:v>43829</c:v>
                </c:pt>
                <c:pt idx="1399">
                  <c:v>43830</c:v>
                </c:pt>
                <c:pt idx="1400">
                  <c:v>43831</c:v>
                </c:pt>
                <c:pt idx="1401">
                  <c:v>43832</c:v>
                </c:pt>
                <c:pt idx="1402">
                  <c:v>43833</c:v>
                </c:pt>
                <c:pt idx="1403">
                  <c:v>43834</c:v>
                </c:pt>
                <c:pt idx="1404">
                  <c:v>43835</c:v>
                </c:pt>
                <c:pt idx="1405">
                  <c:v>43836</c:v>
                </c:pt>
                <c:pt idx="1406">
                  <c:v>43837</c:v>
                </c:pt>
                <c:pt idx="1407">
                  <c:v>43838</c:v>
                </c:pt>
                <c:pt idx="1408">
                  <c:v>43839</c:v>
                </c:pt>
                <c:pt idx="1409">
                  <c:v>43840</c:v>
                </c:pt>
                <c:pt idx="1410">
                  <c:v>43841</c:v>
                </c:pt>
                <c:pt idx="1411">
                  <c:v>43842</c:v>
                </c:pt>
                <c:pt idx="1412">
                  <c:v>43843</c:v>
                </c:pt>
                <c:pt idx="1413">
                  <c:v>43844</c:v>
                </c:pt>
                <c:pt idx="1414">
                  <c:v>43845</c:v>
                </c:pt>
                <c:pt idx="1415">
                  <c:v>43846</c:v>
                </c:pt>
                <c:pt idx="1416">
                  <c:v>43847</c:v>
                </c:pt>
                <c:pt idx="1417">
                  <c:v>43848</c:v>
                </c:pt>
                <c:pt idx="1418">
                  <c:v>43849</c:v>
                </c:pt>
                <c:pt idx="1419">
                  <c:v>43850</c:v>
                </c:pt>
                <c:pt idx="1420">
                  <c:v>43851</c:v>
                </c:pt>
                <c:pt idx="1421">
                  <c:v>43852</c:v>
                </c:pt>
                <c:pt idx="1422">
                  <c:v>43853</c:v>
                </c:pt>
                <c:pt idx="1423">
                  <c:v>43854</c:v>
                </c:pt>
                <c:pt idx="1424">
                  <c:v>43855</c:v>
                </c:pt>
                <c:pt idx="1425">
                  <c:v>43856</c:v>
                </c:pt>
                <c:pt idx="1426">
                  <c:v>43857</c:v>
                </c:pt>
                <c:pt idx="1427">
                  <c:v>43858</c:v>
                </c:pt>
                <c:pt idx="1428">
                  <c:v>43859</c:v>
                </c:pt>
                <c:pt idx="1429">
                  <c:v>43860</c:v>
                </c:pt>
                <c:pt idx="1430">
                  <c:v>43861</c:v>
                </c:pt>
                <c:pt idx="1431">
                  <c:v>43862</c:v>
                </c:pt>
                <c:pt idx="1432">
                  <c:v>43863</c:v>
                </c:pt>
                <c:pt idx="1433">
                  <c:v>43864</c:v>
                </c:pt>
                <c:pt idx="1434">
                  <c:v>43865</c:v>
                </c:pt>
                <c:pt idx="1435">
                  <c:v>43866</c:v>
                </c:pt>
                <c:pt idx="1436">
                  <c:v>43867</c:v>
                </c:pt>
                <c:pt idx="1437">
                  <c:v>43868</c:v>
                </c:pt>
                <c:pt idx="1438">
                  <c:v>43869</c:v>
                </c:pt>
                <c:pt idx="1439">
                  <c:v>43870</c:v>
                </c:pt>
                <c:pt idx="1440">
                  <c:v>43871</c:v>
                </c:pt>
                <c:pt idx="1441">
                  <c:v>43872</c:v>
                </c:pt>
                <c:pt idx="1442">
                  <c:v>43873</c:v>
                </c:pt>
                <c:pt idx="1443">
                  <c:v>43874</c:v>
                </c:pt>
                <c:pt idx="1444">
                  <c:v>43875</c:v>
                </c:pt>
                <c:pt idx="1445">
                  <c:v>43876</c:v>
                </c:pt>
                <c:pt idx="1446">
                  <c:v>43877</c:v>
                </c:pt>
                <c:pt idx="1447">
                  <c:v>43878</c:v>
                </c:pt>
                <c:pt idx="1448">
                  <c:v>43879</c:v>
                </c:pt>
                <c:pt idx="1449">
                  <c:v>43880</c:v>
                </c:pt>
                <c:pt idx="1450">
                  <c:v>43881</c:v>
                </c:pt>
                <c:pt idx="1451">
                  <c:v>43882</c:v>
                </c:pt>
                <c:pt idx="1452">
                  <c:v>43883</c:v>
                </c:pt>
                <c:pt idx="1453">
                  <c:v>43884</c:v>
                </c:pt>
                <c:pt idx="1454">
                  <c:v>43885</c:v>
                </c:pt>
                <c:pt idx="1455">
                  <c:v>43886</c:v>
                </c:pt>
                <c:pt idx="1456">
                  <c:v>43887</c:v>
                </c:pt>
                <c:pt idx="1457">
                  <c:v>43888</c:v>
                </c:pt>
                <c:pt idx="1458">
                  <c:v>43889</c:v>
                </c:pt>
                <c:pt idx="1459">
                  <c:v>43890</c:v>
                </c:pt>
                <c:pt idx="1460">
                  <c:v>43891</c:v>
                </c:pt>
                <c:pt idx="1461">
                  <c:v>43892</c:v>
                </c:pt>
                <c:pt idx="1462">
                  <c:v>43893</c:v>
                </c:pt>
                <c:pt idx="1463">
                  <c:v>43894</c:v>
                </c:pt>
                <c:pt idx="1464">
                  <c:v>43895</c:v>
                </c:pt>
                <c:pt idx="1465">
                  <c:v>43896</c:v>
                </c:pt>
                <c:pt idx="1466">
                  <c:v>43897</c:v>
                </c:pt>
                <c:pt idx="1467">
                  <c:v>43898</c:v>
                </c:pt>
                <c:pt idx="1468">
                  <c:v>43899</c:v>
                </c:pt>
                <c:pt idx="1469">
                  <c:v>43900</c:v>
                </c:pt>
                <c:pt idx="1470">
                  <c:v>43901</c:v>
                </c:pt>
                <c:pt idx="1471">
                  <c:v>43902</c:v>
                </c:pt>
                <c:pt idx="1472">
                  <c:v>43903</c:v>
                </c:pt>
                <c:pt idx="1473">
                  <c:v>43904</c:v>
                </c:pt>
                <c:pt idx="1474">
                  <c:v>43905</c:v>
                </c:pt>
                <c:pt idx="1475">
                  <c:v>43906</c:v>
                </c:pt>
                <c:pt idx="1476">
                  <c:v>43907</c:v>
                </c:pt>
                <c:pt idx="1477">
                  <c:v>43908</c:v>
                </c:pt>
                <c:pt idx="1478">
                  <c:v>43909</c:v>
                </c:pt>
                <c:pt idx="1479">
                  <c:v>43910</c:v>
                </c:pt>
                <c:pt idx="1480">
                  <c:v>43911</c:v>
                </c:pt>
                <c:pt idx="1481">
                  <c:v>43912</c:v>
                </c:pt>
                <c:pt idx="1482">
                  <c:v>43913</c:v>
                </c:pt>
                <c:pt idx="1483">
                  <c:v>43914</c:v>
                </c:pt>
                <c:pt idx="1484">
                  <c:v>43915</c:v>
                </c:pt>
                <c:pt idx="1485">
                  <c:v>43916</c:v>
                </c:pt>
                <c:pt idx="1486">
                  <c:v>43917</c:v>
                </c:pt>
                <c:pt idx="1487">
                  <c:v>43918</c:v>
                </c:pt>
                <c:pt idx="1488">
                  <c:v>43919</c:v>
                </c:pt>
                <c:pt idx="1489">
                  <c:v>43920</c:v>
                </c:pt>
                <c:pt idx="1490">
                  <c:v>43921</c:v>
                </c:pt>
                <c:pt idx="1491">
                  <c:v>43922</c:v>
                </c:pt>
                <c:pt idx="1492">
                  <c:v>43923</c:v>
                </c:pt>
                <c:pt idx="1493">
                  <c:v>43924</c:v>
                </c:pt>
                <c:pt idx="1494">
                  <c:v>43925</c:v>
                </c:pt>
                <c:pt idx="1495">
                  <c:v>43926</c:v>
                </c:pt>
                <c:pt idx="1496">
                  <c:v>43927</c:v>
                </c:pt>
                <c:pt idx="1497">
                  <c:v>43928</c:v>
                </c:pt>
                <c:pt idx="1498">
                  <c:v>43929</c:v>
                </c:pt>
                <c:pt idx="1499">
                  <c:v>43930</c:v>
                </c:pt>
                <c:pt idx="1500">
                  <c:v>43931</c:v>
                </c:pt>
                <c:pt idx="1501">
                  <c:v>43932</c:v>
                </c:pt>
                <c:pt idx="1502">
                  <c:v>43933</c:v>
                </c:pt>
                <c:pt idx="1503">
                  <c:v>43934</c:v>
                </c:pt>
                <c:pt idx="1504">
                  <c:v>43935</c:v>
                </c:pt>
                <c:pt idx="1505">
                  <c:v>43936</c:v>
                </c:pt>
                <c:pt idx="1506">
                  <c:v>43937</c:v>
                </c:pt>
                <c:pt idx="1507">
                  <c:v>43938</c:v>
                </c:pt>
                <c:pt idx="1508">
                  <c:v>43939</c:v>
                </c:pt>
                <c:pt idx="1509">
                  <c:v>43940</c:v>
                </c:pt>
                <c:pt idx="1510">
                  <c:v>43941</c:v>
                </c:pt>
                <c:pt idx="1511">
                  <c:v>43942</c:v>
                </c:pt>
                <c:pt idx="1512">
                  <c:v>43943</c:v>
                </c:pt>
                <c:pt idx="1513">
                  <c:v>43944</c:v>
                </c:pt>
                <c:pt idx="1514">
                  <c:v>43945</c:v>
                </c:pt>
                <c:pt idx="1515">
                  <c:v>43946</c:v>
                </c:pt>
                <c:pt idx="1516">
                  <c:v>43947</c:v>
                </c:pt>
                <c:pt idx="1517">
                  <c:v>43948</c:v>
                </c:pt>
                <c:pt idx="1518">
                  <c:v>43949</c:v>
                </c:pt>
                <c:pt idx="1519">
                  <c:v>43950</c:v>
                </c:pt>
                <c:pt idx="1520">
                  <c:v>43951</c:v>
                </c:pt>
                <c:pt idx="1521">
                  <c:v>43952</c:v>
                </c:pt>
                <c:pt idx="1522">
                  <c:v>43953</c:v>
                </c:pt>
                <c:pt idx="1523">
                  <c:v>43954</c:v>
                </c:pt>
                <c:pt idx="1524">
                  <c:v>43955</c:v>
                </c:pt>
                <c:pt idx="1525">
                  <c:v>43956</c:v>
                </c:pt>
                <c:pt idx="1526">
                  <c:v>43957</c:v>
                </c:pt>
                <c:pt idx="1527">
                  <c:v>43958</c:v>
                </c:pt>
                <c:pt idx="1528">
                  <c:v>43959</c:v>
                </c:pt>
                <c:pt idx="1529">
                  <c:v>43960</c:v>
                </c:pt>
                <c:pt idx="1530">
                  <c:v>43961</c:v>
                </c:pt>
                <c:pt idx="1531">
                  <c:v>43962</c:v>
                </c:pt>
                <c:pt idx="1532">
                  <c:v>43963</c:v>
                </c:pt>
                <c:pt idx="1533">
                  <c:v>43964</c:v>
                </c:pt>
                <c:pt idx="1534">
                  <c:v>43965</c:v>
                </c:pt>
                <c:pt idx="1535">
                  <c:v>43966</c:v>
                </c:pt>
                <c:pt idx="1536">
                  <c:v>43967</c:v>
                </c:pt>
                <c:pt idx="1537">
                  <c:v>43968</c:v>
                </c:pt>
                <c:pt idx="1538">
                  <c:v>43969</c:v>
                </c:pt>
                <c:pt idx="1539">
                  <c:v>43970</c:v>
                </c:pt>
                <c:pt idx="1540">
                  <c:v>43971</c:v>
                </c:pt>
                <c:pt idx="1541">
                  <c:v>43972</c:v>
                </c:pt>
                <c:pt idx="1542">
                  <c:v>43973</c:v>
                </c:pt>
                <c:pt idx="1543">
                  <c:v>43974</c:v>
                </c:pt>
                <c:pt idx="1544">
                  <c:v>43975</c:v>
                </c:pt>
                <c:pt idx="1545">
                  <c:v>43976</c:v>
                </c:pt>
                <c:pt idx="1546">
                  <c:v>43977</c:v>
                </c:pt>
                <c:pt idx="1547">
                  <c:v>43978</c:v>
                </c:pt>
                <c:pt idx="1548">
                  <c:v>43979</c:v>
                </c:pt>
                <c:pt idx="1549">
                  <c:v>43980</c:v>
                </c:pt>
                <c:pt idx="1550">
                  <c:v>43981</c:v>
                </c:pt>
                <c:pt idx="1551">
                  <c:v>43982</c:v>
                </c:pt>
                <c:pt idx="1552">
                  <c:v>43983</c:v>
                </c:pt>
                <c:pt idx="1553">
                  <c:v>43984</c:v>
                </c:pt>
                <c:pt idx="1554">
                  <c:v>43985</c:v>
                </c:pt>
                <c:pt idx="1555">
                  <c:v>43986</c:v>
                </c:pt>
                <c:pt idx="1556">
                  <c:v>43987</c:v>
                </c:pt>
                <c:pt idx="1557">
                  <c:v>43988</c:v>
                </c:pt>
                <c:pt idx="1558">
                  <c:v>43989</c:v>
                </c:pt>
                <c:pt idx="1559">
                  <c:v>43990</c:v>
                </c:pt>
                <c:pt idx="1560">
                  <c:v>43991</c:v>
                </c:pt>
                <c:pt idx="1561">
                  <c:v>43992</c:v>
                </c:pt>
                <c:pt idx="1562">
                  <c:v>43993</c:v>
                </c:pt>
                <c:pt idx="1563">
                  <c:v>43994</c:v>
                </c:pt>
                <c:pt idx="1564">
                  <c:v>43995</c:v>
                </c:pt>
                <c:pt idx="1565">
                  <c:v>43996</c:v>
                </c:pt>
                <c:pt idx="1566">
                  <c:v>43997</c:v>
                </c:pt>
                <c:pt idx="1567">
                  <c:v>43998</c:v>
                </c:pt>
                <c:pt idx="1568">
                  <c:v>43999</c:v>
                </c:pt>
                <c:pt idx="1569">
                  <c:v>44000</c:v>
                </c:pt>
                <c:pt idx="1570">
                  <c:v>44001</c:v>
                </c:pt>
                <c:pt idx="1571">
                  <c:v>44002</c:v>
                </c:pt>
                <c:pt idx="1572">
                  <c:v>44003</c:v>
                </c:pt>
                <c:pt idx="1573">
                  <c:v>44004</c:v>
                </c:pt>
                <c:pt idx="1574">
                  <c:v>44005</c:v>
                </c:pt>
                <c:pt idx="1575">
                  <c:v>44006</c:v>
                </c:pt>
                <c:pt idx="1576">
                  <c:v>44007</c:v>
                </c:pt>
                <c:pt idx="1577">
                  <c:v>44008</c:v>
                </c:pt>
                <c:pt idx="1578">
                  <c:v>44009</c:v>
                </c:pt>
                <c:pt idx="1579">
                  <c:v>44010</c:v>
                </c:pt>
                <c:pt idx="1580">
                  <c:v>44011</c:v>
                </c:pt>
                <c:pt idx="1581">
                  <c:v>44012</c:v>
                </c:pt>
                <c:pt idx="1582">
                  <c:v>44013</c:v>
                </c:pt>
                <c:pt idx="1583">
                  <c:v>44014</c:v>
                </c:pt>
                <c:pt idx="1584">
                  <c:v>44015</c:v>
                </c:pt>
                <c:pt idx="1585">
                  <c:v>44016</c:v>
                </c:pt>
                <c:pt idx="1586">
                  <c:v>44017</c:v>
                </c:pt>
                <c:pt idx="1587">
                  <c:v>44018</c:v>
                </c:pt>
                <c:pt idx="1588">
                  <c:v>44019</c:v>
                </c:pt>
                <c:pt idx="1589">
                  <c:v>44020</c:v>
                </c:pt>
                <c:pt idx="1590">
                  <c:v>44021</c:v>
                </c:pt>
                <c:pt idx="1591">
                  <c:v>44022</c:v>
                </c:pt>
                <c:pt idx="1592">
                  <c:v>44023</c:v>
                </c:pt>
                <c:pt idx="1593">
                  <c:v>44024</c:v>
                </c:pt>
                <c:pt idx="1594">
                  <c:v>44025</c:v>
                </c:pt>
                <c:pt idx="1595">
                  <c:v>44026</c:v>
                </c:pt>
                <c:pt idx="1596">
                  <c:v>44027</c:v>
                </c:pt>
                <c:pt idx="1597">
                  <c:v>44028</c:v>
                </c:pt>
                <c:pt idx="1598">
                  <c:v>44029</c:v>
                </c:pt>
                <c:pt idx="1599">
                  <c:v>44030</c:v>
                </c:pt>
                <c:pt idx="1600">
                  <c:v>44031</c:v>
                </c:pt>
                <c:pt idx="1601">
                  <c:v>44032</c:v>
                </c:pt>
                <c:pt idx="1602">
                  <c:v>44033</c:v>
                </c:pt>
                <c:pt idx="1603">
                  <c:v>44034</c:v>
                </c:pt>
                <c:pt idx="1604">
                  <c:v>44035</c:v>
                </c:pt>
                <c:pt idx="1605">
                  <c:v>44036</c:v>
                </c:pt>
                <c:pt idx="1606">
                  <c:v>44037</c:v>
                </c:pt>
                <c:pt idx="1607">
                  <c:v>44038</c:v>
                </c:pt>
                <c:pt idx="1608">
                  <c:v>44039</c:v>
                </c:pt>
                <c:pt idx="1609">
                  <c:v>44040</c:v>
                </c:pt>
                <c:pt idx="1610">
                  <c:v>44041</c:v>
                </c:pt>
                <c:pt idx="1611">
                  <c:v>44042</c:v>
                </c:pt>
                <c:pt idx="1612">
                  <c:v>44043</c:v>
                </c:pt>
                <c:pt idx="1613">
                  <c:v>44044</c:v>
                </c:pt>
                <c:pt idx="1614">
                  <c:v>44045</c:v>
                </c:pt>
                <c:pt idx="1615">
                  <c:v>44046</c:v>
                </c:pt>
                <c:pt idx="1616">
                  <c:v>44047</c:v>
                </c:pt>
                <c:pt idx="1617">
                  <c:v>44048</c:v>
                </c:pt>
                <c:pt idx="1618">
                  <c:v>44049</c:v>
                </c:pt>
                <c:pt idx="1619">
                  <c:v>44050</c:v>
                </c:pt>
                <c:pt idx="1620">
                  <c:v>44051</c:v>
                </c:pt>
                <c:pt idx="1621">
                  <c:v>44052</c:v>
                </c:pt>
                <c:pt idx="1622">
                  <c:v>44053</c:v>
                </c:pt>
                <c:pt idx="1623">
                  <c:v>44054</c:v>
                </c:pt>
                <c:pt idx="1624">
                  <c:v>44055</c:v>
                </c:pt>
                <c:pt idx="1625">
                  <c:v>44056</c:v>
                </c:pt>
                <c:pt idx="1626">
                  <c:v>44057</c:v>
                </c:pt>
                <c:pt idx="1627">
                  <c:v>44058</c:v>
                </c:pt>
                <c:pt idx="1628">
                  <c:v>44059</c:v>
                </c:pt>
                <c:pt idx="1629">
                  <c:v>44060</c:v>
                </c:pt>
                <c:pt idx="1630">
                  <c:v>44061</c:v>
                </c:pt>
                <c:pt idx="1631">
                  <c:v>44062</c:v>
                </c:pt>
                <c:pt idx="1632">
                  <c:v>44063</c:v>
                </c:pt>
                <c:pt idx="1633">
                  <c:v>44064</c:v>
                </c:pt>
                <c:pt idx="1634">
                  <c:v>44065</c:v>
                </c:pt>
                <c:pt idx="1635">
                  <c:v>44066</c:v>
                </c:pt>
                <c:pt idx="1636">
                  <c:v>44067</c:v>
                </c:pt>
                <c:pt idx="1637">
                  <c:v>44068</c:v>
                </c:pt>
                <c:pt idx="1638">
                  <c:v>44069</c:v>
                </c:pt>
                <c:pt idx="1639">
                  <c:v>44070</c:v>
                </c:pt>
                <c:pt idx="1640">
                  <c:v>44071</c:v>
                </c:pt>
                <c:pt idx="1641">
                  <c:v>44072</c:v>
                </c:pt>
                <c:pt idx="1642">
                  <c:v>44073</c:v>
                </c:pt>
                <c:pt idx="1643">
                  <c:v>44074</c:v>
                </c:pt>
                <c:pt idx="1644">
                  <c:v>44075</c:v>
                </c:pt>
                <c:pt idx="1645">
                  <c:v>44076</c:v>
                </c:pt>
                <c:pt idx="1646">
                  <c:v>44077</c:v>
                </c:pt>
                <c:pt idx="1647">
                  <c:v>44078</c:v>
                </c:pt>
                <c:pt idx="1648">
                  <c:v>44079</c:v>
                </c:pt>
                <c:pt idx="1649">
                  <c:v>44080</c:v>
                </c:pt>
                <c:pt idx="1650">
                  <c:v>44081</c:v>
                </c:pt>
                <c:pt idx="1651">
                  <c:v>44082</c:v>
                </c:pt>
                <c:pt idx="1652">
                  <c:v>44083</c:v>
                </c:pt>
                <c:pt idx="1653">
                  <c:v>44084</c:v>
                </c:pt>
                <c:pt idx="1654">
                  <c:v>44085</c:v>
                </c:pt>
                <c:pt idx="1655">
                  <c:v>44086</c:v>
                </c:pt>
                <c:pt idx="1656">
                  <c:v>44087</c:v>
                </c:pt>
                <c:pt idx="1657">
                  <c:v>44088</c:v>
                </c:pt>
                <c:pt idx="1658">
                  <c:v>44089</c:v>
                </c:pt>
                <c:pt idx="1659">
                  <c:v>44090</c:v>
                </c:pt>
                <c:pt idx="1660">
                  <c:v>44091</c:v>
                </c:pt>
                <c:pt idx="1661">
                  <c:v>44092</c:v>
                </c:pt>
                <c:pt idx="1662">
                  <c:v>44093</c:v>
                </c:pt>
                <c:pt idx="1663">
                  <c:v>44094</c:v>
                </c:pt>
                <c:pt idx="1664">
                  <c:v>44095</c:v>
                </c:pt>
                <c:pt idx="1665">
                  <c:v>44096</c:v>
                </c:pt>
                <c:pt idx="1666">
                  <c:v>44097</c:v>
                </c:pt>
                <c:pt idx="1667">
                  <c:v>44098</c:v>
                </c:pt>
                <c:pt idx="1668">
                  <c:v>44099</c:v>
                </c:pt>
                <c:pt idx="1669">
                  <c:v>44100</c:v>
                </c:pt>
                <c:pt idx="1670">
                  <c:v>44101</c:v>
                </c:pt>
                <c:pt idx="1671">
                  <c:v>44102</c:v>
                </c:pt>
                <c:pt idx="1672">
                  <c:v>44103</c:v>
                </c:pt>
                <c:pt idx="1673">
                  <c:v>44104</c:v>
                </c:pt>
                <c:pt idx="1674">
                  <c:v>44105</c:v>
                </c:pt>
                <c:pt idx="1675">
                  <c:v>44106</c:v>
                </c:pt>
                <c:pt idx="1676">
                  <c:v>44107</c:v>
                </c:pt>
                <c:pt idx="1677">
                  <c:v>44108</c:v>
                </c:pt>
                <c:pt idx="1678">
                  <c:v>44109</c:v>
                </c:pt>
                <c:pt idx="1679">
                  <c:v>44110</c:v>
                </c:pt>
                <c:pt idx="1680">
                  <c:v>44111</c:v>
                </c:pt>
                <c:pt idx="1681">
                  <c:v>44112</c:v>
                </c:pt>
                <c:pt idx="1682">
                  <c:v>44113</c:v>
                </c:pt>
                <c:pt idx="1683">
                  <c:v>44114</c:v>
                </c:pt>
                <c:pt idx="1684">
                  <c:v>44115</c:v>
                </c:pt>
                <c:pt idx="1685">
                  <c:v>44116</c:v>
                </c:pt>
                <c:pt idx="1686">
                  <c:v>44117</c:v>
                </c:pt>
                <c:pt idx="1687">
                  <c:v>44118</c:v>
                </c:pt>
                <c:pt idx="1688">
                  <c:v>44119</c:v>
                </c:pt>
                <c:pt idx="1689">
                  <c:v>44120</c:v>
                </c:pt>
                <c:pt idx="1690">
                  <c:v>44121</c:v>
                </c:pt>
                <c:pt idx="1691">
                  <c:v>44122</c:v>
                </c:pt>
                <c:pt idx="1692">
                  <c:v>44123</c:v>
                </c:pt>
                <c:pt idx="1693">
                  <c:v>44124</c:v>
                </c:pt>
                <c:pt idx="1694">
                  <c:v>44125</c:v>
                </c:pt>
                <c:pt idx="1695">
                  <c:v>44126</c:v>
                </c:pt>
                <c:pt idx="1696">
                  <c:v>44127</c:v>
                </c:pt>
                <c:pt idx="1697">
                  <c:v>44128</c:v>
                </c:pt>
                <c:pt idx="1698">
                  <c:v>44129</c:v>
                </c:pt>
                <c:pt idx="1699">
                  <c:v>44130</c:v>
                </c:pt>
                <c:pt idx="1700">
                  <c:v>44131</c:v>
                </c:pt>
                <c:pt idx="1701">
                  <c:v>44132</c:v>
                </c:pt>
                <c:pt idx="1702">
                  <c:v>44133</c:v>
                </c:pt>
                <c:pt idx="1703">
                  <c:v>44134</c:v>
                </c:pt>
                <c:pt idx="1704">
                  <c:v>44135</c:v>
                </c:pt>
                <c:pt idx="1705">
                  <c:v>44136</c:v>
                </c:pt>
                <c:pt idx="1706">
                  <c:v>44137</c:v>
                </c:pt>
                <c:pt idx="1707">
                  <c:v>44138</c:v>
                </c:pt>
                <c:pt idx="1708">
                  <c:v>44139</c:v>
                </c:pt>
                <c:pt idx="1709">
                  <c:v>44140</c:v>
                </c:pt>
                <c:pt idx="1710">
                  <c:v>44141</c:v>
                </c:pt>
                <c:pt idx="1711">
                  <c:v>44142</c:v>
                </c:pt>
                <c:pt idx="1712">
                  <c:v>44143</c:v>
                </c:pt>
                <c:pt idx="1713">
                  <c:v>44144</c:v>
                </c:pt>
                <c:pt idx="1714">
                  <c:v>44145</c:v>
                </c:pt>
                <c:pt idx="1715">
                  <c:v>44146</c:v>
                </c:pt>
                <c:pt idx="1716">
                  <c:v>44147</c:v>
                </c:pt>
                <c:pt idx="1717">
                  <c:v>44148</c:v>
                </c:pt>
                <c:pt idx="1718">
                  <c:v>44149</c:v>
                </c:pt>
                <c:pt idx="1719">
                  <c:v>44150</c:v>
                </c:pt>
                <c:pt idx="1720">
                  <c:v>44151</c:v>
                </c:pt>
                <c:pt idx="1721">
                  <c:v>44152</c:v>
                </c:pt>
                <c:pt idx="1722">
                  <c:v>44153</c:v>
                </c:pt>
                <c:pt idx="1723">
                  <c:v>44154</c:v>
                </c:pt>
                <c:pt idx="1724">
                  <c:v>44155</c:v>
                </c:pt>
                <c:pt idx="1725">
                  <c:v>44156</c:v>
                </c:pt>
                <c:pt idx="1726">
                  <c:v>44157</c:v>
                </c:pt>
                <c:pt idx="1727">
                  <c:v>44158</c:v>
                </c:pt>
                <c:pt idx="1728">
                  <c:v>44159</c:v>
                </c:pt>
                <c:pt idx="1729">
                  <c:v>44160</c:v>
                </c:pt>
                <c:pt idx="1730">
                  <c:v>44161</c:v>
                </c:pt>
                <c:pt idx="1731">
                  <c:v>44162</c:v>
                </c:pt>
                <c:pt idx="1732">
                  <c:v>44163</c:v>
                </c:pt>
                <c:pt idx="1733">
                  <c:v>44164</c:v>
                </c:pt>
                <c:pt idx="1734">
                  <c:v>44165</c:v>
                </c:pt>
                <c:pt idx="1735">
                  <c:v>44166</c:v>
                </c:pt>
                <c:pt idx="1736">
                  <c:v>44167</c:v>
                </c:pt>
                <c:pt idx="1737">
                  <c:v>44168</c:v>
                </c:pt>
                <c:pt idx="1738">
                  <c:v>44169</c:v>
                </c:pt>
                <c:pt idx="1739">
                  <c:v>44170</c:v>
                </c:pt>
                <c:pt idx="1740">
                  <c:v>44171</c:v>
                </c:pt>
                <c:pt idx="1741">
                  <c:v>44172</c:v>
                </c:pt>
                <c:pt idx="1742">
                  <c:v>44173</c:v>
                </c:pt>
                <c:pt idx="1743">
                  <c:v>44174</c:v>
                </c:pt>
                <c:pt idx="1744">
                  <c:v>44175</c:v>
                </c:pt>
                <c:pt idx="1745">
                  <c:v>44176</c:v>
                </c:pt>
                <c:pt idx="1746">
                  <c:v>44177</c:v>
                </c:pt>
                <c:pt idx="1747">
                  <c:v>44178</c:v>
                </c:pt>
                <c:pt idx="1748">
                  <c:v>44179</c:v>
                </c:pt>
                <c:pt idx="1749">
                  <c:v>44180</c:v>
                </c:pt>
                <c:pt idx="1750">
                  <c:v>44181</c:v>
                </c:pt>
                <c:pt idx="1751">
                  <c:v>44182</c:v>
                </c:pt>
                <c:pt idx="1752">
                  <c:v>44183</c:v>
                </c:pt>
                <c:pt idx="1753">
                  <c:v>44184</c:v>
                </c:pt>
                <c:pt idx="1754">
                  <c:v>44185</c:v>
                </c:pt>
                <c:pt idx="1755">
                  <c:v>44186</c:v>
                </c:pt>
                <c:pt idx="1756">
                  <c:v>44187</c:v>
                </c:pt>
                <c:pt idx="1757">
                  <c:v>44188</c:v>
                </c:pt>
                <c:pt idx="1758">
                  <c:v>44189</c:v>
                </c:pt>
                <c:pt idx="1759">
                  <c:v>44190</c:v>
                </c:pt>
                <c:pt idx="1760">
                  <c:v>44191</c:v>
                </c:pt>
                <c:pt idx="1761">
                  <c:v>44192</c:v>
                </c:pt>
                <c:pt idx="1762">
                  <c:v>44193</c:v>
                </c:pt>
                <c:pt idx="1763">
                  <c:v>44194</c:v>
                </c:pt>
                <c:pt idx="1764">
                  <c:v>44195</c:v>
                </c:pt>
                <c:pt idx="1765">
                  <c:v>44196</c:v>
                </c:pt>
                <c:pt idx="1766">
                  <c:v>44197</c:v>
                </c:pt>
                <c:pt idx="1767">
                  <c:v>44198</c:v>
                </c:pt>
                <c:pt idx="1768">
                  <c:v>44199</c:v>
                </c:pt>
                <c:pt idx="1769">
                  <c:v>44200</c:v>
                </c:pt>
                <c:pt idx="1770">
                  <c:v>44201</c:v>
                </c:pt>
                <c:pt idx="1771">
                  <c:v>44202</c:v>
                </c:pt>
                <c:pt idx="1772">
                  <c:v>44203</c:v>
                </c:pt>
                <c:pt idx="1773">
                  <c:v>44204</c:v>
                </c:pt>
                <c:pt idx="1774">
                  <c:v>44205</c:v>
                </c:pt>
                <c:pt idx="1775">
                  <c:v>44206</c:v>
                </c:pt>
                <c:pt idx="1776">
                  <c:v>44207</c:v>
                </c:pt>
                <c:pt idx="1777">
                  <c:v>44208</c:v>
                </c:pt>
                <c:pt idx="1778">
                  <c:v>44209</c:v>
                </c:pt>
                <c:pt idx="1779">
                  <c:v>44210</c:v>
                </c:pt>
                <c:pt idx="1780">
                  <c:v>44211</c:v>
                </c:pt>
                <c:pt idx="1781">
                  <c:v>44212</c:v>
                </c:pt>
                <c:pt idx="1782">
                  <c:v>44213</c:v>
                </c:pt>
                <c:pt idx="1783">
                  <c:v>44214</c:v>
                </c:pt>
                <c:pt idx="1784">
                  <c:v>44215</c:v>
                </c:pt>
                <c:pt idx="1785">
                  <c:v>44216</c:v>
                </c:pt>
                <c:pt idx="1786">
                  <c:v>44217</c:v>
                </c:pt>
                <c:pt idx="1787">
                  <c:v>44218</c:v>
                </c:pt>
                <c:pt idx="1788">
                  <c:v>44219</c:v>
                </c:pt>
                <c:pt idx="1789">
                  <c:v>44220</c:v>
                </c:pt>
                <c:pt idx="1790">
                  <c:v>44221</c:v>
                </c:pt>
                <c:pt idx="1791">
                  <c:v>44222</c:v>
                </c:pt>
                <c:pt idx="1792">
                  <c:v>44223</c:v>
                </c:pt>
                <c:pt idx="1793">
                  <c:v>44224</c:v>
                </c:pt>
                <c:pt idx="1794">
                  <c:v>44225</c:v>
                </c:pt>
                <c:pt idx="1795">
                  <c:v>44226</c:v>
                </c:pt>
                <c:pt idx="1796">
                  <c:v>44227</c:v>
                </c:pt>
                <c:pt idx="1797">
                  <c:v>44228</c:v>
                </c:pt>
                <c:pt idx="1798">
                  <c:v>44229</c:v>
                </c:pt>
                <c:pt idx="1799">
                  <c:v>44230</c:v>
                </c:pt>
                <c:pt idx="1800">
                  <c:v>44231</c:v>
                </c:pt>
                <c:pt idx="1801">
                  <c:v>44232</c:v>
                </c:pt>
                <c:pt idx="1802">
                  <c:v>44233</c:v>
                </c:pt>
                <c:pt idx="1803">
                  <c:v>44234</c:v>
                </c:pt>
                <c:pt idx="1804">
                  <c:v>44235</c:v>
                </c:pt>
                <c:pt idx="1805">
                  <c:v>44236</c:v>
                </c:pt>
                <c:pt idx="1806">
                  <c:v>44237</c:v>
                </c:pt>
                <c:pt idx="1807">
                  <c:v>44238</c:v>
                </c:pt>
                <c:pt idx="1808">
                  <c:v>44239</c:v>
                </c:pt>
                <c:pt idx="1809">
                  <c:v>44240</c:v>
                </c:pt>
                <c:pt idx="1810">
                  <c:v>44241</c:v>
                </c:pt>
                <c:pt idx="1811">
                  <c:v>44242</c:v>
                </c:pt>
                <c:pt idx="1812">
                  <c:v>44243</c:v>
                </c:pt>
                <c:pt idx="1813">
                  <c:v>44244</c:v>
                </c:pt>
                <c:pt idx="1814">
                  <c:v>44245</c:v>
                </c:pt>
                <c:pt idx="1815">
                  <c:v>44246</c:v>
                </c:pt>
                <c:pt idx="1816">
                  <c:v>44247</c:v>
                </c:pt>
                <c:pt idx="1817">
                  <c:v>44248</c:v>
                </c:pt>
                <c:pt idx="1818">
                  <c:v>44249</c:v>
                </c:pt>
                <c:pt idx="1819">
                  <c:v>44250</c:v>
                </c:pt>
                <c:pt idx="1820">
                  <c:v>44251</c:v>
                </c:pt>
                <c:pt idx="1821">
                  <c:v>44252</c:v>
                </c:pt>
                <c:pt idx="1822">
                  <c:v>44253</c:v>
                </c:pt>
                <c:pt idx="1823">
                  <c:v>44254</c:v>
                </c:pt>
                <c:pt idx="1824">
                  <c:v>44255</c:v>
                </c:pt>
                <c:pt idx="1825">
                  <c:v>44256</c:v>
                </c:pt>
                <c:pt idx="1826">
                  <c:v>44257</c:v>
                </c:pt>
                <c:pt idx="1827">
                  <c:v>44258</c:v>
                </c:pt>
                <c:pt idx="1828">
                  <c:v>44259</c:v>
                </c:pt>
                <c:pt idx="1829">
                  <c:v>44260</c:v>
                </c:pt>
                <c:pt idx="1830">
                  <c:v>44261</c:v>
                </c:pt>
                <c:pt idx="1831">
                  <c:v>44262</c:v>
                </c:pt>
                <c:pt idx="1832">
                  <c:v>44263</c:v>
                </c:pt>
                <c:pt idx="1833">
                  <c:v>44264</c:v>
                </c:pt>
                <c:pt idx="1834">
                  <c:v>44265</c:v>
                </c:pt>
                <c:pt idx="1835">
                  <c:v>44266</c:v>
                </c:pt>
                <c:pt idx="1836">
                  <c:v>44267</c:v>
                </c:pt>
                <c:pt idx="1837">
                  <c:v>44268</c:v>
                </c:pt>
                <c:pt idx="1838">
                  <c:v>44269</c:v>
                </c:pt>
                <c:pt idx="1839">
                  <c:v>44270</c:v>
                </c:pt>
                <c:pt idx="1840">
                  <c:v>44271</c:v>
                </c:pt>
                <c:pt idx="1841">
                  <c:v>44272</c:v>
                </c:pt>
                <c:pt idx="1842">
                  <c:v>44273</c:v>
                </c:pt>
                <c:pt idx="1843">
                  <c:v>44274</c:v>
                </c:pt>
                <c:pt idx="1844">
                  <c:v>44275</c:v>
                </c:pt>
                <c:pt idx="1845">
                  <c:v>44276</c:v>
                </c:pt>
                <c:pt idx="1846">
                  <c:v>44277</c:v>
                </c:pt>
                <c:pt idx="1847">
                  <c:v>44278</c:v>
                </c:pt>
                <c:pt idx="1848">
                  <c:v>44279</c:v>
                </c:pt>
                <c:pt idx="1849">
                  <c:v>44280</c:v>
                </c:pt>
                <c:pt idx="1850">
                  <c:v>44281</c:v>
                </c:pt>
                <c:pt idx="1851">
                  <c:v>44282</c:v>
                </c:pt>
                <c:pt idx="1852">
                  <c:v>44283</c:v>
                </c:pt>
                <c:pt idx="1853">
                  <c:v>44284</c:v>
                </c:pt>
                <c:pt idx="1854">
                  <c:v>44285</c:v>
                </c:pt>
                <c:pt idx="1855">
                  <c:v>44286</c:v>
                </c:pt>
                <c:pt idx="1856">
                  <c:v>44287</c:v>
                </c:pt>
                <c:pt idx="1857">
                  <c:v>44288</c:v>
                </c:pt>
                <c:pt idx="1858">
                  <c:v>44289</c:v>
                </c:pt>
                <c:pt idx="1859">
                  <c:v>44290</c:v>
                </c:pt>
                <c:pt idx="1860">
                  <c:v>44291</c:v>
                </c:pt>
                <c:pt idx="1861">
                  <c:v>44292</c:v>
                </c:pt>
                <c:pt idx="1862">
                  <c:v>44293</c:v>
                </c:pt>
                <c:pt idx="1863">
                  <c:v>44294</c:v>
                </c:pt>
                <c:pt idx="1864">
                  <c:v>44295</c:v>
                </c:pt>
                <c:pt idx="1865">
                  <c:v>44296</c:v>
                </c:pt>
                <c:pt idx="1866">
                  <c:v>44297</c:v>
                </c:pt>
                <c:pt idx="1867">
                  <c:v>44298</c:v>
                </c:pt>
                <c:pt idx="1868">
                  <c:v>44299</c:v>
                </c:pt>
                <c:pt idx="1869">
                  <c:v>44300</c:v>
                </c:pt>
                <c:pt idx="1870">
                  <c:v>44301</c:v>
                </c:pt>
                <c:pt idx="1871">
                  <c:v>44302</c:v>
                </c:pt>
                <c:pt idx="1872">
                  <c:v>44303</c:v>
                </c:pt>
                <c:pt idx="1873">
                  <c:v>44304</c:v>
                </c:pt>
                <c:pt idx="1874">
                  <c:v>44305</c:v>
                </c:pt>
                <c:pt idx="1875">
                  <c:v>44306</c:v>
                </c:pt>
                <c:pt idx="1876">
                  <c:v>44307</c:v>
                </c:pt>
                <c:pt idx="1877">
                  <c:v>44308</c:v>
                </c:pt>
                <c:pt idx="1878">
                  <c:v>44309</c:v>
                </c:pt>
                <c:pt idx="1879">
                  <c:v>44310</c:v>
                </c:pt>
                <c:pt idx="1880">
                  <c:v>44311</c:v>
                </c:pt>
                <c:pt idx="1881">
                  <c:v>44312</c:v>
                </c:pt>
                <c:pt idx="1882">
                  <c:v>44313</c:v>
                </c:pt>
                <c:pt idx="1883">
                  <c:v>44314</c:v>
                </c:pt>
                <c:pt idx="1884">
                  <c:v>44315</c:v>
                </c:pt>
                <c:pt idx="1885">
                  <c:v>44316</c:v>
                </c:pt>
                <c:pt idx="1886">
                  <c:v>44317</c:v>
                </c:pt>
                <c:pt idx="1887">
                  <c:v>44318</c:v>
                </c:pt>
                <c:pt idx="1888">
                  <c:v>44319</c:v>
                </c:pt>
                <c:pt idx="1889">
                  <c:v>44320</c:v>
                </c:pt>
                <c:pt idx="1890">
                  <c:v>44321</c:v>
                </c:pt>
                <c:pt idx="1891">
                  <c:v>44322</c:v>
                </c:pt>
                <c:pt idx="1892">
                  <c:v>44323</c:v>
                </c:pt>
                <c:pt idx="1893">
                  <c:v>44324</c:v>
                </c:pt>
                <c:pt idx="1894">
                  <c:v>44325</c:v>
                </c:pt>
                <c:pt idx="1895">
                  <c:v>44326</c:v>
                </c:pt>
                <c:pt idx="1896">
                  <c:v>44327</c:v>
                </c:pt>
                <c:pt idx="1897">
                  <c:v>44328</c:v>
                </c:pt>
                <c:pt idx="1898">
                  <c:v>44329</c:v>
                </c:pt>
                <c:pt idx="1899">
                  <c:v>44330</c:v>
                </c:pt>
                <c:pt idx="1900">
                  <c:v>44331</c:v>
                </c:pt>
                <c:pt idx="1901">
                  <c:v>44332</c:v>
                </c:pt>
                <c:pt idx="1902">
                  <c:v>44333</c:v>
                </c:pt>
                <c:pt idx="1903">
                  <c:v>44334</c:v>
                </c:pt>
                <c:pt idx="1904">
                  <c:v>44335</c:v>
                </c:pt>
                <c:pt idx="1905">
                  <c:v>44336</c:v>
                </c:pt>
                <c:pt idx="1906">
                  <c:v>44337</c:v>
                </c:pt>
                <c:pt idx="1907">
                  <c:v>44338</c:v>
                </c:pt>
                <c:pt idx="1908">
                  <c:v>44339</c:v>
                </c:pt>
                <c:pt idx="1909">
                  <c:v>44340</c:v>
                </c:pt>
                <c:pt idx="1910">
                  <c:v>44341</c:v>
                </c:pt>
                <c:pt idx="1911">
                  <c:v>44342</c:v>
                </c:pt>
                <c:pt idx="1912">
                  <c:v>44343</c:v>
                </c:pt>
                <c:pt idx="1913">
                  <c:v>44344</c:v>
                </c:pt>
                <c:pt idx="1914">
                  <c:v>44345</c:v>
                </c:pt>
                <c:pt idx="1915">
                  <c:v>44346</c:v>
                </c:pt>
                <c:pt idx="1916">
                  <c:v>44347</c:v>
                </c:pt>
                <c:pt idx="1917">
                  <c:v>44348</c:v>
                </c:pt>
                <c:pt idx="1918">
                  <c:v>44349</c:v>
                </c:pt>
                <c:pt idx="1919">
                  <c:v>44350</c:v>
                </c:pt>
                <c:pt idx="1920">
                  <c:v>44351</c:v>
                </c:pt>
                <c:pt idx="1921">
                  <c:v>44352</c:v>
                </c:pt>
                <c:pt idx="1922">
                  <c:v>44353</c:v>
                </c:pt>
                <c:pt idx="1923">
                  <c:v>44354</c:v>
                </c:pt>
                <c:pt idx="1924">
                  <c:v>44355</c:v>
                </c:pt>
                <c:pt idx="1925">
                  <c:v>44356</c:v>
                </c:pt>
                <c:pt idx="1926">
                  <c:v>44357</c:v>
                </c:pt>
                <c:pt idx="1927">
                  <c:v>44358</c:v>
                </c:pt>
                <c:pt idx="1928">
                  <c:v>44359</c:v>
                </c:pt>
                <c:pt idx="1929">
                  <c:v>44360</c:v>
                </c:pt>
                <c:pt idx="1930">
                  <c:v>44361</c:v>
                </c:pt>
                <c:pt idx="1931">
                  <c:v>44362</c:v>
                </c:pt>
                <c:pt idx="1932">
                  <c:v>44363</c:v>
                </c:pt>
                <c:pt idx="1933">
                  <c:v>44364</c:v>
                </c:pt>
                <c:pt idx="1934">
                  <c:v>44365</c:v>
                </c:pt>
                <c:pt idx="1935">
                  <c:v>44366</c:v>
                </c:pt>
                <c:pt idx="1936">
                  <c:v>44367</c:v>
                </c:pt>
                <c:pt idx="1937">
                  <c:v>44368</c:v>
                </c:pt>
                <c:pt idx="1938">
                  <c:v>44369</c:v>
                </c:pt>
                <c:pt idx="1939">
                  <c:v>44370</c:v>
                </c:pt>
                <c:pt idx="1940">
                  <c:v>44371</c:v>
                </c:pt>
                <c:pt idx="1941">
                  <c:v>44372</c:v>
                </c:pt>
                <c:pt idx="1942">
                  <c:v>44373</c:v>
                </c:pt>
                <c:pt idx="1943">
                  <c:v>44374</c:v>
                </c:pt>
                <c:pt idx="1944">
                  <c:v>44375</c:v>
                </c:pt>
                <c:pt idx="1945">
                  <c:v>44376</c:v>
                </c:pt>
                <c:pt idx="1946">
                  <c:v>44377</c:v>
                </c:pt>
                <c:pt idx="1947">
                  <c:v>44378</c:v>
                </c:pt>
                <c:pt idx="1948">
                  <c:v>44379</c:v>
                </c:pt>
                <c:pt idx="1949">
                  <c:v>44380</c:v>
                </c:pt>
                <c:pt idx="1950">
                  <c:v>44381</c:v>
                </c:pt>
                <c:pt idx="1951">
                  <c:v>44382</c:v>
                </c:pt>
                <c:pt idx="1952">
                  <c:v>44383</c:v>
                </c:pt>
                <c:pt idx="1953">
                  <c:v>44384</c:v>
                </c:pt>
                <c:pt idx="1954">
                  <c:v>44385</c:v>
                </c:pt>
                <c:pt idx="1955">
                  <c:v>44386</c:v>
                </c:pt>
                <c:pt idx="1956">
                  <c:v>44387</c:v>
                </c:pt>
                <c:pt idx="1957">
                  <c:v>44388</c:v>
                </c:pt>
                <c:pt idx="1958">
                  <c:v>44389</c:v>
                </c:pt>
                <c:pt idx="1959">
                  <c:v>44390</c:v>
                </c:pt>
                <c:pt idx="1960">
                  <c:v>44391</c:v>
                </c:pt>
                <c:pt idx="1961">
                  <c:v>44392</c:v>
                </c:pt>
                <c:pt idx="1962">
                  <c:v>44393</c:v>
                </c:pt>
                <c:pt idx="1963">
                  <c:v>44394</c:v>
                </c:pt>
                <c:pt idx="1964">
                  <c:v>44395</c:v>
                </c:pt>
                <c:pt idx="1965">
                  <c:v>44396</c:v>
                </c:pt>
                <c:pt idx="1966">
                  <c:v>44397</c:v>
                </c:pt>
                <c:pt idx="1967">
                  <c:v>44398</c:v>
                </c:pt>
                <c:pt idx="1968">
                  <c:v>44399</c:v>
                </c:pt>
                <c:pt idx="1969">
                  <c:v>44400</c:v>
                </c:pt>
                <c:pt idx="1970">
                  <c:v>44401</c:v>
                </c:pt>
                <c:pt idx="1971">
                  <c:v>44402</c:v>
                </c:pt>
                <c:pt idx="1972">
                  <c:v>44403</c:v>
                </c:pt>
                <c:pt idx="1973">
                  <c:v>44404</c:v>
                </c:pt>
                <c:pt idx="1974">
                  <c:v>44405</c:v>
                </c:pt>
                <c:pt idx="1975">
                  <c:v>44406</c:v>
                </c:pt>
                <c:pt idx="1976">
                  <c:v>44407</c:v>
                </c:pt>
                <c:pt idx="1977">
                  <c:v>44408</c:v>
                </c:pt>
                <c:pt idx="1978">
                  <c:v>44409</c:v>
                </c:pt>
                <c:pt idx="1979">
                  <c:v>44410</c:v>
                </c:pt>
                <c:pt idx="1980">
                  <c:v>44411</c:v>
                </c:pt>
                <c:pt idx="1981">
                  <c:v>44412</c:v>
                </c:pt>
                <c:pt idx="1982">
                  <c:v>44413</c:v>
                </c:pt>
                <c:pt idx="1983">
                  <c:v>44414</c:v>
                </c:pt>
                <c:pt idx="1984">
                  <c:v>44415</c:v>
                </c:pt>
                <c:pt idx="1985">
                  <c:v>44416</c:v>
                </c:pt>
                <c:pt idx="1986">
                  <c:v>44417</c:v>
                </c:pt>
                <c:pt idx="1987">
                  <c:v>44418</c:v>
                </c:pt>
                <c:pt idx="1988">
                  <c:v>44419</c:v>
                </c:pt>
                <c:pt idx="1989">
                  <c:v>44420</c:v>
                </c:pt>
                <c:pt idx="1990">
                  <c:v>44421</c:v>
                </c:pt>
                <c:pt idx="1991">
                  <c:v>44422</c:v>
                </c:pt>
                <c:pt idx="1992">
                  <c:v>44423</c:v>
                </c:pt>
                <c:pt idx="1993">
                  <c:v>44424</c:v>
                </c:pt>
                <c:pt idx="1994">
                  <c:v>44425</c:v>
                </c:pt>
                <c:pt idx="1995">
                  <c:v>44426</c:v>
                </c:pt>
                <c:pt idx="1996">
                  <c:v>44427</c:v>
                </c:pt>
                <c:pt idx="1997">
                  <c:v>44428</c:v>
                </c:pt>
                <c:pt idx="1998">
                  <c:v>44429</c:v>
                </c:pt>
                <c:pt idx="1999">
                  <c:v>44430</c:v>
                </c:pt>
                <c:pt idx="2000">
                  <c:v>44431</c:v>
                </c:pt>
                <c:pt idx="2001">
                  <c:v>44432</c:v>
                </c:pt>
                <c:pt idx="2002">
                  <c:v>44433</c:v>
                </c:pt>
                <c:pt idx="2003">
                  <c:v>44434</c:v>
                </c:pt>
                <c:pt idx="2004">
                  <c:v>44435</c:v>
                </c:pt>
                <c:pt idx="2005">
                  <c:v>44436</c:v>
                </c:pt>
                <c:pt idx="2006">
                  <c:v>44437</c:v>
                </c:pt>
                <c:pt idx="2007">
                  <c:v>44438</c:v>
                </c:pt>
                <c:pt idx="2008">
                  <c:v>44439</c:v>
                </c:pt>
                <c:pt idx="2009">
                  <c:v>44440</c:v>
                </c:pt>
                <c:pt idx="2010">
                  <c:v>44441</c:v>
                </c:pt>
                <c:pt idx="2011">
                  <c:v>44442</c:v>
                </c:pt>
                <c:pt idx="2012">
                  <c:v>44443</c:v>
                </c:pt>
                <c:pt idx="2013">
                  <c:v>44444</c:v>
                </c:pt>
                <c:pt idx="2014">
                  <c:v>44445</c:v>
                </c:pt>
                <c:pt idx="2015">
                  <c:v>44446</c:v>
                </c:pt>
                <c:pt idx="2016">
                  <c:v>44447</c:v>
                </c:pt>
                <c:pt idx="2017">
                  <c:v>44448</c:v>
                </c:pt>
                <c:pt idx="2018">
                  <c:v>44449</c:v>
                </c:pt>
                <c:pt idx="2019">
                  <c:v>44450</c:v>
                </c:pt>
                <c:pt idx="2020">
                  <c:v>44451</c:v>
                </c:pt>
                <c:pt idx="2021">
                  <c:v>44452</c:v>
                </c:pt>
                <c:pt idx="2022">
                  <c:v>44453</c:v>
                </c:pt>
                <c:pt idx="2023">
                  <c:v>44454</c:v>
                </c:pt>
                <c:pt idx="2024">
                  <c:v>44455</c:v>
                </c:pt>
                <c:pt idx="2025">
                  <c:v>44456</c:v>
                </c:pt>
                <c:pt idx="2026">
                  <c:v>44457</c:v>
                </c:pt>
                <c:pt idx="2027">
                  <c:v>44458</c:v>
                </c:pt>
                <c:pt idx="2028">
                  <c:v>44459</c:v>
                </c:pt>
                <c:pt idx="2029">
                  <c:v>44460</c:v>
                </c:pt>
                <c:pt idx="2030">
                  <c:v>44461</c:v>
                </c:pt>
                <c:pt idx="2031">
                  <c:v>44462</c:v>
                </c:pt>
                <c:pt idx="2032">
                  <c:v>44463</c:v>
                </c:pt>
                <c:pt idx="2033">
                  <c:v>44464</c:v>
                </c:pt>
                <c:pt idx="2034">
                  <c:v>44465</c:v>
                </c:pt>
                <c:pt idx="2035">
                  <c:v>44466</c:v>
                </c:pt>
                <c:pt idx="2036">
                  <c:v>44467</c:v>
                </c:pt>
                <c:pt idx="2037">
                  <c:v>44468</c:v>
                </c:pt>
                <c:pt idx="2038">
                  <c:v>44469</c:v>
                </c:pt>
                <c:pt idx="2039">
                  <c:v>44470</c:v>
                </c:pt>
                <c:pt idx="2040">
                  <c:v>44471</c:v>
                </c:pt>
                <c:pt idx="2041">
                  <c:v>44472</c:v>
                </c:pt>
                <c:pt idx="2042">
                  <c:v>44473</c:v>
                </c:pt>
                <c:pt idx="2043">
                  <c:v>44474</c:v>
                </c:pt>
                <c:pt idx="2044">
                  <c:v>44475</c:v>
                </c:pt>
                <c:pt idx="2045">
                  <c:v>44476</c:v>
                </c:pt>
                <c:pt idx="2046">
                  <c:v>44477</c:v>
                </c:pt>
                <c:pt idx="2047">
                  <c:v>44478</c:v>
                </c:pt>
                <c:pt idx="2048">
                  <c:v>44479</c:v>
                </c:pt>
                <c:pt idx="2049">
                  <c:v>44480</c:v>
                </c:pt>
                <c:pt idx="2050">
                  <c:v>44481</c:v>
                </c:pt>
                <c:pt idx="2051">
                  <c:v>44482</c:v>
                </c:pt>
                <c:pt idx="2052">
                  <c:v>44483</c:v>
                </c:pt>
                <c:pt idx="2053">
                  <c:v>44484</c:v>
                </c:pt>
                <c:pt idx="2054">
                  <c:v>44485</c:v>
                </c:pt>
                <c:pt idx="2055">
                  <c:v>44486</c:v>
                </c:pt>
                <c:pt idx="2056">
                  <c:v>44487</c:v>
                </c:pt>
                <c:pt idx="2057">
                  <c:v>44488</c:v>
                </c:pt>
                <c:pt idx="2058">
                  <c:v>44489</c:v>
                </c:pt>
                <c:pt idx="2059">
                  <c:v>44490</c:v>
                </c:pt>
                <c:pt idx="2060">
                  <c:v>44491</c:v>
                </c:pt>
                <c:pt idx="2061">
                  <c:v>44492</c:v>
                </c:pt>
                <c:pt idx="2062">
                  <c:v>44493</c:v>
                </c:pt>
                <c:pt idx="2063">
                  <c:v>44494</c:v>
                </c:pt>
                <c:pt idx="2064">
                  <c:v>44495</c:v>
                </c:pt>
                <c:pt idx="2065">
                  <c:v>44496</c:v>
                </c:pt>
                <c:pt idx="2066">
                  <c:v>44497</c:v>
                </c:pt>
                <c:pt idx="2067">
                  <c:v>44498</c:v>
                </c:pt>
                <c:pt idx="2068">
                  <c:v>44499</c:v>
                </c:pt>
                <c:pt idx="2069">
                  <c:v>44500</c:v>
                </c:pt>
                <c:pt idx="2070">
                  <c:v>44501</c:v>
                </c:pt>
                <c:pt idx="2071">
                  <c:v>44502</c:v>
                </c:pt>
                <c:pt idx="2072">
                  <c:v>44503</c:v>
                </c:pt>
                <c:pt idx="2073">
                  <c:v>44504</c:v>
                </c:pt>
                <c:pt idx="2074">
                  <c:v>44505</c:v>
                </c:pt>
                <c:pt idx="2075">
                  <c:v>44506</c:v>
                </c:pt>
                <c:pt idx="2076">
                  <c:v>44507</c:v>
                </c:pt>
                <c:pt idx="2077">
                  <c:v>44508</c:v>
                </c:pt>
                <c:pt idx="2078">
                  <c:v>44509</c:v>
                </c:pt>
                <c:pt idx="2079">
                  <c:v>44510</c:v>
                </c:pt>
                <c:pt idx="2080">
                  <c:v>44511</c:v>
                </c:pt>
                <c:pt idx="2081">
                  <c:v>44512</c:v>
                </c:pt>
                <c:pt idx="2082">
                  <c:v>44513</c:v>
                </c:pt>
                <c:pt idx="2083">
                  <c:v>44514</c:v>
                </c:pt>
                <c:pt idx="2084">
                  <c:v>44515</c:v>
                </c:pt>
                <c:pt idx="2085">
                  <c:v>44516</c:v>
                </c:pt>
                <c:pt idx="2086">
                  <c:v>44517</c:v>
                </c:pt>
                <c:pt idx="2087">
                  <c:v>44518</c:v>
                </c:pt>
                <c:pt idx="2088">
                  <c:v>44519</c:v>
                </c:pt>
                <c:pt idx="2089">
                  <c:v>44520</c:v>
                </c:pt>
                <c:pt idx="2090">
                  <c:v>44521</c:v>
                </c:pt>
                <c:pt idx="2091">
                  <c:v>44522</c:v>
                </c:pt>
                <c:pt idx="2092">
                  <c:v>44523</c:v>
                </c:pt>
                <c:pt idx="2093">
                  <c:v>44524</c:v>
                </c:pt>
                <c:pt idx="2094">
                  <c:v>44525</c:v>
                </c:pt>
                <c:pt idx="2095">
                  <c:v>44526</c:v>
                </c:pt>
                <c:pt idx="2096">
                  <c:v>44527</c:v>
                </c:pt>
                <c:pt idx="2097">
                  <c:v>44528</c:v>
                </c:pt>
                <c:pt idx="2098">
                  <c:v>44529</c:v>
                </c:pt>
                <c:pt idx="2099">
                  <c:v>44530</c:v>
                </c:pt>
                <c:pt idx="2100">
                  <c:v>44531</c:v>
                </c:pt>
                <c:pt idx="2101">
                  <c:v>44532</c:v>
                </c:pt>
                <c:pt idx="2102">
                  <c:v>44533</c:v>
                </c:pt>
                <c:pt idx="2103">
                  <c:v>44534</c:v>
                </c:pt>
                <c:pt idx="2104">
                  <c:v>44535</c:v>
                </c:pt>
                <c:pt idx="2105">
                  <c:v>44536</c:v>
                </c:pt>
                <c:pt idx="2106">
                  <c:v>44537</c:v>
                </c:pt>
                <c:pt idx="2107">
                  <c:v>44538</c:v>
                </c:pt>
                <c:pt idx="2108">
                  <c:v>44539</c:v>
                </c:pt>
                <c:pt idx="2109">
                  <c:v>44540</c:v>
                </c:pt>
                <c:pt idx="2110">
                  <c:v>44541</c:v>
                </c:pt>
                <c:pt idx="2111">
                  <c:v>44542</c:v>
                </c:pt>
                <c:pt idx="2112">
                  <c:v>44543</c:v>
                </c:pt>
                <c:pt idx="2113">
                  <c:v>44544</c:v>
                </c:pt>
                <c:pt idx="2114">
                  <c:v>44545</c:v>
                </c:pt>
                <c:pt idx="2115">
                  <c:v>44546</c:v>
                </c:pt>
                <c:pt idx="2116">
                  <c:v>44547</c:v>
                </c:pt>
                <c:pt idx="2117">
                  <c:v>44548</c:v>
                </c:pt>
                <c:pt idx="2118">
                  <c:v>44549</c:v>
                </c:pt>
                <c:pt idx="2119">
                  <c:v>44550</c:v>
                </c:pt>
                <c:pt idx="2120">
                  <c:v>44551</c:v>
                </c:pt>
                <c:pt idx="2121">
                  <c:v>44552</c:v>
                </c:pt>
                <c:pt idx="2122">
                  <c:v>44553</c:v>
                </c:pt>
                <c:pt idx="2123">
                  <c:v>44554</c:v>
                </c:pt>
                <c:pt idx="2124">
                  <c:v>44555</c:v>
                </c:pt>
                <c:pt idx="2125">
                  <c:v>44556</c:v>
                </c:pt>
                <c:pt idx="2126">
                  <c:v>44557</c:v>
                </c:pt>
                <c:pt idx="2127">
                  <c:v>44558</c:v>
                </c:pt>
                <c:pt idx="2128">
                  <c:v>44559</c:v>
                </c:pt>
                <c:pt idx="2129">
                  <c:v>44560</c:v>
                </c:pt>
                <c:pt idx="2130">
                  <c:v>44561</c:v>
                </c:pt>
                <c:pt idx="2131">
                  <c:v>44562</c:v>
                </c:pt>
                <c:pt idx="2132">
                  <c:v>44563</c:v>
                </c:pt>
                <c:pt idx="2133">
                  <c:v>44564</c:v>
                </c:pt>
                <c:pt idx="2134">
                  <c:v>44565</c:v>
                </c:pt>
                <c:pt idx="2135">
                  <c:v>44566</c:v>
                </c:pt>
                <c:pt idx="2136">
                  <c:v>44567</c:v>
                </c:pt>
                <c:pt idx="2137">
                  <c:v>44568</c:v>
                </c:pt>
                <c:pt idx="2138">
                  <c:v>44569</c:v>
                </c:pt>
                <c:pt idx="2139">
                  <c:v>44570</c:v>
                </c:pt>
                <c:pt idx="2140">
                  <c:v>44571</c:v>
                </c:pt>
                <c:pt idx="2141">
                  <c:v>44572</c:v>
                </c:pt>
                <c:pt idx="2142">
                  <c:v>44573</c:v>
                </c:pt>
                <c:pt idx="2143">
                  <c:v>44574</c:v>
                </c:pt>
                <c:pt idx="2144">
                  <c:v>44575</c:v>
                </c:pt>
                <c:pt idx="2145">
                  <c:v>44576</c:v>
                </c:pt>
                <c:pt idx="2146">
                  <c:v>44577</c:v>
                </c:pt>
                <c:pt idx="2147">
                  <c:v>44578</c:v>
                </c:pt>
                <c:pt idx="2148">
                  <c:v>44579</c:v>
                </c:pt>
                <c:pt idx="2149">
                  <c:v>44580</c:v>
                </c:pt>
                <c:pt idx="2150">
                  <c:v>44581</c:v>
                </c:pt>
                <c:pt idx="2151">
                  <c:v>44582</c:v>
                </c:pt>
                <c:pt idx="2152">
                  <c:v>44583</c:v>
                </c:pt>
                <c:pt idx="2153">
                  <c:v>44584</c:v>
                </c:pt>
                <c:pt idx="2154">
                  <c:v>44585</c:v>
                </c:pt>
                <c:pt idx="2155">
                  <c:v>44586</c:v>
                </c:pt>
                <c:pt idx="2156">
                  <c:v>44587</c:v>
                </c:pt>
                <c:pt idx="2157">
                  <c:v>44588</c:v>
                </c:pt>
                <c:pt idx="2158">
                  <c:v>44589</c:v>
                </c:pt>
                <c:pt idx="2159">
                  <c:v>44590</c:v>
                </c:pt>
                <c:pt idx="2160">
                  <c:v>44591</c:v>
                </c:pt>
                <c:pt idx="2161">
                  <c:v>44592</c:v>
                </c:pt>
                <c:pt idx="2162">
                  <c:v>44593</c:v>
                </c:pt>
                <c:pt idx="2163">
                  <c:v>44594</c:v>
                </c:pt>
                <c:pt idx="2164">
                  <c:v>44595</c:v>
                </c:pt>
                <c:pt idx="2165">
                  <c:v>44596</c:v>
                </c:pt>
                <c:pt idx="2166">
                  <c:v>44597</c:v>
                </c:pt>
                <c:pt idx="2167">
                  <c:v>44598</c:v>
                </c:pt>
                <c:pt idx="2168">
                  <c:v>44599</c:v>
                </c:pt>
                <c:pt idx="2169">
                  <c:v>44600</c:v>
                </c:pt>
                <c:pt idx="2170">
                  <c:v>44601</c:v>
                </c:pt>
                <c:pt idx="2171">
                  <c:v>44602</c:v>
                </c:pt>
                <c:pt idx="2172">
                  <c:v>44603</c:v>
                </c:pt>
                <c:pt idx="2173">
                  <c:v>44604</c:v>
                </c:pt>
                <c:pt idx="2174">
                  <c:v>44605</c:v>
                </c:pt>
                <c:pt idx="2175">
                  <c:v>44606</c:v>
                </c:pt>
                <c:pt idx="2176">
                  <c:v>44607</c:v>
                </c:pt>
                <c:pt idx="2177">
                  <c:v>44608</c:v>
                </c:pt>
                <c:pt idx="2178">
                  <c:v>44609</c:v>
                </c:pt>
                <c:pt idx="2179">
                  <c:v>44610</c:v>
                </c:pt>
                <c:pt idx="2180">
                  <c:v>44611</c:v>
                </c:pt>
                <c:pt idx="2181">
                  <c:v>44612</c:v>
                </c:pt>
                <c:pt idx="2182">
                  <c:v>44613</c:v>
                </c:pt>
                <c:pt idx="2183">
                  <c:v>44614</c:v>
                </c:pt>
                <c:pt idx="2184">
                  <c:v>44615</c:v>
                </c:pt>
                <c:pt idx="2185">
                  <c:v>44616</c:v>
                </c:pt>
                <c:pt idx="2186">
                  <c:v>44617</c:v>
                </c:pt>
                <c:pt idx="2187">
                  <c:v>44618</c:v>
                </c:pt>
                <c:pt idx="2188">
                  <c:v>44619</c:v>
                </c:pt>
                <c:pt idx="2189">
                  <c:v>44620</c:v>
                </c:pt>
                <c:pt idx="2190">
                  <c:v>44621</c:v>
                </c:pt>
                <c:pt idx="2191">
                  <c:v>44622</c:v>
                </c:pt>
                <c:pt idx="2192">
                  <c:v>44623</c:v>
                </c:pt>
                <c:pt idx="2193">
                  <c:v>44624</c:v>
                </c:pt>
                <c:pt idx="2194">
                  <c:v>44625</c:v>
                </c:pt>
                <c:pt idx="2195">
                  <c:v>44626</c:v>
                </c:pt>
                <c:pt idx="2196">
                  <c:v>44627</c:v>
                </c:pt>
                <c:pt idx="2197">
                  <c:v>44628</c:v>
                </c:pt>
                <c:pt idx="2198">
                  <c:v>44629</c:v>
                </c:pt>
                <c:pt idx="2199">
                  <c:v>44630</c:v>
                </c:pt>
                <c:pt idx="2200">
                  <c:v>44631</c:v>
                </c:pt>
                <c:pt idx="2201">
                  <c:v>44632</c:v>
                </c:pt>
                <c:pt idx="2202">
                  <c:v>44633</c:v>
                </c:pt>
                <c:pt idx="2203">
                  <c:v>44634</c:v>
                </c:pt>
                <c:pt idx="2204">
                  <c:v>44635</c:v>
                </c:pt>
                <c:pt idx="2205">
                  <c:v>44636</c:v>
                </c:pt>
                <c:pt idx="2206">
                  <c:v>44637</c:v>
                </c:pt>
                <c:pt idx="2207">
                  <c:v>44638</c:v>
                </c:pt>
                <c:pt idx="2208">
                  <c:v>44639</c:v>
                </c:pt>
                <c:pt idx="2209">
                  <c:v>44640</c:v>
                </c:pt>
                <c:pt idx="2210">
                  <c:v>44641</c:v>
                </c:pt>
                <c:pt idx="2211">
                  <c:v>44642</c:v>
                </c:pt>
                <c:pt idx="2212">
                  <c:v>44643</c:v>
                </c:pt>
                <c:pt idx="2213">
                  <c:v>44644</c:v>
                </c:pt>
                <c:pt idx="2214">
                  <c:v>44645</c:v>
                </c:pt>
                <c:pt idx="2215">
                  <c:v>44646</c:v>
                </c:pt>
                <c:pt idx="2216">
                  <c:v>44647</c:v>
                </c:pt>
                <c:pt idx="2217">
                  <c:v>44648</c:v>
                </c:pt>
                <c:pt idx="2218">
                  <c:v>44649</c:v>
                </c:pt>
                <c:pt idx="2219">
                  <c:v>44650</c:v>
                </c:pt>
                <c:pt idx="2220">
                  <c:v>44651</c:v>
                </c:pt>
                <c:pt idx="2221">
                  <c:v>44652</c:v>
                </c:pt>
                <c:pt idx="2222">
                  <c:v>44653</c:v>
                </c:pt>
                <c:pt idx="2223">
                  <c:v>44654</c:v>
                </c:pt>
                <c:pt idx="2224">
                  <c:v>44655</c:v>
                </c:pt>
                <c:pt idx="2225">
                  <c:v>44656</c:v>
                </c:pt>
                <c:pt idx="2226">
                  <c:v>44657</c:v>
                </c:pt>
                <c:pt idx="2227">
                  <c:v>44658</c:v>
                </c:pt>
                <c:pt idx="2228">
                  <c:v>44659</c:v>
                </c:pt>
                <c:pt idx="2229">
                  <c:v>44660</c:v>
                </c:pt>
                <c:pt idx="2230">
                  <c:v>44661</c:v>
                </c:pt>
                <c:pt idx="2231">
                  <c:v>44662</c:v>
                </c:pt>
                <c:pt idx="2232">
                  <c:v>44663</c:v>
                </c:pt>
                <c:pt idx="2233">
                  <c:v>44664</c:v>
                </c:pt>
                <c:pt idx="2234">
                  <c:v>44665</c:v>
                </c:pt>
                <c:pt idx="2235">
                  <c:v>44666</c:v>
                </c:pt>
                <c:pt idx="2236">
                  <c:v>44667</c:v>
                </c:pt>
                <c:pt idx="2237">
                  <c:v>44668</c:v>
                </c:pt>
                <c:pt idx="2238">
                  <c:v>44669</c:v>
                </c:pt>
                <c:pt idx="2239">
                  <c:v>44670</c:v>
                </c:pt>
                <c:pt idx="2240">
                  <c:v>44671</c:v>
                </c:pt>
                <c:pt idx="2241">
                  <c:v>44672</c:v>
                </c:pt>
                <c:pt idx="2242">
                  <c:v>44673</c:v>
                </c:pt>
                <c:pt idx="2243">
                  <c:v>44674</c:v>
                </c:pt>
                <c:pt idx="2244">
                  <c:v>44675</c:v>
                </c:pt>
                <c:pt idx="2245">
                  <c:v>44676</c:v>
                </c:pt>
                <c:pt idx="2246">
                  <c:v>44677</c:v>
                </c:pt>
                <c:pt idx="2247">
                  <c:v>44678</c:v>
                </c:pt>
                <c:pt idx="2248">
                  <c:v>44679</c:v>
                </c:pt>
                <c:pt idx="2249">
                  <c:v>44680</c:v>
                </c:pt>
                <c:pt idx="2250">
                  <c:v>44681</c:v>
                </c:pt>
                <c:pt idx="2251">
                  <c:v>44682</c:v>
                </c:pt>
                <c:pt idx="2252">
                  <c:v>44683</c:v>
                </c:pt>
                <c:pt idx="2253">
                  <c:v>44684</c:v>
                </c:pt>
                <c:pt idx="2254">
                  <c:v>44685</c:v>
                </c:pt>
                <c:pt idx="2255">
                  <c:v>44686</c:v>
                </c:pt>
                <c:pt idx="2256">
                  <c:v>44687</c:v>
                </c:pt>
                <c:pt idx="2257">
                  <c:v>44688</c:v>
                </c:pt>
                <c:pt idx="2258">
                  <c:v>44689</c:v>
                </c:pt>
                <c:pt idx="2259">
                  <c:v>44690</c:v>
                </c:pt>
                <c:pt idx="2260">
                  <c:v>44691</c:v>
                </c:pt>
                <c:pt idx="2261">
                  <c:v>44692</c:v>
                </c:pt>
                <c:pt idx="2262">
                  <c:v>44693</c:v>
                </c:pt>
                <c:pt idx="2263">
                  <c:v>44694</c:v>
                </c:pt>
                <c:pt idx="2264">
                  <c:v>44695</c:v>
                </c:pt>
                <c:pt idx="2265">
                  <c:v>44696</c:v>
                </c:pt>
                <c:pt idx="2266">
                  <c:v>44697</c:v>
                </c:pt>
                <c:pt idx="2267">
                  <c:v>44698</c:v>
                </c:pt>
                <c:pt idx="2268">
                  <c:v>44699</c:v>
                </c:pt>
                <c:pt idx="2269">
                  <c:v>44700</c:v>
                </c:pt>
                <c:pt idx="2270">
                  <c:v>44701</c:v>
                </c:pt>
                <c:pt idx="2271">
                  <c:v>44702</c:v>
                </c:pt>
                <c:pt idx="2272">
                  <c:v>44703</c:v>
                </c:pt>
                <c:pt idx="2273">
                  <c:v>44704</c:v>
                </c:pt>
                <c:pt idx="2274">
                  <c:v>44705</c:v>
                </c:pt>
                <c:pt idx="2275">
                  <c:v>44706</c:v>
                </c:pt>
                <c:pt idx="2276">
                  <c:v>44707</c:v>
                </c:pt>
                <c:pt idx="2277">
                  <c:v>44708</c:v>
                </c:pt>
                <c:pt idx="2278">
                  <c:v>44709</c:v>
                </c:pt>
                <c:pt idx="2279">
                  <c:v>44710</c:v>
                </c:pt>
                <c:pt idx="2280">
                  <c:v>44711</c:v>
                </c:pt>
                <c:pt idx="2281">
                  <c:v>44712</c:v>
                </c:pt>
                <c:pt idx="2282">
                  <c:v>44713</c:v>
                </c:pt>
                <c:pt idx="2283">
                  <c:v>44714</c:v>
                </c:pt>
                <c:pt idx="2284">
                  <c:v>44715</c:v>
                </c:pt>
                <c:pt idx="2285">
                  <c:v>44716</c:v>
                </c:pt>
                <c:pt idx="2286">
                  <c:v>44717</c:v>
                </c:pt>
                <c:pt idx="2287">
                  <c:v>44718</c:v>
                </c:pt>
                <c:pt idx="2288">
                  <c:v>44719</c:v>
                </c:pt>
                <c:pt idx="2289">
                  <c:v>44720</c:v>
                </c:pt>
                <c:pt idx="2290">
                  <c:v>44721</c:v>
                </c:pt>
                <c:pt idx="2291">
                  <c:v>44722</c:v>
                </c:pt>
                <c:pt idx="2292">
                  <c:v>44723</c:v>
                </c:pt>
                <c:pt idx="2293">
                  <c:v>44724</c:v>
                </c:pt>
                <c:pt idx="2294">
                  <c:v>44725</c:v>
                </c:pt>
                <c:pt idx="2295">
                  <c:v>44726</c:v>
                </c:pt>
                <c:pt idx="2296">
                  <c:v>44727</c:v>
                </c:pt>
                <c:pt idx="2297">
                  <c:v>44728</c:v>
                </c:pt>
                <c:pt idx="2298">
                  <c:v>44729</c:v>
                </c:pt>
                <c:pt idx="2299">
                  <c:v>44730</c:v>
                </c:pt>
                <c:pt idx="2300">
                  <c:v>44731</c:v>
                </c:pt>
                <c:pt idx="2301">
                  <c:v>44732</c:v>
                </c:pt>
                <c:pt idx="2302">
                  <c:v>44733</c:v>
                </c:pt>
                <c:pt idx="2303">
                  <c:v>44734</c:v>
                </c:pt>
                <c:pt idx="2304">
                  <c:v>44735</c:v>
                </c:pt>
                <c:pt idx="2305">
                  <c:v>44736</c:v>
                </c:pt>
                <c:pt idx="2306">
                  <c:v>44737</c:v>
                </c:pt>
                <c:pt idx="2307">
                  <c:v>44738</c:v>
                </c:pt>
                <c:pt idx="2308">
                  <c:v>44739</c:v>
                </c:pt>
                <c:pt idx="2309">
                  <c:v>44740</c:v>
                </c:pt>
                <c:pt idx="2310">
                  <c:v>44741</c:v>
                </c:pt>
                <c:pt idx="2311">
                  <c:v>44742</c:v>
                </c:pt>
                <c:pt idx="2312">
                  <c:v>44743</c:v>
                </c:pt>
                <c:pt idx="2313">
                  <c:v>44744</c:v>
                </c:pt>
                <c:pt idx="2314">
                  <c:v>44745</c:v>
                </c:pt>
                <c:pt idx="2315">
                  <c:v>44746</c:v>
                </c:pt>
                <c:pt idx="2316">
                  <c:v>44747</c:v>
                </c:pt>
                <c:pt idx="2317">
                  <c:v>44748</c:v>
                </c:pt>
                <c:pt idx="2318">
                  <c:v>44749</c:v>
                </c:pt>
                <c:pt idx="2319">
                  <c:v>44750</c:v>
                </c:pt>
                <c:pt idx="2320">
                  <c:v>44751</c:v>
                </c:pt>
                <c:pt idx="2321">
                  <c:v>44752</c:v>
                </c:pt>
                <c:pt idx="2322">
                  <c:v>44753</c:v>
                </c:pt>
                <c:pt idx="2323">
                  <c:v>44754</c:v>
                </c:pt>
                <c:pt idx="2324">
                  <c:v>44755</c:v>
                </c:pt>
                <c:pt idx="2325">
                  <c:v>44756</c:v>
                </c:pt>
                <c:pt idx="2326">
                  <c:v>44757</c:v>
                </c:pt>
                <c:pt idx="2327">
                  <c:v>44758</c:v>
                </c:pt>
                <c:pt idx="2328">
                  <c:v>44759</c:v>
                </c:pt>
                <c:pt idx="2329">
                  <c:v>44760</c:v>
                </c:pt>
                <c:pt idx="2330">
                  <c:v>44761</c:v>
                </c:pt>
                <c:pt idx="2331">
                  <c:v>44762</c:v>
                </c:pt>
                <c:pt idx="2332">
                  <c:v>44763</c:v>
                </c:pt>
                <c:pt idx="2333">
                  <c:v>44764</c:v>
                </c:pt>
                <c:pt idx="2334">
                  <c:v>44765</c:v>
                </c:pt>
                <c:pt idx="2335">
                  <c:v>44766</c:v>
                </c:pt>
                <c:pt idx="2336">
                  <c:v>44767</c:v>
                </c:pt>
                <c:pt idx="2337">
                  <c:v>44768</c:v>
                </c:pt>
                <c:pt idx="2338">
                  <c:v>44769</c:v>
                </c:pt>
                <c:pt idx="2339">
                  <c:v>44770</c:v>
                </c:pt>
                <c:pt idx="2340">
                  <c:v>44771</c:v>
                </c:pt>
                <c:pt idx="2341">
                  <c:v>44772</c:v>
                </c:pt>
                <c:pt idx="2342">
                  <c:v>44773</c:v>
                </c:pt>
                <c:pt idx="2343">
                  <c:v>44774</c:v>
                </c:pt>
                <c:pt idx="2344">
                  <c:v>44775</c:v>
                </c:pt>
                <c:pt idx="2345">
                  <c:v>44776</c:v>
                </c:pt>
                <c:pt idx="2346">
                  <c:v>44777</c:v>
                </c:pt>
                <c:pt idx="2347">
                  <c:v>44778</c:v>
                </c:pt>
                <c:pt idx="2348">
                  <c:v>44779</c:v>
                </c:pt>
                <c:pt idx="2349">
                  <c:v>44780</c:v>
                </c:pt>
                <c:pt idx="2350">
                  <c:v>44781</c:v>
                </c:pt>
                <c:pt idx="2351">
                  <c:v>44782</c:v>
                </c:pt>
                <c:pt idx="2352">
                  <c:v>44783</c:v>
                </c:pt>
                <c:pt idx="2353">
                  <c:v>44784</c:v>
                </c:pt>
                <c:pt idx="2354">
                  <c:v>44785</c:v>
                </c:pt>
                <c:pt idx="2355">
                  <c:v>44786</c:v>
                </c:pt>
                <c:pt idx="2356">
                  <c:v>44787</c:v>
                </c:pt>
                <c:pt idx="2357">
                  <c:v>44788</c:v>
                </c:pt>
                <c:pt idx="2358">
                  <c:v>44789</c:v>
                </c:pt>
                <c:pt idx="2359">
                  <c:v>44790</c:v>
                </c:pt>
                <c:pt idx="2360">
                  <c:v>44791</c:v>
                </c:pt>
                <c:pt idx="2361">
                  <c:v>44792</c:v>
                </c:pt>
                <c:pt idx="2362">
                  <c:v>44793</c:v>
                </c:pt>
                <c:pt idx="2363">
                  <c:v>44794</c:v>
                </c:pt>
                <c:pt idx="2364">
                  <c:v>44795</c:v>
                </c:pt>
                <c:pt idx="2365">
                  <c:v>44796</c:v>
                </c:pt>
                <c:pt idx="2366">
                  <c:v>44797</c:v>
                </c:pt>
                <c:pt idx="2367">
                  <c:v>44798</c:v>
                </c:pt>
                <c:pt idx="2368">
                  <c:v>44799</c:v>
                </c:pt>
                <c:pt idx="2369">
                  <c:v>44800</c:v>
                </c:pt>
                <c:pt idx="2370">
                  <c:v>44801</c:v>
                </c:pt>
                <c:pt idx="2371">
                  <c:v>44802</c:v>
                </c:pt>
                <c:pt idx="2372">
                  <c:v>44803</c:v>
                </c:pt>
                <c:pt idx="2373">
                  <c:v>44804</c:v>
                </c:pt>
                <c:pt idx="2374">
                  <c:v>44805</c:v>
                </c:pt>
                <c:pt idx="2375">
                  <c:v>44806</c:v>
                </c:pt>
                <c:pt idx="2376">
                  <c:v>44807</c:v>
                </c:pt>
                <c:pt idx="2377">
                  <c:v>44808</c:v>
                </c:pt>
                <c:pt idx="2378">
                  <c:v>44809</c:v>
                </c:pt>
                <c:pt idx="2379">
                  <c:v>44810</c:v>
                </c:pt>
                <c:pt idx="2380">
                  <c:v>44811</c:v>
                </c:pt>
                <c:pt idx="2381">
                  <c:v>44812</c:v>
                </c:pt>
                <c:pt idx="2382">
                  <c:v>44813</c:v>
                </c:pt>
                <c:pt idx="2383">
                  <c:v>44814</c:v>
                </c:pt>
                <c:pt idx="2384">
                  <c:v>44815</c:v>
                </c:pt>
                <c:pt idx="2385">
                  <c:v>44816</c:v>
                </c:pt>
                <c:pt idx="2386">
                  <c:v>44817</c:v>
                </c:pt>
                <c:pt idx="2387">
                  <c:v>44818</c:v>
                </c:pt>
                <c:pt idx="2388">
                  <c:v>44819</c:v>
                </c:pt>
                <c:pt idx="2389">
                  <c:v>44820</c:v>
                </c:pt>
                <c:pt idx="2390">
                  <c:v>44821</c:v>
                </c:pt>
                <c:pt idx="2391">
                  <c:v>44822</c:v>
                </c:pt>
                <c:pt idx="2392">
                  <c:v>44823</c:v>
                </c:pt>
                <c:pt idx="2393">
                  <c:v>44824</c:v>
                </c:pt>
                <c:pt idx="2394">
                  <c:v>44825</c:v>
                </c:pt>
                <c:pt idx="2395">
                  <c:v>44826</c:v>
                </c:pt>
                <c:pt idx="2396">
                  <c:v>44827</c:v>
                </c:pt>
                <c:pt idx="2397">
                  <c:v>44828</c:v>
                </c:pt>
                <c:pt idx="2398">
                  <c:v>44829</c:v>
                </c:pt>
                <c:pt idx="2399">
                  <c:v>44830</c:v>
                </c:pt>
                <c:pt idx="2400">
                  <c:v>44831</c:v>
                </c:pt>
                <c:pt idx="2401">
                  <c:v>44832</c:v>
                </c:pt>
                <c:pt idx="2402">
                  <c:v>44833</c:v>
                </c:pt>
                <c:pt idx="2403">
                  <c:v>44834</c:v>
                </c:pt>
                <c:pt idx="2404">
                  <c:v>44835</c:v>
                </c:pt>
                <c:pt idx="2405">
                  <c:v>44836</c:v>
                </c:pt>
                <c:pt idx="2406">
                  <c:v>44837</c:v>
                </c:pt>
                <c:pt idx="2407">
                  <c:v>44838</c:v>
                </c:pt>
                <c:pt idx="2408">
                  <c:v>44839</c:v>
                </c:pt>
                <c:pt idx="2409">
                  <c:v>44840</c:v>
                </c:pt>
                <c:pt idx="2410">
                  <c:v>44841</c:v>
                </c:pt>
                <c:pt idx="2411">
                  <c:v>44842</c:v>
                </c:pt>
                <c:pt idx="2412">
                  <c:v>44843</c:v>
                </c:pt>
                <c:pt idx="2413">
                  <c:v>44844</c:v>
                </c:pt>
                <c:pt idx="2414">
                  <c:v>44845</c:v>
                </c:pt>
                <c:pt idx="2415">
                  <c:v>44846</c:v>
                </c:pt>
                <c:pt idx="2416">
                  <c:v>44847</c:v>
                </c:pt>
                <c:pt idx="2417">
                  <c:v>44848</c:v>
                </c:pt>
                <c:pt idx="2418">
                  <c:v>44849</c:v>
                </c:pt>
                <c:pt idx="2419">
                  <c:v>44850</c:v>
                </c:pt>
                <c:pt idx="2420">
                  <c:v>44851</c:v>
                </c:pt>
                <c:pt idx="2421">
                  <c:v>44852</c:v>
                </c:pt>
                <c:pt idx="2422">
                  <c:v>44853</c:v>
                </c:pt>
                <c:pt idx="2423">
                  <c:v>44854</c:v>
                </c:pt>
                <c:pt idx="2424">
                  <c:v>44855</c:v>
                </c:pt>
                <c:pt idx="2425">
                  <c:v>44856</c:v>
                </c:pt>
                <c:pt idx="2426">
                  <c:v>44857</c:v>
                </c:pt>
                <c:pt idx="2427">
                  <c:v>44858</c:v>
                </c:pt>
                <c:pt idx="2428">
                  <c:v>44859</c:v>
                </c:pt>
                <c:pt idx="2429">
                  <c:v>44860</c:v>
                </c:pt>
                <c:pt idx="2430">
                  <c:v>44861</c:v>
                </c:pt>
                <c:pt idx="2431">
                  <c:v>44862</c:v>
                </c:pt>
                <c:pt idx="2432">
                  <c:v>44863</c:v>
                </c:pt>
                <c:pt idx="2433">
                  <c:v>44864</c:v>
                </c:pt>
                <c:pt idx="2434">
                  <c:v>44865</c:v>
                </c:pt>
                <c:pt idx="2435">
                  <c:v>44866</c:v>
                </c:pt>
                <c:pt idx="2436">
                  <c:v>44867</c:v>
                </c:pt>
                <c:pt idx="2437">
                  <c:v>44868</c:v>
                </c:pt>
                <c:pt idx="2438">
                  <c:v>44869</c:v>
                </c:pt>
                <c:pt idx="2439">
                  <c:v>44870</c:v>
                </c:pt>
                <c:pt idx="2440">
                  <c:v>44871</c:v>
                </c:pt>
                <c:pt idx="2441">
                  <c:v>44872</c:v>
                </c:pt>
                <c:pt idx="2442">
                  <c:v>44873</c:v>
                </c:pt>
                <c:pt idx="2443">
                  <c:v>44874</c:v>
                </c:pt>
                <c:pt idx="2444">
                  <c:v>44875</c:v>
                </c:pt>
                <c:pt idx="2445">
                  <c:v>44876</c:v>
                </c:pt>
                <c:pt idx="2446">
                  <c:v>44877</c:v>
                </c:pt>
                <c:pt idx="2447">
                  <c:v>44878</c:v>
                </c:pt>
                <c:pt idx="2448">
                  <c:v>44879</c:v>
                </c:pt>
                <c:pt idx="2449">
                  <c:v>44880</c:v>
                </c:pt>
                <c:pt idx="2450">
                  <c:v>44881</c:v>
                </c:pt>
                <c:pt idx="2451">
                  <c:v>44882</c:v>
                </c:pt>
                <c:pt idx="2452">
                  <c:v>44883</c:v>
                </c:pt>
                <c:pt idx="2453">
                  <c:v>44884</c:v>
                </c:pt>
                <c:pt idx="2454">
                  <c:v>44885</c:v>
                </c:pt>
                <c:pt idx="2455">
                  <c:v>44886</c:v>
                </c:pt>
                <c:pt idx="2456">
                  <c:v>44887</c:v>
                </c:pt>
                <c:pt idx="2457">
                  <c:v>44888</c:v>
                </c:pt>
                <c:pt idx="2458">
                  <c:v>44889</c:v>
                </c:pt>
                <c:pt idx="2459">
                  <c:v>44890</c:v>
                </c:pt>
                <c:pt idx="2460">
                  <c:v>44891</c:v>
                </c:pt>
                <c:pt idx="2461">
                  <c:v>44892</c:v>
                </c:pt>
                <c:pt idx="2462">
                  <c:v>44893</c:v>
                </c:pt>
                <c:pt idx="2463">
                  <c:v>44894</c:v>
                </c:pt>
                <c:pt idx="2464">
                  <c:v>44895</c:v>
                </c:pt>
                <c:pt idx="2465">
                  <c:v>44896</c:v>
                </c:pt>
                <c:pt idx="2466">
                  <c:v>44897</c:v>
                </c:pt>
                <c:pt idx="2467">
                  <c:v>44898</c:v>
                </c:pt>
                <c:pt idx="2468">
                  <c:v>44899</c:v>
                </c:pt>
                <c:pt idx="2469">
                  <c:v>44900</c:v>
                </c:pt>
                <c:pt idx="2470">
                  <c:v>44901</c:v>
                </c:pt>
                <c:pt idx="2471">
                  <c:v>44902</c:v>
                </c:pt>
                <c:pt idx="2472">
                  <c:v>44903</c:v>
                </c:pt>
                <c:pt idx="2473">
                  <c:v>44904</c:v>
                </c:pt>
                <c:pt idx="2474">
                  <c:v>44905</c:v>
                </c:pt>
                <c:pt idx="2475">
                  <c:v>44906</c:v>
                </c:pt>
                <c:pt idx="2476">
                  <c:v>44907</c:v>
                </c:pt>
                <c:pt idx="2477">
                  <c:v>44908</c:v>
                </c:pt>
                <c:pt idx="2478">
                  <c:v>44909</c:v>
                </c:pt>
                <c:pt idx="2479">
                  <c:v>44910</c:v>
                </c:pt>
                <c:pt idx="2480">
                  <c:v>44911</c:v>
                </c:pt>
                <c:pt idx="2481">
                  <c:v>44912</c:v>
                </c:pt>
                <c:pt idx="2482">
                  <c:v>44913</c:v>
                </c:pt>
                <c:pt idx="2483">
                  <c:v>44914</c:v>
                </c:pt>
                <c:pt idx="2484">
                  <c:v>44915</c:v>
                </c:pt>
                <c:pt idx="2485">
                  <c:v>44916</c:v>
                </c:pt>
                <c:pt idx="2486">
                  <c:v>44917</c:v>
                </c:pt>
                <c:pt idx="2487">
                  <c:v>44918</c:v>
                </c:pt>
                <c:pt idx="2488">
                  <c:v>44919</c:v>
                </c:pt>
                <c:pt idx="2489">
                  <c:v>44920</c:v>
                </c:pt>
                <c:pt idx="2490">
                  <c:v>44921</c:v>
                </c:pt>
                <c:pt idx="2491">
                  <c:v>44922</c:v>
                </c:pt>
                <c:pt idx="2492">
                  <c:v>44923</c:v>
                </c:pt>
                <c:pt idx="2493">
                  <c:v>44924</c:v>
                </c:pt>
                <c:pt idx="2494">
                  <c:v>44925</c:v>
                </c:pt>
                <c:pt idx="2495">
                  <c:v>44926</c:v>
                </c:pt>
                <c:pt idx="2496">
                  <c:v>44927</c:v>
                </c:pt>
                <c:pt idx="2497">
                  <c:v>44928</c:v>
                </c:pt>
                <c:pt idx="2498">
                  <c:v>44929</c:v>
                </c:pt>
                <c:pt idx="2499">
                  <c:v>44930</c:v>
                </c:pt>
                <c:pt idx="2500">
                  <c:v>44931</c:v>
                </c:pt>
                <c:pt idx="2501">
                  <c:v>44932</c:v>
                </c:pt>
                <c:pt idx="2502">
                  <c:v>44933</c:v>
                </c:pt>
                <c:pt idx="2503">
                  <c:v>44934</c:v>
                </c:pt>
                <c:pt idx="2504">
                  <c:v>44935</c:v>
                </c:pt>
                <c:pt idx="2505">
                  <c:v>44936</c:v>
                </c:pt>
                <c:pt idx="2506">
                  <c:v>44937</c:v>
                </c:pt>
                <c:pt idx="2507">
                  <c:v>44938</c:v>
                </c:pt>
                <c:pt idx="2508">
                  <c:v>44939</c:v>
                </c:pt>
                <c:pt idx="2509">
                  <c:v>44940</c:v>
                </c:pt>
                <c:pt idx="2510">
                  <c:v>44941</c:v>
                </c:pt>
                <c:pt idx="2511">
                  <c:v>44942</c:v>
                </c:pt>
                <c:pt idx="2512">
                  <c:v>44943</c:v>
                </c:pt>
                <c:pt idx="2513">
                  <c:v>44944</c:v>
                </c:pt>
                <c:pt idx="2514">
                  <c:v>44945</c:v>
                </c:pt>
                <c:pt idx="2515">
                  <c:v>44946</c:v>
                </c:pt>
                <c:pt idx="2516">
                  <c:v>44947</c:v>
                </c:pt>
                <c:pt idx="2517">
                  <c:v>44948</c:v>
                </c:pt>
                <c:pt idx="2518">
                  <c:v>44949</c:v>
                </c:pt>
                <c:pt idx="2519">
                  <c:v>44950</c:v>
                </c:pt>
                <c:pt idx="2520">
                  <c:v>44951</c:v>
                </c:pt>
                <c:pt idx="2521">
                  <c:v>44952</c:v>
                </c:pt>
                <c:pt idx="2522">
                  <c:v>44953</c:v>
                </c:pt>
                <c:pt idx="2523">
                  <c:v>44954</c:v>
                </c:pt>
                <c:pt idx="2524">
                  <c:v>44955</c:v>
                </c:pt>
                <c:pt idx="2525">
                  <c:v>44956</c:v>
                </c:pt>
                <c:pt idx="2526">
                  <c:v>44957</c:v>
                </c:pt>
                <c:pt idx="2527">
                  <c:v>44958</c:v>
                </c:pt>
                <c:pt idx="2528">
                  <c:v>44959</c:v>
                </c:pt>
                <c:pt idx="2529">
                  <c:v>44960</c:v>
                </c:pt>
                <c:pt idx="2530">
                  <c:v>44961</c:v>
                </c:pt>
                <c:pt idx="2531">
                  <c:v>44962</c:v>
                </c:pt>
                <c:pt idx="2532">
                  <c:v>44963</c:v>
                </c:pt>
                <c:pt idx="2533">
                  <c:v>44964</c:v>
                </c:pt>
                <c:pt idx="2534">
                  <c:v>44965</c:v>
                </c:pt>
                <c:pt idx="2535">
                  <c:v>44966</c:v>
                </c:pt>
                <c:pt idx="2536">
                  <c:v>44967</c:v>
                </c:pt>
                <c:pt idx="2537">
                  <c:v>44968</c:v>
                </c:pt>
                <c:pt idx="2538">
                  <c:v>44969</c:v>
                </c:pt>
                <c:pt idx="2539">
                  <c:v>44970</c:v>
                </c:pt>
                <c:pt idx="2540">
                  <c:v>44971</c:v>
                </c:pt>
                <c:pt idx="2541">
                  <c:v>44972</c:v>
                </c:pt>
                <c:pt idx="2542">
                  <c:v>44973</c:v>
                </c:pt>
                <c:pt idx="2543">
                  <c:v>44974</c:v>
                </c:pt>
                <c:pt idx="2544">
                  <c:v>44975</c:v>
                </c:pt>
                <c:pt idx="2545">
                  <c:v>44976</c:v>
                </c:pt>
                <c:pt idx="2546">
                  <c:v>44977</c:v>
                </c:pt>
                <c:pt idx="2547">
                  <c:v>44978</c:v>
                </c:pt>
                <c:pt idx="2548">
                  <c:v>44979</c:v>
                </c:pt>
                <c:pt idx="2549">
                  <c:v>44980</c:v>
                </c:pt>
                <c:pt idx="2550">
                  <c:v>44981</c:v>
                </c:pt>
                <c:pt idx="2551">
                  <c:v>44982</c:v>
                </c:pt>
                <c:pt idx="2552">
                  <c:v>44983</c:v>
                </c:pt>
                <c:pt idx="2553">
                  <c:v>44984</c:v>
                </c:pt>
                <c:pt idx="2554">
                  <c:v>44985</c:v>
                </c:pt>
                <c:pt idx="2555">
                  <c:v>44986</c:v>
                </c:pt>
                <c:pt idx="2556">
                  <c:v>44987</c:v>
                </c:pt>
                <c:pt idx="2557">
                  <c:v>44988</c:v>
                </c:pt>
                <c:pt idx="2558">
                  <c:v>44989</c:v>
                </c:pt>
                <c:pt idx="2559">
                  <c:v>44990</c:v>
                </c:pt>
                <c:pt idx="2560">
                  <c:v>44991</c:v>
                </c:pt>
                <c:pt idx="2561">
                  <c:v>44992</c:v>
                </c:pt>
                <c:pt idx="2562">
                  <c:v>44993</c:v>
                </c:pt>
                <c:pt idx="2563">
                  <c:v>44994</c:v>
                </c:pt>
                <c:pt idx="2564">
                  <c:v>44995</c:v>
                </c:pt>
                <c:pt idx="2565">
                  <c:v>44996</c:v>
                </c:pt>
                <c:pt idx="2566">
                  <c:v>44997</c:v>
                </c:pt>
                <c:pt idx="2567">
                  <c:v>44998</c:v>
                </c:pt>
                <c:pt idx="2568">
                  <c:v>44999</c:v>
                </c:pt>
                <c:pt idx="2569">
                  <c:v>45000</c:v>
                </c:pt>
                <c:pt idx="2570">
                  <c:v>45001</c:v>
                </c:pt>
                <c:pt idx="2571">
                  <c:v>45002</c:v>
                </c:pt>
                <c:pt idx="2572">
                  <c:v>45003</c:v>
                </c:pt>
                <c:pt idx="2573">
                  <c:v>45004</c:v>
                </c:pt>
                <c:pt idx="2574">
                  <c:v>45005</c:v>
                </c:pt>
                <c:pt idx="2575">
                  <c:v>45006</c:v>
                </c:pt>
                <c:pt idx="2576">
                  <c:v>45007</c:v>
                </c:pt>
                <c:pt idx="2577">
                  <c:v>45008</c:v>
                </c:pt>
                <c:pt idx="2578">
                  <c:v>45009</c:v>
                </c:pt>
                <c:pt idx="2579">
                  <c:v>45010</c:v>
                </c:pt>
                <c:pt idx="2580">
                  <c:v>45011</c:v>
                </c:pt>
                <c:pt idx="2581">
                  <c:v>45012</c:v>
                </c:pt>
                <c:pt idx="2582">
                  <c:v>45013</c:v>
                </c:pt>
                <c:pt idx="2583">
                  <c:v>45014</c:v>
                </c:pt>
                <c:pt idx="2584">
                  <c:v>45015</c:v>
                </c:pt>
                <c:pt idx="2585">
                  <c:v>45016</c:v>
                </c:pt>
                <c:pt idx="2586">
                  <c:v>45017</c:v>
                </c:pt>
                <c:pt idx="2587">
                  <c:v>45018</c:v>
                </c:pt>
                <c:pt idx="2588">
                  <c:v>45019</c:v>
                </c:pt>
                <c:pt idx="2589">
                  <c:v>45020</c:v>
                </c:pt>
                <c:pt idx="2590">
                  <c:v>45021</c:v>
                </c:pt>
                <c:pt idx="2591">
                  <c:v>45022</c:v>
                </c:pt>
                <c:pt idx="2592">
                  <c:v>45023</c:v>
                </c:pt>
                <c:pt idx="2593">
                  <c:v>45024</c:v>
                </c:pt>
                <c:pt idx="2594">
                  <c:v>45025</c:v>
                </c:pt>
                <c:pt idx="2595">
                  <c:v>45026</c:v>
                </c:pt>
                <c:pt idx="2596">
                  <c:v>45027</c:v>
                </c:pt>
                <c:pt idx="2597">
                  <c:v>45028</c:v>
                </c:pt>
                <c:pt idx="2598">
                  <c:v>45029</c:v>
                </c:pt>
                <c:pt idx="2599">
                  <c:v>45030</c:v>
                </c:pt>
                <c:pt idx="2600">
                  <c:v>45031</c:v>
                </c:pt>
                <c:pt idx="2601">
                  <c:v>45032</c:v>
                </c:pt>
                <c:pt idx="2602">
                  <c:v>45033</c:v>
                </c:pt>
                <c:pt idx="2603">
                  <c:v>45034</c:v>
                </c:pt>
                <c:pt idx="2604">
                  <c:v>45035</c:v>
                </c:pt>
                <c:pt idx="2605">
                  <c:v>45036</c:v>
                </c:pt>
                <c:pt idx="2606">
                  <c:v>45037</c:v>
                </c:pt>
                <c:pt idx="2607">
                  <c:v>45038</c:v>
                </c:pt>
                <c:pt idx="2608">
                  <c:v>45039</c:v>
                </c:pt>
                <c:pt idx="2609">
                  <c:v>45040</c:v>
                </c:pt>
                <c:pt idx="2610">
                  <c:v>45041</c:v>
                </c:pt>
                <c:pt idx="2611">
                  <c:v>45042</c:v>
                </c:pt>
                <c:pt idx="2612">
                  <c:v>45043</c:v>
                </c:pt>
                <c:pt idx="2613">
                  <c:v>45044</c:v>
                </c:pt>
                <c:pt idx="2614">
                  <c:v>45045</c:v>
                </c:pt>
                <c:pt idx="2615">
                  <c:v>45046</c:v>
                </c:pt>
                <c:pt idx="2616">
                  <c:v>45047</c:v>
                </c:pt>
                <c:pt idx="2617">
                  <c:v>45048</c:v>
                </c:pt>
                <c:pt idx="2618">
                  <c:v>45049</c:v>
                </c:pt>
                <c:pt idx="2619">
                  <c:v>45050</c:v>
                </c:pt>
                <c:pt idx="2620">
                  <c:v>45051</c:v>
                </c:pt>
                <c:pt idx="2621">
                  <c:v>45052</c:v>
                </c:pt>
                <c:pt idx="2622">
                  <c:v>45053</c:v>
                </c:pt>
                <c:pt idx="2623">
                  <c:v>45054</c:v>
                </c:pt>
                <c:pt idx="2624">
                  <c:v>45055</c:v>
                </c:pt>
                <c:pt idx="2625">
                  <c:v>45056</c:v>
                </c:pt>
                <c:pt idx="2626">
                  <c:v>45057</c:v>
                </c:pt>
                <c:pt idx="2627">
                  <c:v>45058</c:v>
                </c:pt>
                <c:pt idx="2628">
                  <c:v>45059</c:v>
                </c:pt>
                <c:pt idx="2629">
                  <c:v>45060</c:v>
                </c:pt>
                <c:pt idx="2630">
                  <c:v>45061</c:v>
                </c:pt>
                <c:pt idx="2631">
                  <c:v>45062</c:v>
                </c:pt>
                <c:pt idx="2632">
                  <c:v>45063</c:v>
                </c:pt>
                <c:pt idx="2633">
                  <c:v>45064</c:v>
                </c:pt>
                <c:pt idx="2634">
                  <c:v>45065</c:v>
                </c:pt>
                <c:pt idx="2635">
                  <c:v>45066</c:v>
                </c:pt>
                <c:pt idx="2636">
                  <c:v>45067</c:v>
                </c:pt>
                <c:pt idx="2637">
                  <c:v>45068</c:v>
                </c:pt>
                <c:pt idx="2638">
                  <c:v>45069</c:v>
                </c:pt>
                <c:pt idx="2639">
                  <c:v>45070</c:v>
                </c:pt>
                <c:pt idx="2640">
                  <c:v>45071</c:v>
                </c:pt>
                <c:pt idx="2641">
                  <c:v>45072</c:v>
                </c:pt>
                <c:pt idx="2642">
                  <c:v>45073</c:v>
                </c:pt>
                <c:pt idx="2643">
                  <c:v>45074</c:v>
                </c:pt>
                <c:pt idx="2644">
                  <c:v>45075</c:v>
                </c:pt>
                <c:pt idx="2645">
                  <c:v>45076</c:v>
                </c:pt>
                <c:pt idx="2646">
                  <c:v>45077</c:v>
                </c:pt>
                <c:pt idx="2647">
                  <c:v>45078</c:v>
                </c:pt>
                <c:pt idx="2648">
                  <c:v>45079</c:v>
                </c:pt>
                <c:pt idx="2649">
                  <c:v>45080</c:v>
                </c:pt>
                <c:pt idx="2650">
                  <c:v>45081</c:v>
                </c:pt>
                <c:pt idx="2651">
                  <c:v>45082</c:v>
                </c:pt>
                <c:pt idx="2652">
                  <c:v>45083</c:v>
                </c:pt>
                <c:pt idx="2653">
                  <c:v>45084</c:v>
                </c:pt>
                <c:pt idx="2654">
                  <c:v>45085</c:v>
                </c:pt>
                <c:pt idx="2655">
                  <c:v>45086</c:v>
                </c:pt>
                <c:pt idx="2656">
                  <c:v>45087</c:v>
                </c:pt>
                <c:pt idx="2657">
                  <c:v>45088</c:v>
                </c:pt>
                <c:pt idx="2658">
                  <c:v>45089</c:v>
                </c:pt>
                <c:pt idx="2659">
                  <c:v>45090</c:v>
                </c:pt>
                <c:pt idx="2660">
                  <c:v>45091</c:v>
                </c:pt>
                <c:pt idx="2661">
                  <c:v>45092</c:v>
                </c:pt>
                <c:pt idx="2662">
                  <c:v>45093</c:v>
                </c:pt>
                <c:pt idx="2663">
                  <c:v>45094</c:v>
                </c:pt>
                <c:pt idx="2664">
                  <c:v>45095</c:v>
                </c:pt>
                <c:pt idx="2665">
                  <c:v>45096</c:v>
                </c:pt>
                <c:pt idx="2666">
                  <c:v>45097</c:v>
                </c:pt>
                <c:pt idx="2667">
                  <c:v>45098</c:v>
                </c:pt>
                <c:pt idx="2668">
                  <c:v>45099</c:v>
                </c:pt>
                <c:pt idx="2669">
                  <c:v>45100</c:v>
                </c:pt>
                <c:pt idx="2670">
                  <c:v>45101</c:v>
                </c:pt>
                <c:pt idx="2671">
                  <c:v>45102</c:v>
                </c:pt>
                <c:pt idx="2672">
                  <c:v>45103</c:v>
                </c:pt>
                <c:pt idx="2673">
                  <c:v>45104</c:v>
                </c:pt>
                <c:pt idx="2674">
                  <c:v>45105</c:v>
                </c:pt>
                <c:pt idx="2675">
                  <c:v>45106</c:v>
                </c:pt>
                <c:pt idx="2676">
                  <c:v>45107</c:v>
                </c:pt>
                <c:pt idx="2677">
                  <c:v>45108</c:v>
                </c:pt>
                <c:pt idx="2678">
                  <c:v>45109</c:v>
                </c:pt>
                <c:pt idx="2679">
                  <c:v>45110</c:v>
                </c:pt>
                <c:pt idx="2680">
                  <c:v>45111</c:v>
                </c:pt>
                <c:pt idx="2681">
                  <c:v>45112</c:v>
                </c:pt>
                <c:pt idx="2682">
                  <c:v>45113</c:v>
                </c:pt>
                <c:pt idx="2683">
                  <c:v>45114</c:v>
                </c:pt>
                <c:pt idx="2684">
                  <c:v>45115</c:v>
                </c:pt>
                <c:pt idx="2685">
                  <c:v>45116</c:v>
                </c:pt>
                <c:pt idx="2686">
                  <c:v>45117</c:v>
                </c:pt>
                <c:pt idx="2687">
                  <c:v>45118</c:v>
                </c:pt>
                <c:pt idx="2688">
                  <c:v>45119</c:v>
                </c:pt>
                <c:pt idx="2689">
                  <c:v>45120</c:v>
                </c:pt>
                <c:pt idx="2690">
                  <c:v>45121</c:v>
                </c:pt>
                <c:pt idx="2691">
                  <c:v>45122</c:v>
                </c:pt>
                <c:pt idx="2692">
                  <c:v>45123</c:v>
                </c:pt>
                <c:pt idx="2693">
                  <c:v>45124</c:v>
                </c:pt>
                <c:pt idx="2694">
                  <c:v>45125</c:v>
                </c:pt>
                <c:pt idx="2695">
                  <c:v>45126</c:v>
                </c:pt>
                <c:pt idx="2696">
                  <c:v>45127</c:v>
                </c:pt>
                <c:pt idx="2697">
                  <c:v>45128</c:v>
                </c:pt>
                <c:pt idx="2698">
                  <c:v>45129</c:v>
                </c:pt>
                <c:pt idx="2699">
                  <c:v>45130</c:v>
                </c:pt>
                <c:pt idx="2700">
                  <c:v>45131</c:v>
                </c:pt>
                <c:pt idx="2701">
                  <c:v>45132</c:v>
                </c:pt>
                <c:pt idx="2702">
                  <c:v>45133</c:v>
                </c:pt>
                <c:pt idx="2703">
                  <c:v>45134</c:v>
                </c:pt>
                <c:pt idx="2704">
                  <c:v>45135</c:v>
                </c:pt>
                <c:pt idx="2705">
                  <c:v>45136</c:v>
                </c:pt>
                <c:pt idx="2706">
                  <c:v>45137</c:v>
                </c:pt>
                <c:pt idx="2707">
                  <c:v>45138</c:v>
                </c:pt>
                <c:pt idx="2708">
                  <c:v>45139</c:v>
                </c:pt>
                <c:pt idx="2709">
                  <c:v>45140</c:v>
                </c:pt>
                <c:pt idx="2710">
                  <c:v>45141</c:v>
                </c:pt>
                <c:pt idx="2711">
                  <c:v>45142</c:v>
                </c:pt>
                <c:pt idx="2712">
                  <c:v>45143</c:v>
                </c:pt>
                <c:pt idx="2713">
                  <c:v>45144</c:v>
                </c:pt>
                <c:pt idx="2714">
                  <c:v>45145</c:v>
                </c:pt>
                <c:pt idx="2715">
                  <c:v>45146</c:v>
                </c:pt>
                <c:pt idx="2716">
                  <c:v>45147</c:v>
                </c:pt>
                <c:pt idx="2717">
                  <c:v>45148</c:v>
                </c:pt>
                <c:pt idx="2718">
                  <c:v>45149</c:v>
                </c:pt>
                <c:pt idx="2719">
                  <c:v>45150</c:v>
                </c:pt>
                <c:pt idx="2720">
                  <c:v>45151</c:v>
                </c:pt>
                <c:pt idx="2721">
                  <c:v>45152</c:v>
                </c:pt>
                <c:pt idx="2722">
                  <c:v>45153</c:v>
                </c:pt>
                <c:pt idx="2723">
                  <c:v>45154</c:v>
                </c:pt>
                <c:pt idx="2724">
                  <c:v>45155</c:v>
                </c:pt>
                <c:pt idx="2725">
                  <c:v>45156</c:v>
                </c:pt>
                <c:pt idx="2726">
                  <c:v>45157</c:v>
                </c:pt>
                <c:pt idx="2727">
                  <c:v>45158</c:v>
                </c:pt>
                <c:pt idx="2728">
                  <c:v>45159</c:v>
                </c:pt>
                <c:pt idx="2729">
                  <c:v>45160</c:v>
                </c:pt>
                <c:pt idx="2730">
                  <c:v>45161</c:v>
                </c:pt>
                <c:pt idx="2731">
                  <c:v>45162</c:v>
                </c:pt>
                <c:pt idx="2732">
                  <c:v>45163</c:v>
                </c:pt>
                <c:pt idx="2733">
                  <c:v>45164</c:v>
                </c:pt>
                <c:pt idx="2734">
                  <c:v>45165</c:v>
                </c:pt>
                <c:pt idx="2735">
                  <c:v>45166</c:v>
                </c:pt>
                <c:pt idx="2736">
                  <c:v>45167</c:v>
                </c:pt>
                <c:pt idx="2737">
                  <c:v>45168</c:v>
                </c:pt>
                <c:pt idx="2738">
                  <c:v>45169</c:v>
                </c:pt>
                <c:pt idx="2739">
                  <c:v>45170</c:v>
                </c:pt>
                <c:pt idx="2740">
                  <c:v>45171</c:v>
                </c:pt>
                <c:pt idx="2741">
                  <c:v>45172</c:v>
                </c:pt>
                <c:pt idx="2742">
                  <c:v>45173</c:v>
                </c:pt>
                <c:pt idx="2743">
                  <c:v>45174</c:v>
                </c:pt>
                <c:pt idx="2744">
                  <c:v>45175</c:v>
                </c:pt>
                <c:pt idx="2745">
                  <c:v>45176</c:v>
                </c:pt>
                <c:pt idx="2746">
                  <c:v>45177</c:v>
                </c:pt>
                <c:pt idx="2747">
                  <c:v>45178</c:v>
                </c:pt>
                <c:pt idx="2748">
                  <c:v>45179</c:v>
                </c:pt>
                <c:pt idx="2749">
                  <c:v>45180</c:v>
                </c:pt>
                <c:pt idx="2750">
                  <c:v>45181</c:v>
                </c:pt>
                <c:pt idx="2751">
                  <c:v>45182</c:v>
                </c:pt>
                <c:pt idx="2752">
                  <c:v>45183</c:v>
                </c:pt>
                <c:pt idx="2753">
                  <c:v>45184</c:v>
                </c:pt>
                <c:pt idx="2754">
                  <c:v>45185</c:v>
                </c:pt>
                <c:pt idx="2755">
                  <c:v>45186</c:v>
                </c:pt>
                <c:pt idx="2756">
                  <c:v>45187</c:v>
                </c:pt>
                <c:pt idx="2757">
                  <c:v>45188</c:v>
                </c:pt>
                <c:pt idx="2758">
                  <c:v>45189</c:v>
                </c:pt>
                <c:pt idx="2759">
                  <c:v>45190</c:v>
                </c:pt>
                <c:pt idx="2760">
                  <c:v>45191</c:v>
                </c:pt>
                <c:pt idx="2761">
                  <c:v>45192</c:v>
                </c:pt>
                <c:pt idx="2762">
                  <c:v>45193</c:v>
                </c:pt>
                <c:pt idx="2763">
                  <c:v>45194</c:v>
                </c:pt>
                <c:pt idx="2764">
                  <c:v>45195</c:v>
                </c:pt>
                <c:pt idx="2765">
                  <c:v>45196</c:v>
                </c:pt>
                <c:pt idx="2766">
                  <c:v>45197</c:v>
                </c:pt>
                <c:pt idx="2767">
                  <c:v>45198</c:v>
                </c:pt>
                <c:pt idx="2768">
                  <c:v>45199</c:v>
                </c:pt>
                <c:pt idx="2769">
                  <c:v>45200</c:v>
                </c:pt>
                <c:pt idx="2770">
                  <c:v>45201</c:v>
                </c:pt>
                <c:pt idx="2771">
                  <c:v>45202</c:v>
                </c:pt>
                <c:pt idx="2772">
                  <c:v>45203</c:v>
                </c:pt>
                <c:pt idx="2773">
                  <c:v>45204</c:v>
                </c:pt>
                <c:pt idx="2774">
                  <c:v>45205</c:v>
                </c:pt>
                <c:pt idx="2775">
                  <c:v>45206</c:v>
                </c:pt>
                <c:pt idx="2776">
                  <c:v>45207</c:v>
                </c:pt>
                <c:pt idx="2777">
                  <c:v>45208</c:v>
                </c:pt>
                <c:pt idx="2778">
                  <c:v>45209</c:v>
                </c:pt>
                <c:pt idx="2779">
                  <c:v>45210</c:v>
                </c:pt>
                <c:pt idx="2780">
                  <c:v>45211</c:v>
                </c:pt>
                <c:pt idx="2781">
                  <c:v>45212</c:v>
                </c:pt>
                <c:pt idx="2782">
                  <c:v>45213</c:v>
                </c:pt>
                <c:pt idx="2783">
                  <c:v>45214</c:v>
                </c:pt>
                <c:pt idx="2784">
                  <c:v>45215</c:v>
                </c:pt>
                <c:pt idx="2785">
                  <c:v>45216</c:v>
                </c:pt>
                <c:pt idx="2786">
                  <c:v>45217</c:v>
                </c:pt>
                <c:pt idx="2787">
                  <c:v>45218</c:v>
                </c:pt>
                <c:pt idx="2788">
                  <c:v>45219</c:v>
                </c:pt>
                <c:pt idx="2789">
                  <c:v>45220</c:v>
                </c:pt>
                <c:pt idx="2790">
                  <c:v>45221</c:v>
                </c:pt>
                <c:pt idx="2791">
                  <c:v>45222</c:v>
                </c:pt>
                <c:pt idx="2792">
                  <c:v>45223</c:v>
                </c:pt>
                <c:pt idx="2793">
                  <c:v>45224</c:v>
                </c:pt>
                <c:pt idx="2794">
                  <c:v>45225</c:v>
                </c:pt>
                <c:pt idx="2795">
                  <c:v>45226</c:v>
                </c:pt>
                <c:pt idx="2796">
                  <c:v>45227</c:v>
                </c:pt>
                <c:pt idx="2797">
                  <c:v>45228</c:v>
                </c:pt>
                <c:pt idx="2798">
                  <c:v>45229</c:v>
                </c:pt>
                <c:pt idx="2799">
                  <c:v>45230</c:v>
                </c:pt>
                <c:pt idx="2800">
                  <c:v>45231</c:v>
                </c:pt>
                <c:pt idx="2801">
                  <c:v>45232</c:v>
                </c:pt>
                <c:pt idx="2802">
                  <c:v>45233</c:v>
                </c:pt>
                <c:pt idx="2803">
                  <c:v>45234</c:v>
                </c:pt>
                <c:pt idx="2804">
                  <c:v>45235</c:v>
                </c:pt>
                <c:pt idx="2805">
                  <c:v>45236</c:v>
                </c:pt>
                <c:pt idx="2806">
                  <c:v>45237</c:v>
                </c:pt>
                <c:pt idx="2807">
                  <c:v>45238</c:v>
                </c:pt>
                <c:pt idx="2808">
                  <c:v>45239</c:v>
                </c:pt>
                <c:pt idx="2809">
                  <c:v>45240</c:v>
                </c:pt>
                <c:pt idx="2810">
                  <c:v>45241</c:v>
                </c:pt>
                <c:pt idx="2811">
                  <c:v>45242</c:v>
                </c:pt>
                <c:pt idx="2812">
                  <c:v>45243</c:v>
                </c:pt>
                <c:pt idx="2813">
                  <c:v>45244</c:v>
                </c:pt>
                <c:pt idx="2814">
                  <c:v>45245</c:v>
                </c:pt>
                <c:pt idx="2815">
                  <c:v>45246</c:v>
                </c:pt>
                <c:pt idx="2816">
                  <c:v>45247</c:v>
                </c:pt>
                <c:pt idx="2817">
                  <c:v>45248</c:v>
                </c:pt>
                <c:pt idx="2818">
                  <c:v>45249</c:v>
                </c:pt>
                <c:pt idx="2819">
                  <c:v>45250</c:v>
                </c:pt>
                <c:pt idx="2820">
                  <c:v>45251</c:v>
                </c:pt>
                <c:pt idx="2821">
                  <c:v>45252</c:v>
                </c:pt>
                <c:pt idx="2822">
                  <c:v>45253</c:v>
                </c:pt>
                <c:pt idx="2823">
                  <c:v>45254</c:v>
                </c:pt>
                <c:pt idx="2824">
                  <c:v>45255</c:v>
                </c:pt>
                <c:pt idx="2825">
                  <c:v>45256</c:v>
                </c:pt>
                <c:pt idx="2826">
                  <c:v>45257</c:v>
                </c:pt>
                <c:pt idx="2827">
                  <c:v>45258</c:v>
                </c:pt>
                <c:pt idx="2828">
                  <c:v>45259</c:v>
                </c:pt>
                <c:pt idx="2829">
                  <c:v>45260</c:v>
                </c:pt>
                <c:pt idx="2830">
                  <c:v>45261</c:v>
                </c:pt>
                <c:pt idx="2831">
                  <c:v>45262</c:v>
                </c:pt>
                <c:pt idx="2832">
                  <c:v>45263</c:v>
                </c:pt>
                <c:pt idx="2833">
                  <c:v>45264</c:v>
                </c:pt>
                <c:pt idx="2834">
                  <c:v>45265</c:v>
                </c:pt>
                <c:pt idx="2835">
                  <c:v>45266</c:v>
                </c:pt>
                <c:pt idx="2836">
                  <c:v>45267</c:v>
                </c:pt>
                <c:pt idx="2837">
                  <c:v>45268</c:v>
                </c:pt>
                <c:pt idx="2838">
                  <c:v>45269</c:v>
                </c:pt>
                <c:pt idx="2839">
                  <c:v>45270</c:v>
                </c:pt>
                <c:pt idx="2840">
                  <c:v>45271</c:v>
                </c:pt>
                <c:pt idx="2841">
                  <c:v>45272</c:v>
                </c:pt>
                <c:pt idx="2842">
                  <c:v>45273</c:v>
                </c:pt>
                <c:pt idx="2843">
                  <c:v>45274</c:v>
                </c:pt>
                <c:pt idx="2844">
                  <c:v>45275</c:v>
                </c:pt>
                <c:pt idx="2845">
                  <c:v>45276</c:v>
                </c:pt>
                <c:pt idx="2846">
                  <c:v>45277</c:v>
                </c:pt>
                <c:pt idx="2847">
                  <c:v>45278</c:v>
                </c:pt>
                <c:pt idx="2848">
                  <c:v>45279</c:v>
                </c:pt>
                <c:pt idx="2849">
                  <c:v>45280</c:v>
                </c:pt>
                <c:pt idx="2850">
                  <c:v>45281</c:v>
                </c:pt>
                <c:pt idx="2851">
                  <c:v>45282</c:v>
                </c:pt>
                <c:pt idx="2852">
                  <c:v>45283</c:v>
                </c:pt>
                <c:pt idx="2853">
                  <c:v>45284</c:v>
                </c:pt>
                <c:pt idx="2854">
                  <c:v>45285</c:v>
                </c:pt>
                <c:pt idx="2855">
                  <c:v>45286</c:v>
                </c:pt>
                <c:pt idx="2856">
                  <c:v>45287</c:v>
                </c:pt>
                <c:pt idx="2857">
                  <c:v>45288</c:v>
                </c:pt>
                <c:pt idx="2858">
                  <c:v>45289</c:v>
                </c:pt>
                <c:pt idx="2859">
                  <c:v>45290</c:v>
                </c:pt>
                <c:pt idx="2860">
                  <c:v>45291</c:v>
                </c:pt>
                <c:pt idx="2861">
                  <c:v>45292</c:v>
                </c:pt>
                <c:pt idx="2862">
                  <c:v>45293</c:v>
                </c:pt>
                <c:pt idx="2863">
                  <c:v>45294</c:v>
                </c:pt>
                <c:pt idx="2864">
                  <c:v>45295</c:v>
                </c:pt>
                <c:pt idx="2865">
                  <c:v>45296</c:v>
                </c:pt>
                <c:pt idx="2866">
                  <c:v>45297</c:v>
                </c:pt>
                <c:pt idx="2867">
                  <c:v>45298</c:v>
                </c:pt>
                <c:pt idx="2868">
                  <c:v>45299</c:v>
                </c:pt>
                <c:pt idx="2869">
                  <c:v>45300</c:v>
                </c:pt>
                <c:pt idx="2870">
                  <c:v>45301</c:v>
                </c:pt>
                <c:pt idx="2871">
                  <c:v>45302</c:v>
                </c:pt>
                <c:pt idx="2872">
                  <c:v>45303</c:v>
                </c:pt>
                <c:pt idx="2873">
                  <c:v>45304</c:v>
                </c:pt>
                <c:pt idx="2874">
                  <c:v>45305</c:v>
                </c:pt>
                <c:pt idx="2875">
                  <c:v>45306</c:v>
                </c:pt>
                <c:pt idx="2876">
                  <c:v>45307</c:v>
                </c:pt>
                <c:pt idx="2877">
                  <c:v>45308</c:v>
                </c:pt>
              </c:numCache>
            </c:numRef>
          </c:cat>
          <c:val>
            <c:numRef>
              <c:f>Baserate_FRA!$M$3:$M$2880</c:f>
              <c:numCache>
                <c:formatCode>General</c:formatCode>
                <c:ptCount val="2878"/>
                <c:pt idx="0">
                  <c:v>1.39</c:v>
                </c:pt>
                <c:pt idx="1">
                  <c:v>1.39</c:v>
                </c:pt>
                <c:pt idx="2">
                  <c:v>1.39</c:v>
                </c:pt>
                <c:pt idx="3">
                  <c:v>1.39</c:v>
                </c:pt>
                <c:pt idx="4">
                  <c:v>1.39</c:v>
                </c:pt>
                <c:pt idx="5">
                  <c:v>1.39</c:v>
                </c:pt>
                <c:pt idx="6">
                  <c:v>1.39</c:v>
                </c:pt>
                <c:pt idx="7">
                  <c:v>1.39</c:v>
                </c:pt>
                <c:pt idx="8">
                  <c:v>1.39</c:v>
                </c:pt>
                <c:pt idx="9">
                  <c:v>1.39</c:v>
                </c:pt>
                <c:pt idx="10">
                  <c:v>1.39</c:v>
                </c:pt>
                <c:pt idx="11">
                  <c:v>1.39</c:v>
                </c:pt>
                <c:pt idx="12">
                  <c:v>1.39</c:v>
                </c:pt>
                <c:pt idx="13">
                  <c:v>1.39</c:v>
                </c:pt>
                <c:pt idx="14">
                  <c:v>1.39</c:v>
                </c:pt>
                <c:pt idx="15">
                  <c:v>1.39</c:v>
                </c:pt>
                <c:pt idx="16">
                  <c:v>1.38</c:v>
                </c:pt>
                <c:pt idx="17">
                  <c:v>1.38</c:v>
                </c:pt>
                <c:pt idx="18">
                  <c:v>1.38</c:v>
                </c:pt>
                <c:pt idx="19">
                  <c:v>1.38</c:v>
                </c:pt>
                <c:pt idx="20">
                  <c:v>1.38</c:v>
                </c:pt>
                <c:pt idx="21">
                  <c:v>1.38</c:v>
                </c:pt>
                <c:pt idx="22">
                  <c:v>1.38</c:v>
                </c:pt>
                <c:pt idx="23">
                  <c:v>1.38</c:v>
                </c:pt>
                <c:pt idx="24">
                  <c:v>1.38</c:v>
                </c:pt>
                <c:pt idx="25">
                  <c:v>1.38</c:v>
                </c:pt>
                <c:pt idx="26">
                  <c:v>1.38</c:v>
                </c:pt>
                <c:pt idx="27">
                  <c:v>1.38</c:v>
                </c:pt>
                <c:pt idx="28">
                  <c:v>1.38</c:v>
                </c:pt>
                <c:pt idx="29">
                  <c:v>1.38</c:v>
                </c:pt>
                <c:pt idx="30">
                  <c:v>1.38</c:v>
                </c:pt>
                <c:pt idx="31">
                  <c:v>1.37</c:v>
                </c:pt>
                <c:pt idx="32">
                  <c:v>1.37</c:v>
                </c:pt>
                <c:pt idx="33">
                  <c:v>1.37</c:v>
                </c:pt>
                <c:pt idx="34">
                  <c:v>1.37</c:v>
                </c:pt>
                <c:pt idx="35">
                  <c:v>1.37</c:v>
                </c:pt>
                <c:pt idx="36">
                  <c:v>1.37</c:v>
                </c:pt>
                <c:pt idx="37">
                  <c:v>1.37</c:v>
                </c:pt>
                <c:pt idx="38">
                  <c:v>1.36</c:v>
                </c:pt>
                <c:pt idx="39">
                  <c:v>1.36</c:v>
                </c:pt>
                <c:pt idx="40">
                  <c:v>1.37</c:v>
                </c:pt>
                <c:pt idx="41">
                  <c:v>1.36</c:v>
                </c:pt>
                <c:pt idx="42">
                  <c:v>1.36</c:v>
                </c:pt>
                <c:pt idx="43">
                  <c:v>1.36</c:v>
                </c:pt>
                <c:pt idx="44">
                  <c:v>1.36</c:v>
                </c:pt>
                <c:pt idx="45">
                  <c:v>1.36</c:v>
                </c:pt>
                <c:pt idx="46">
                  <c:v>1.36</c:v>
                </c:pt>
                <c:pt idx="47">
                  <c:v>1.36</c:v>
                </c:pt>
                <c:pt idx="48">
                  <c:v>1.37</c:v>
                </c:pt>
                <c:pt idx="49">
                  <c:v>1.36</c:v>
                </c:pt>
                <c:pt idx="50">
                  <c:v>1.36</c:v>
                </c:pt>
                <c:pt idx="51">
                  <c:v>1.36</c:v>
                </c:pt>
                <c:pt idx="52">
                  <c:v>1.36</c:v>
                </c:pt>
                <c:pt idx="53">
                  <c:v>1.36</c:v>
                </c:pt>
                <c:pt idx="54">
                  <c:v>1.36</c:v>
                </c:pt>
                <c:pt idx="55">
                  <c:v>1.36</c:v>
                </c:pt>
                <c:pt idx="56">
                  <c:v>1.36</c:v>
                </c:pt>
                <c:pt idx="57">
                  <c:v>1.36</c:v>
                </c:pt>
                <c:pt idx="58">
                  <c:v>1.35</c:v>
                </c:pt>
                <c:pt idx="59">
                  <c:v>1.35</c:v>
                </c:pt>
                <c:pt idx="60">
                  <c:v>1.35</c:v>
                </c:pt>
                <c:pt idx="61">
                  <c:v>1.35</c:v>
                </c:pt>
                <c:pt idx="62">
                  <c:v>1.35</c:v>
                </c:pt>
                <c:pt idx="63">
                  <c:v>1.35</c:v>
                </c:pt>
                <c:pt idx="64">
                  <c:v>1.35</c:v>
                </c:pt>
                <c:pt idx="65">
                  <c:v>1.35</c:v>
                </c:pt>
                <c:pt idx="66">
                  <c:v>1.35</c:v>
                </c:pt>
                <c:pt idx="67">
                  <c:v>1.35</c:v>
                </c:pt>
                <c:pt idx="68">
                  <c:v>1.36</c:v>
                </c:pt>
                <c:pt idx="69">
                  <c:v>1.36</c:v>
                </c:pt>
                <c:pt idx="70">
                  <c:v>1.36</c:v>
                </c:pt>
                <c:pt idx="71">
                  <c:v>1.35</c:v>
                </c:pt>
                <c:pt idx="72">
                  <c:v>1.36</c:v>
                </c:pt>
                <c:pt idx="73">
                  <c:v>1.36</c:v>
                </c:pt>
                <c:pt idx="74">
                  <c:v>1.36</c:v>
                </c:pt>
                <c:pt idx="75">
                  <c:v>1.36</c:v>
                </c:pt>
                <c:pt idx="76">
                  <c:v>1.36</c:v>
                </c:pt>
                <c:pt idx="77">
                  <c:v>1.35</c:v>
                </c:pt>
                <c:pt idx="78">
                  <c:v>1.36</c:v>
                </c:pt>
                <c:pt idx="79">
                  <c:v>1.36</c:v>
                </c:pt>
                <c:pt idx="80">
                  <c:v>1.35</c:v>
                </c:pt>
                <c:pt idx="81">
                  <c:v>1.35</c:v>
                </c:pt>
                <c:pt idx="82">
                  <c:v>1.35</c:v>
                </c:pt>
                <c:pt idx="83">
                  <c:v>1.35</c:v>
                </c:pt>
                <c:pt idx="84">
                  <c:v>1.35</c:v>
                </c:pt>
                <c:pt idx="85">
                  <c:v>1.35</c:v>
                </c:pt>
                <c:pt idx="86">
                  <c:v>1.35</c:v>
                </c:pt>
                <c:pt idx="87" formatCode="0.00">
                  <c:v>1.36</c:v>
                </c:pt>
                <c:pt idx="88" formatCode="0.00">
                  <c:v>1.35</c:v>
                </c:pt>
                <c:pt idx="89" formatCode="0.00">
                  <c:v>1.35</c:v>
                </c:pt>
                <c:pt idx="90" formatCode="0.00">
                  <c:v>1.35</c:v>
                </c:pt>
                <c:pt idx="91" formatCode="0.00">
                  <c:v>1.35</c:v>
                </c:pt>
                <c:pt idx="92" formatCode="0.00">
                  <c:v>1.35</c:v>
                </c:pt>
                <c:pt idx="93" formatCode="0.00">
                  <c:v>1.35</c:v>
                </c:pt>
                <c:pt idx="94" formatCode="0.00">
                  <c:v>1.34</c:v>
                </c:pt>
                <c:pt idx="95" formatCode="0.00">
                  <c:v>1.34</c:v>
                </c:pt>
                <c:pt idx="96" formatCode="0.00">
                  <c:v>1.35</c:v>
                </c:pt>
                <c:pt idx="97" formatCode="0.00">
                  <c:v>1.35</c:v>
                </c:pt>
                <c:pt idx="98" formatCode="0.00">
                  <c:v>1.35</c:v>
                </c:pt>
                <c:pt idx="99" formatCode="0.00">
                  <c:v>1.35</c:v>
                </c:pt>
                <c:pt idx="100" formatCode="0.00">
                  <c:v>1.35</c:v>
                </c:pt>
                <c:pt idx="101" formatCode="0.00">
                  <c:v>1.35</c:v>
                </c:pt>
                <c:pt idx="102" formatCode="0.00">
                  <c:v>1.35</c:v>
                </c:pt>
                <c:pt idx="103" formatCode="0.00">
                  <c:v>1.35</c:v>
                </c:pt>
                <c:pt idx="104" formatCode="0.00">
                  <c:v>1.35</c:v>
                </c:pt>
                <c:pt idx="105" formatCode="0.00">
                  <c:v>1.35</c:v>
                </c:pt>
                <c:pt idx="106" formatCode="0.00">
                  <c:v>1.35</c:v>
                </c:pt>
                <c:pt idx="107" formatCode="0.00">
                  <c:v>1.35</c:v>
                </c:pt>
                <c:pt idx="108" formatCode="0.00">
                  <c:v>1.35</c:v>
                </c:pt>
                <c:pt idx="109" formatCode="0.00">
                  <c:v>1.35</c:v>
                </c:pt>
                <c:pt idx="110" formatCode="0.00">
                  <c:v>1.35</c:v>
                </c:pt>
                <c:pt idx="111" formatCode="0.00">
                  <c:v>1.35</c:v>
                </c:pt>
                <c:pt idx="112" formatCode="0.00">
                  <c:v>1.35</c:v>
                </c:pt>
                <c:pt idx="113" formatCode="0.00">
                  <c:v>1.35</c:v>
                </c:pt>
                <c:pt idx="114" formatCode="0.00">
                  <c:v>1.35</c:v>
                </c:pt>
                <c:pt idx="115" formatCode="0.00">
                  <c:v>1.35</c:v>
                </c:pt>
                <c:pt idx="116" formatCode="0.00">
                  <c:v>1.35</c:v>
                </c:pt>
                <c:pt idx="117" formatCode="0.00">
                  <c:v>1.35</c:v>
                </c:pt>
                <c:pt idx="118" formatCode="0.00">
                  <c:v>1.35</c:v>
                </c:pt>
                <c:pt idx="119" formatCode="0.00">
                  <c:v>1.35</c:v>
                </c:pt>
                <c:pt idx="120" formatCode="0.00">
                  <c:v>1.35</c:v>
                </c:pt>
                <c:pt idx="121" formatCode="0.00">
                  <c:v>1.34</c:v>
                </c:pt>
                <c:pt idx="122" formatCode="0.00">
                  <c:v>1.32</c:v>
                </c:pt>
                <c:pt idx="123" formatCode="0.00">
                  <c:v>1.32</c:v>
                </c:pt>
                <c:pt idx="124" formatCode="0.00">
                  <c:v>1.32</c:v>
                </c:pt>
                <c:pt idx="125" formatCode="0.00">
                  <c:v>1.31</c:v>
                </c:pt>
                <c:pt idx="126" formatCode="0.00">
                  <c:v>1.3</c:v>
                </c:pt>
                <c:pt idx="127" formatCode="0.00">
                  <c:v>1.3</c:v>
                </c:pt>
                <c:pt idx="128" formatCode="0.00">
                  <c:v>1.3</c:v>
                </c:pt>
                <c:pt idx="129" formatCode="0.00">
                  <c:v>1.3</c:v>
                </c:pt>
                <c:pt idx="130" formatCode="0.00">
                  <c:v>1.3</c:v>
                </c:pt>
                <c:pt idx="131" formatCode="0.00">
                  <c:v>1.3</c:v>
                </c:pt>
                <c:pt idx="132" formatCode="0.00">
                  <c:v>1.3</c:v>
                </c:pt>
                <c:pt idx="133" formatCode="0.00">
                  <c:v>1.3</c:v>
                </c:pt>
                <c:pt idx="134" formatCode="0.00">
                  <c:v>1.29</c:v>
                </c:pt>
                <c:pt idx="135" formatCode="0.00">
                  <c:v>1.27</c:v>
                </c:pt>
                <c:pt idx="136" formatCode="0.00">
                  <c:v>1.25</c:v>
                </c:pt>
                <c:pt idx="137" formatCode="0.00">
                  <c:v>1.26</c:v>
                </c:pt>
                <c:pt idx="138" formatCode="0.00">
                  <c:v>1.26</c:v>
                </c:pt>
                <c:pt idx="139" formatCode="0.00">
                  <c:v>1.25</c:v>
                </c:pt>
                <c:pt idx="140" formatCode="0.00">
                  <c:v>1.25</c:v>
                </c:pt>
                <c:pt idx="141" formatCode="0.00">
                  <c:v>1.25</c:v>
                </c:pt>
                <c:pt idx="142" formatCode="0.00">
                  <c:v>1.0900000000000001</c:v>
                </c:pt>
                <c:pt idx="143" formatCode="0.00">
                  <c:v>1.08</c:v>
                </c:pt>
                <c:pt idx="144" formatCode="0.00">
                  <c:v>1.07</c:v>
                </c:pt>
                <c:pt idx="145" formatCode="0.00">
                  <c:v>1.08</c:v>
                </c:pt>
                <c:pt idx="146" formatCode="0.00">
                  <c:v>1.08</c:v>
                </c:pt>
                <c:pt idx="147" formatCode="0.00">
                  <c:v>1.08</c:v>
                </c:pt>
                <c:pt idx="148" formatCode="0.00">
                  <c:v>1.08</c:v>
                </c:pt>
                <c:pt idx="149" formatCode="0.00">
                  <c:v>1.08</c:v>
                </c:pt>
                <c:pt idx="150" formatCode="0.00">
                  <c:v>1.08</c:v>
                </c:pt>
                <c:pt idx="151" formatCode="0.00">
                  <c:v>1.07</c:v>
                </c:pt>
                <c:pt idx="152" formatCode="0.00">
                  <c:v>1.06</c:v>
                </c:pt>
                <c:pt idx="153" formatCode="0.00">
                  <c:v>1.06</c:v>
                </c:pt>
                <c:pt idx="154" formatCode="0.00">
                  <c:v>1.06</c:v>
                </c:pt>
                <c:pt idx="155" formatCode="0.00">
                  <c:v>1.06</c:v>
                </c:pt>
                <c:pt idx="156" formatCode="0.00">
                  <c:v>1.06</c:v>
                </c:pt>
                <c:pt idx="157" formatCode="0.00">
                  <c:v>1.05</c:v>
                </c:pt>
                <c:pt idx="158" formatCode="0.00">
                  <c:v>1.04</c:v>
                </c:pt>
                <c:pt idx="159" formatCode="0.00">
                  <c:v>1.04</c:v>
                </c:pt>
                <c:pt idx="160" formatCode="0.00">
                  <c:v>1.04</c:v>
                </c:pt>
                <c:pt idx="161" formatCode="0.00">
                  <c:v>1.04</c:v>
                </c:pt>
                <c:pt idx="162" formatCode="0.00">
                  <c:v>1.03</c:v>
                </c:pt>
                <c:pt idx="163" formatCode="0.00">
                  <c:v>1.03</c:v>
                </c:pt>
                <c:pt idx="164" formatCode="0.00">
                  <c:v>1.02</c:v>
                </c:pt>
                <c:pt idx="165" formatCode="0.00">
                  <c:v>1.02</c:v>
                </c:pt>
                <c:pt idx="166" formatCode="0.00">
                  <c:v>0.94</c:v>
                </c:pt>
                <c:pt idx="167" formatCode="0.00">
                  <c:v>0.96</c:v>
                </c:pt>
                <c:pt idx="168" formatCode="0.00">
                  <c:v>0.96</c:v>
                </c:pt>
                <c:pt idx="169" formatCode="0.00">
                  <c:v>0.96</c:v>
                </c:pt>
                <c:pt idx="170" formatCode="0.00">
                  <c:v>0.96</c:v>
                </c:pt>
                <c:pt idx="171" formatCode="0.00">
                  <c:v>0.97</c:v>
                </c:pt>
                <c:pt idx="172" formatCode="0.00">
                  <c:v>0.96</c:v>
                </c:pt>
                <c:pt idx="173" formatCode="0.00">
                  <c:v>0.98</c:v>
                </c:pt>
                <c:pt idx="174" formatCode="0.00">
                  <c:v>0.97</c:v>
                </c:pt>
                <c:pt idx="175" formatCode="0.00">
                  <c:v>0.98</c:v>
                </c:pt>
                <c:pt idx="176" formatCode="0.00">
                  <c:v>0.99</c:v>
                </c:pt>
                <c:pt idx="177" formatCode="0.00">
                  <c:v>0.98</c:v>
                </c:pt>
                <c:pt idx="178" formatCode="0.00">
                  <c:v>0.99</c:v>
                </c:pt>
                <c:pt idx="179" formatCode="0.00">
                  <c:v>0.99</c:v>
                </c:pt>
                <c:pt idx="180" formatCode="0.00">
                  <c:v>0.99</c:v>
                </c:pt>
                <c:pt idx="181" formatCode="0.00">
                  <c:v>0.99</c:v>
                </c:pt>
                <c:pt idx="182" formatCode="0.00">
                  <c:v>1</c:v>
                </c:pt>
                <c:pt idx="183" formatCode="0.00">
                  <c:v>0.99</c:v>
                </c:pt>
                <c:pt idx="184" formatCode="0.00">
                  <c:v>0.99</c:v>
                </c:pt>
                <c:pt idx="185" formatCode="0.00">
                  <c:v>0.97</c:v>
                </c:pt>
                <c:pt idx="186" formatCode="0.00">
                  <c:v>0.97</c:v>
                </c:pt>
                <c:pt idx="187" formatCode="0.00">
                  <c:v>0.96</c:v>
                </c:pt>
                <c:pt idx="188" formatCode="0.00">
                  <c:v>0.97</c:v>
                </c:pt>
                <c:pt idx="189" formatCode="0.00">
                  <c:v>0.97</c:v>
                </c:pt>
                <c:pt idx="190" formatCode="0.00">
                  <c:v>0.97</c:v>
                </c:pt>
                <c:pt idx="191" formatCode="0.00">
                  <c:v>0.97</c:v>
                </c:pt>
                <c:pt idx="192" formatCode="0.00">
                  <c:v>0.97</c:v>
                </c:pt>
                <c:pt idx="193" formatCode="0.00">
                  <c:v>0.97</c:v>
                </c:pt>
                <c:pt idx="194" formatCode="0.00">
                  <c:v>0.97</c:v>
                </c:pt>
                <c:pt idx="195" formatCode="0.00">
                  <c:v>0.97</c:v>
                </c:pt>
                <c:pt idx="196" formatCode="0.00">
                  <c:v>0.96</c:v>
                </c:pt>
                <c:pt idx="197" formatCode="0.00">
                  <c:v>0.95</c:v>
                </c:pt>
                <c:pt idx="198" formatCode="0.00">
                  <c:v>0.95</c:v>
                </c:pt>
                <c:pt idx="199" formatCode="0.00">
                  <c:v>0.96</c:v>
                </c:pt>
                <c:pt idx="200" formatCode="0.00">
                  <c:v>0.96</c:v>
                </c:pt>
                <c:pt idx="201" formatCode="0.00">
                  <c:v>0.96</c:v>
                </c:pt>
                <c:pt idx="202" formatCode="0.00">
                  <c:v>0.96</c:v>
                </c:pt>
                <c:pt idx="203" formatCode="0.00">
                  <c:v>0.96</c:v>
                </c:pt>
                <c:pt idx="204" formatCode="0.00">
                  <c:v>0.96</c:v>
                </c:pt>
                <c:pt idx="205" formatCode="0.00">
                  <c:v>0.96</c:v>
                </c:pt>
                <c:pt idx="206" formatCode="0.00">
                  <c:v>0.96</c:v>
                </c:pt>
                <c:pt idx="207" formatCode="0.00">
                  <c:v>0.96</c:v>
                </c:pt>
                <c:pt idx="208" formatCode="0.00">
                  <c:v>0.96</c:v>
                </c:pt>
                <c:pt idx="209" formatCode="0.00">
                  <c:v>0.96</c:v>
                </c:pt>
                <c:pt idx="210" formatCode="0.00">
                  <c:v>0.96</c:v>
                </c:pt>
                <c:pt idx="211" formatCode="0.00">
                  <c:v>0.96</c:v>
                </c:pt>
                <c:pt idx="212" formatCode="0.00">
                  <c:v>0.96</c:v>
                </c:pt>
                <c:pt idx="213" formatCode="0.00">
                  <c:v>0.96</c:v>
                </c:pt>
                <c:pt idx="214" formatCode="0.00">
                  <c:v>0.96</c:v>
                </c:pt>
                <c:pt idx="215" formatCode="0.00">
                  <c:v>0.96</c:v>
                </c:pt>
                <c:pt idx="216" formatCode="0.00">
                  <c:v>0.96</c:v>
                </c:pt>
                <c:pt idx="217" formatCode="0.00">
                  <c:v>0.96</c:v>
                </c:pt>
                <c:pt idx="218" formatCode="0.00">
                  <c:v>0.95</c:v>
                </c:pt>
                <c:pt idx="219" formatCode="0.00">
                  <c:v>0.95</c:v>
                </c:pt>
                <c:pt idx="220" formatCode="0.00">
                  <c:v>0.93</c:v>
                </c:pt>
                <c:pt idx="221" formatCode="0.00">
                  <c:v>0.9</c:v>
                </c:pt>
                <c:pt idx="222" formatCode="0.00">
                  <c:v>0.88</c:v>
                </c:pt>
                <c:pt idx="223" formatCode="0.00">
                  <c:v>0.89</c:v>
                </c:pt>
                <c:pt idx="224" formatCode="0.00">
                  <c:v>0.88</c:v>
                </c:pt>
                <c:pt idx="225" formatCode="0.00">
                  <c:v>0.88</c:v>
                </c:pt>
                <c:pt idx="226" formatCode="0.00">
                  <c:v>0.88</c:v>
                </c:pt>
                <c:pt idx="227" formatCode="0.00">
                  <c:v>0.88</c:v>
                </c:pt>
                <c:pt idx="228" formatCode="0.00">
                  <c:v>0.88</c:v>
                </c:pt>
                <c:pt idx="229" formatCode="0.00">
                  <c:v>0.88</c:v>
                </c:pt>
                <c:pt idx="230" formatCode="0.00">
                  <c:v>0.88</c:v>
                </c:pt>
                <c:pt idx="231" formatCode="0.00">
                  <c:v>0.88</c:v>
                </c:pt>
                <c:pt idx="232" formatCode="0.00">
                  <c:v>0.88</c:v>
                </c:pt>
                <c:pt idx="233" formatCode="0.00">
                  <c:v>0.88</c:v>
                </c:pt>
                <c:pt idx="234" formatCode="0.00">
                  <c:v>0.89</c:v>
                </c:pt>
                <c:pt idx="235" formatCode="0.00">
                  <c:v>0.89</c:v>
                </c:pt>
                <c:pt idx="236" formatCode="0.00">
                  <c:v>0.88</c:v>
                </c:pt>
                <c:pt idx="237" formatCode="0.00">
                  <c:v>0.88</c:v>
                </c:pt>
                <c:pt idx="238" formatCode="0.00">
                  <c:v>0.88</c:v>
                </c:pt>
                <c:pt idx="239" formatCode="0.00">
                  <c:v>0.88</c:v>
                </c:pt>
                <c:pt idx="240" formatCode="0.00">
                  <c:v>0.86</c:v>
                </c:pt>
                <c:pt idx="241" formatCode="0.00">
                  <c:v>0.86</c:v>
                </c:pt>
                <c:pt idx="242" formatCode="0.00">
                  <c:v>0.85</c:v>
                </c:pt>
                <c:pt idx="243" formatCode="0.00">
                  <c:v>0.84</c:v>
                </c:pt>
                <c:pt idx="244" formatCode="0.00">
                  <c:v>0.84</c:v>
                </c:pt>
                <c:pt idx="245" formatCode="0.00">
                  <c:v>0.84</c:v>
                </c:pt>
                <c:pt idx="246" formatCode="0.00">
                  <c:v>0.84</c:v>
                </c:pt>
                <c:pt idx="247" formatCode="0.00">
                  <c:v>0.84</c:v>
                </c:pt>
                <c:pt idx="248" formatCode="0.00">
                  <c:v>0.84</c:v>
                </c:pt>
                <c:pt idx="249" formatCode="0.00">
                  <c:v>0.83</c:v>
                </c:pt>
                <c:pt idx="250" formatCode="0.00">
                  <c:v>0.83</c:v>
                </c:pt>
                <c:pt idx="251" formatCode="0.00">
                  <c:v>0.83</c:v>
                </c:pt>
                <c:pt idx="252" formatCode="0.00">
                  <c:v>0.83</c:v>
                </c:pt>
                <c:pt idx="253" formatCode="0.00">
                  <c:v>0.83</c:v>
                </c:pt>
                <c:pt idx="254" formatCode="0.00">
                  <c:v>0.83</c:v>
                </c:pt>
                <c:pt idx="255" formatCode="0.00">
                  <c:v>0.83</c:v>
                </c:pt>
                <c:pt idx="256" formatCode="0.00">
                  <c:v>0.83</c:v>
                </c:pt>
                <c:pt idx="257" formatCode="0.00">
                  <c:v>0.83</c:v>
                </c:pt>
                <c:pt idx="258" formatCode="0.00">
                  <c:v>0.83</c:v>
                </c:pt>
                <c:pt idx="259" formatCode="0.00">
                  <c:v>0.83</c:v>
                </c:pt>
                <c:pt idx="260" formatCode="0.00">
                  <c:v>0.83</c:v>
                </c:pt>
                <c:pt idx="261" formatCode="0.00">
                  <c:v>0.82</c:v>
                </c:pt>
                <c:pt idx="262" formatCode="0.00">
                  <c:v>0.82</c:v>
                </c:pt>
                <c:pt idx="263" formatCode="0.00">
                  <c:v>0.82</c:v>
                </c:pt>
                <c:pt idx="264" formatCode="0.00">
                  <c:v>0.82</c:v>
                </c:pt>
                <c:pt idx="265" formatCode="0.00">
                  <c:v>0.82</c:v>
                </c:pt>
                <c:pt idx="266" formatCode="0.00">
                  <c:v>0.82</c:v>
                </c:pt>
                <c:pt idx="267" formatCode="0.00">
                  <c:v>0.81</c:v>
                </c:pt>
                <c:pt idx="268" formatCode="0.00">
                  <c:v>0.8</c:v>
                </c:pt>
                <c:pt idx="269" formatCode="0.00">
                  <c:v>0.8</c:v>
                </c:pt>
                <c:pt idx="270" formatCode="0.00">
                  <c:v>0.8</c:v>
                </c:pt>
                <c:pt idx="271" formatCode="0.00">
                  <c:v>0.8</c:v>
                </c:pt>
                <c:pt idx="272" formatCode="0.00">
                  <c:v>0.81</c:v>
                </c:pt>
                <c:pt idx="273" formatCode="0.00">
                  <c:v>0.8</c:v>
                </c:pt>
                <c:pt idx="274" formatCode="0.00">
                  <c:v>0.8</c:v>
                </c:pt>
                <c:pt idx="275" formatCode="0.00">
                  <c:v>0.8</c:v>
                </c:pt>
                <c:pt idx="276" formatCode="0.00">
                  <c:v>0.79</c:v>
                </c:pt>
                <c:pt idx="277" formatCode="0.00">
                  <c:v>0.8</c:v>
                </c:pt>
                <c:pt idx="278" formatCode="0.00">
                  <c:v>0.8</c:v>
                </c:pt>
                <c:pt idx="279" formatCode="0.00">
                  <c:v>0.8</c:v>
                </c:pt>
                <c:pt idx="280" formatCode="0.00">
                  <c:v>0.8</c:v>
                </c:pt>
                <c:pt idx="281" formatCode="0.00">
                  <c:v>0.8</c:v>
                </c:pt>
                <c:pt idx="282" formatCode="0.00">
                  <c:v>0.79</c:v>
                </c:pt>
                <c:pt idx="283" formatCode="0.00">
                  <c:v>0.79</c:v>
                </c:pt>
                <c:pt idx="284" formatCode="0.00">
                  <c:v>0.79</c:v>
                </c:pt>
                <c:pt idx="285" formatCode="0.00">
                  <c:v>0.79</c:v>
                </c:pt>
                <c:pt idx="286" formatCode="0.00">
                  <c:v>0.79</c:v>
                </c:pt>
                <c:pt idx="287" formatCode="0.00">
                  <c:v>0.79</c:v>
                </c:pt>
                <c:pt idx="288" formatCode="0.00">
                  <c:v>0.79</c:v>
                </c:pt>
                <c:pt idx="289" formatCode="0.00">
                  <c:v>0.78</c:v>
                </c:pt>
                <c:pt idx="290" formatCode="0.00">
                  <c:v>0.77</c:v>
                </c:pt>
                <c:pt idx="291" formatCode="0.00">
                  <c:v>0.75</c:v>
                </c:pt>
                <c:pt idx="292" formatCode="0.00">
                  <c:v>0.75</c:v>
                </c:pt>
                <c:pt idx="293" formatCode="0.00">
                  <c:v>0.74</c:v>
                </c:pt>
                <c:pt idx="294" formatCode="0.00">
                  <c:v>0.74</c:v>
                </c:pt>
                <c:pt idx="295" formatCode="0.00">
                  <c:v>0.73</c:v>
                </c:pt>
                <c:pt idx="296" formatCode="0.00">
                  <c:v>0.72</c:v>
                </c:pt>
                <c:pt idx="297" formatCode="0.00">
                  <c:v>0.7</c:v>
                </c:pt>
                <c:pt idx="298" formatCode="0.00">
                  <c:v>0.7</c:v>
                </c:pt>
                <c:pt idx="299" formatCode="0.00">
                  <c:v>0.7</c:v>
                </c:pt>
                <c:pt idx="300" formatCode="0.00">
                  <c:v>0.7</c:v>
                </c:pt>
                <c:pt idx="301" formatCode="0.00">
                  <c:v>0.7</c:v>
                </c:pt>
                <c:pt idx="302" formatCode="0.00">
                  <c:v>0.7</c:v>
                </c:pt>
                <c:pt idx="303" formatCode="0.00">
                  <c:v>0.7</c:v>
                </c:pt>
                <c:pt idx="304" formatCode="0.00">
                  <c:v>0.69</c:v>
                </c:pt>
                <c:pt idx="305" formatCode="0.00">
                  <c:v>0.69</c:v>
                </c:pt>
                <c:pt idx="306" formatCode="0.00">
                  <c:v>0.68</c:v>
                </c:pt>
                <c:pt idx="307" formatCode="0.00">
                  <c:v>0.67</c:v>
                </c:pt>
                <c:pt idx="308" formatCode="0.00">
                  <c:v>0.67</c:v>
                </c:pt>
                <c:pt idx="309" formatCode="0.00">
                  <c:v>0.67</c:v>
                </c:pt>
                <c:pt idx="310" formatCode="0.00">
                  <c:v>0.67</c:v>
                </c:pt>
                <c:pt idx="311" formatCode="0.00">
                  <c:v>0.67</c:v>
                </c:pt>
                <c:pt idx="312" formatCode="0.00">
                  <c:v>0.67</c:v>
                </c:pt>
                <c:pt idx="313" formatCode="0.00">
                  <c:v>0.66</c:v>
                </c:pt>
                <c:pt idx="314" formatCode="0.00">
                  <c:v>0.64</c:v>
                </c:pt>
                <c:pt idx="315" formatCode="0.00">
                  <c:v>0.62</c:v>
                </c:pt>
                <c:pt idx="316" formatCode="0.00">
                  <c:v>0.6</c:v>
                </c:pt>
                <c:pt idx="317" formatCode="0.00">
                  <c:v>0.6</c:v>
                </c:pt>
                <c:pt idx="318" formatCode="0.00">
                  <c:v>0.57999999999999996</c:v>
                </c:pt>
                <c:pt idx="319" formatCode="0.00">
                  <c:v>0.56999999999999995</c:v>
                </c:pt>
                <c:pt idx="320" formatCode="0.00">
                  <c:v>0.56999999999999995</c:v>
                </c:pt>
                <c:pt idx="321" formatCode="0.00">
                  <c:v>0.55000000000000004</c:v>
                </c:pt>
                <c:pt idx="322" formatCode="0.00">
                  <c:v>0.54</c:v>
                </c:pt>
                <c:pt idx="323" formatCode="0.00">
                  <c:v>0.53</c:v>
                </c:pt>
                <c:pt idx="324" formatCode="0.00">
                  <c:v>0.52</c:v>
                </c:pt>
                <c:pt idx="325" formatCode="0.00">
                  <c:v>0.5</c:v>
                </c:pt>
                <c:pt idx="326" formatCode="0.00">
                  <c:v>0.49</c:v>
                </c:pt>
                <c:pt idx="327" formatCode="0.00">
                  <c:v>0.49</c:v>
                </c:pt>
                <c:pt idx="328" formatCode="0.00">
                  <c:v>0.48</c:v>
                </c:pt>
                <c:pt idx="329" formatCode="0.00">
                  <c:v>0.48</c:v>
                </c:pt>
                <c:pt idx="330" formatCode="0.00">
                  <c:v>0.48</c:v>
                </c:pt>
                <c:pt idx="331" formatCode="0.00">
                  <c:v>0.48</c:v>
                </c:pt>
                <c:pt idx="332" formatCode="0.00">
                  <c:v>0.48</c:v>
                </c:pt>
                <c:pt idx="333" formatCode="0.00">
                  <c:v>0.48</c:v>
                </c:pt>
                <c:pt idx="334" formatCode="0.00">
                  <c:v>0.48</c:v>
                </c:pt>
                <c:pt idx="335" formatCode="0.00">
                  <c:v>0.48</c:v>
                </c:pt>
                <c:pt idx="336" formatCode="0.00">
                  <c:v>0.47</c:v>
                </c:pt>
                <c:pt idx="337" formatCode="0.00">
                  <c:v>0.48</c:v>
                </c:pt>
                <c:pt idx="338" formatCode="0.00">
                  <c:v>0.48</c:v>
                </c:pt>
                <c:pt idx="339" formatCode="0.00">
                  <c:v>0.47</c:v>
                </c:pt>
                <c:pt idx="340" formatCode="0.00">
                  <c:v>0.47</c:v>
                </c:pt>
                <c:pt idx="341" formatCode="0.00">
                  <c:v>0.47</c:v>
                </c:pt>
                <c:pt idx="342" formatCode="0.00">
                  <c:v>0.47</c:v>
                </c:pt>
                <c:pt idx="343" formatCode="0.00">
                  <c:v>0.46</c:v>
                </c:pt>
                <c:pt idx="344" formatCode="0.00">
                  <c:v>0.45</c:v>
                </c:pt>
                <c:pt idx="345" formatCode="0.00">
                  <c:v>0.45</c:v>
                </c:pt>
                <c:pt idx="346" formatCode="0.00">
                  <c:v>0.45</c:v>
                </c:pt>
                <c:pt idx="347" formatCode="0.00">
                  <c:v>0.45</c:v>
                </c:pt>
                <c:pt idx="348" formatCode="0.00">
                  <c:v>0.44</c:v>
                </c:pt>
                <c:pt idx="349" formatCode="0.00">
                  <c:v>0.43</c:v>
                </c:pt>
                <c:pt idx="350" formatCode="0.00">
                  <c:v>0.43</c:v>
                </c:pt>
                <c:pt idx="351" formatCode="0.00">
                  <c:v>0.43</c:v>
                </c:pt>
                <c:pt idx="352" formatCode="0.00">
                  <c:v>0.42</c:v>
                </c:pt>
                <c:pt idx="353" formatCode="0.00">
                  <c:v>0.42</c:v>
                </c:pt>
                <c:pt idx="354" formatCode="0.00">
                  <c:v>0.41</c:v>
                </c:pt>
                <c:pt idx="355" formatCode="0.00">
                  <c:v>0.41</c:v>
                </c:pt>
                <c:pt idx="356" formatCode="0.00">
                  <c:v>0.41</c:v>
                </c:pt>
                <c:pt idx="357" formatCode="0.00">
                  <c:v>0.41</c:v>
                </c:pt>
                <c:pt idx="358" formatCode="0.00">
                  <c:v>0.41</c:v>
                </c:pt>
                <c:pt idx="359" formatCode="0.00">
                  <c:v>0.4</c:v>
                </c:pt>
                <c:pt idx="360" formatCode="0.00">
                  <c:v>0.4</c:v>
                </c:pt>
                <c:pt idx="361" formatCode="0.00">
                  <c:v>0.4</c:v>
                </c:pt>
                <c:pt idx="362" formatCode="0.00">
                  <c:v>0.4</c:v>
                </c:pt>
                <c:pt idx="363" formatCode="0.00">
                  <c:v>0.4</c:v>
                </c:pt>
                <c:pt idx="364" formatCode="0.00">
                  <c:v>0.4</c:v>
                </c:pt>
                <c:pt idx="365" formatCode="0.00">
                  <c:v>0.41</c:v>
                </c:pt>
                <c:pt idx="366" formatCode="0.00">
                  <c:v>0.4</c:v>
                </c:pt>
                <c:pt idx="367" formatCode="0.00">
                  <c:v>0.4</c:v>
                </c:pt>
                <c:pt idx="368" formatCode="0.00">
                  <c:v>0.4</c:v>
                </c:pt>
                <c:pt idx="369" formatCode="0.00">
                  <c:v>0.4</c:v>
                </c:pt>
                <c:pt idx="370" formatCode="0.00">
                  <c:v>0.4</c:v>
                </c:pt>
                <c:pt idx="371" formatCode="0.00">
                  <c:v>0.4</c:v>
                </c:pt>
                <c:pt idx="372" formatCode="0.00">
                  <c:v>0.4</c:v>
                </c:pt>
                <c:pt idx="373" formatCode="0.00">
                  <c:v>0.4</c:v>
                </c:pt>
                <c:pt idx="374" formatCode="0.00">
                  <c:v>0.4</c:v>
                </c:pt>
                <c:pt idx="375" formatCode="0.00">
                  <c:v>0.4</c:v>
                </c:pt>
                <c:pt idx="376" formatCode="0.00">
                  <c:v>0.4</c:v>
                </c:pt>
                <c:pt idx="377" formatCode="0.00">
                  <c:v>0.4</c:v>
                </c:pt>
                <c:pt idx="378" formatCode="0.00">
                  <c:v>0.4</c:v>
                </c:pt>
                <c:pt idx="379" formatCode="0.00">
                  <c:v>0.4</c:v>
                </c:pt>
                <c:pt idx="380" formatCode="0.00">
                  <c:v>0.39</c:v>
                </c:pt>
                <c:pt idx="381" formatCode="0.00">
                  <c:v>0.39</c:v>
                </c:pt>
                <c:pt idx="382" formatCode="0.00">
                  <c:v>0.39</c:v>
                </c:pt>
                <c:pt idx="383" formatCode="0.00">
                  <c:v>0.39</c:v>
                </c:pt>
                <c:pt idx="384" formatCode="0.00">
                  <c:v>0.39</c:v>
                </c:pt>
                <c:pt idx="385" formatCode="0.00">
                  <c:v>0.39</c:v>
                </c:pt>
                <c:pt idx="386" formatCode="0.00">
                  <c:v>0.39</c:v>
                </c:pt>
                <c:pt idx="387" formatCode="0.00">
                  <c:v>0.39</c:v>
                </c:pt>
                <c:pt idx="388" formatCode="0.00">
                  <c:v>0.39</c:v>
                </c:pt>
                <c:pt idx="389" formatCode="0.00">
                  <c:v>0.39</c:v>
                </c:pt>
                <c:pt idx="390" formatCode="0.00">
                  <c:v>0.39</c:v>
                </c:pt>
                <c:pt idx="391" formatCode="0.00">
                  <c:v>0.39</c:v>
                </c:pt>
                <c:pt idx="392" formatCode="0.00">
                  <c:v>0.39</c:v>
                </c:pt>
                <c:pt idx="393" formatCode="0.00">
                  <c:v>0.39</c:v>
                </c:pt>
                <c:pt idx="394" formatCode="0.00">
                  <c:v>0.39</c:v>
                </c:pt>
                <c:pt idx="395" formatCode="0.00">
                  <c:v>0.39</c:v>
                </c:pt>
                <c:pt idx="396" formatCode="0.00">
                  <c:v>0.39</c:v>
                </c:pt>
                <c:pt idx="397" formatCode="0.00">
                  <c:v>0.38</c:v>
                </c:pt>
                <c:pt idx="398" formatCode="0.00">
                  <c:v>0.38</c:v>
                </c:pt>
                <c:pt idx="399" formatCode="0.00">
                  <c:v>0.38</c:v>
                </c:pt>
                <c:pt idx="400" formatCode="0.00">
                  <c:v>0.38</c:v>
                </c:pt>
                <c:pt idx="401" formatCode="0.00">
                  <c:v>0.38</c:v>
                </c:pt>
                <c:pt idx="402" formatCode="0.00">
                  <c:v>0.36</c:v>
                </c:pt>
                <c:pt idx="403" formatCode="0.00">
                  <c:v>0.34</c:v>
                </c:pt>
                <c:pt idx="404" formatCode="0.00">
                  <c:v>0.34</c:v>
                </c:pt>
                <c:pt idx="405" formatCode="0.00">
                  <c:v>0.33</c:v>
                </c:pt>
                <c:pt idx="406" formatCode="0.00">
                  <c:v>0.33</c:v>
                </c:pt>
                <c:pt idx="407" formatCode="0.00">
                  <c:v>0.34</c:v>
                </c:pt>
                <c:pt idx="408" formatCode="0.00">
                  <c:v>0.33</c:v>
                </c:pt>
                <c:pt idx="409" formatCode="0.00">
                  <c:v>0.33</c:v>
                </c:pt>
                <c:pt idx="410" formatCode="0.00">
                  <c:v>0.33</c:v>
                </c:pt>
                <c:pt idx="411" formatCode="0.00">
                  <c:v>0.32</c:v>
                </c:pt>
                <c:pt idx="412" formatCode="0.00">
                  <c:v>0.32</c:v>
                </c:pt>
                <c:pt idx="413" formatCode="0.00">
                  <c:v>0.32</c:v>
                </c:pt>
                <c:pt idx="414" formatCode="0.00">
                  <c:v>0.31</c:v>
                </c:pt>
                <c:pt idx="415" formatCode="0.00">
                  <c:v>0.31</c:v>
                </c:pt>
                <c:pt idx="416" formatCode="0.00">
                  <c:v>0.31</c:v>
                </c:pt>
                <c:pt idx="417" formatCode="0.00">
                  <c:v>0.32</c:v>
                </c:pt>
                <c:pt idx="418" formatCode="0.00">
                  <c:v>0.32</c:v>
                </c:pt>
                <c:pt idx="419" formatCode="0.00">
                  <c:v>0.31</c:v>
                </c:pt>
                <c:pt idx="420" formatCode="0.00">
                  <c:v>0.32</c:v>
                </c:pt>
                <c:pt idx="421">
                  <c:v>0.31</c:v>
                </c:pt>
                <c:pt idx="422">
                  <c:v>0.31</c:v>
                </c:pt>
                <c:pt idx="423">
                  <c:v>0.31</c:v>
                </c:pt>
                <c:pt idx="424">
                  <c:v>0.31</c:v>
                </c:pt>
                <c:pt idx="425">
                  <c:v>0.31</c:v>
                </c:pt>
                <c:pt idx="426">
                  <c:v>0.32</c:v>
                </c:pt>
                <c:pt idx="427">
                  <c:v>0.32</c:v>
                </c:pt>
                <c:pt idx="428">
                  <c:v>0.32</c:v>
                </c:pt>
                <c:pt idx="429">
                  <c:v>0.32</c:v>
                </c:pt>
                <c:pt idx="430">
                  <c:v>0.32</c:v>
                </c:pt>
                <c:pt idx="431">
                  <c:v>0.32</c:v>
                </c:pt>
                <c:pt idx="432">
                  <c:v>0.32</c:v>
                </c:pt>
                <c:pt idx="433">
                  <c:v>0.32</c:v>
                </c:pt>
                <c:pt idx="434">
                  <c:v>0.32</c:v>
                </c:pt>
                <c:pt idx="435">
                  <c:v>0.31</c:v>
                </c:pt>
                <c:pt idx="436">
                  <c:v>0.31</c:v>
                </c:pt>
                <c:pt idx="437">
                  <c:v>0.31</c:v>
                </c:pt>
                <c:pt idx="438">
                  <c:v>0.31</c:v>
                </c:pt>
                <c:pt idx="439">
                  <c:v>0.3</c:v>
                </c:pt>
                <c:pt idx="440">
                  <c:v>0.3</c:v>
                </c:pt>
                <c:pt idx="441">
                  <c:v>0.3</c:v>
                </c:pt>
                <c:pt idx="442">
                  <c:v>0.3</c:v>
                </c:pt>
                <c:pt idx="443">
                  <c:v>0.3</c:v>
                </c:pt>
                <c:pt idx="444">
                  <c:v>0.3</c:v>
                </c:pt>
                <c:pt idx="445">
                  <c:v>0.3</c:v>
                </c:pt>
                <c:pt idx="446">
                  <c:v>0.28999999999999998</c:v>
                </c:pt>
                <c:pt idx="447">
                  <c:v>0.28999999999999998</c:v>
                </c:pt>
                <c:pt idx="448">
                  <c:v>0.28999999999999998</c:v>
                </c:pt>
                <c:pt idx="449">
                  <c:v>0.28999999999999998</c:v>
                </c:pt>
                <c:pt idx="450">
                  <c:v>0.28999999999999998</c:v>
                </c:pt>
                <c:pt idx="451">
                  <c:v>0.28999999999999998</c:v>
                </c:pt>
                <c:pt idx="452">
                  <c:v>0.28999999999999998</c:v>
                </c:pt>
                <c:pt idx="453">
                  <c:v>0.28999999999999998</c:v>
                </c:pt>
                <c:pt idx="454">
                  <c:v>0.28999999999999998</c:v>
                </c:pt>
                <c:pt idx="455">
                  <c:v>0.28999999999999998</c:v>
                </c:pt>
                <c:pt idx="456">
                  <c:v>0.28999999999999998</c:v>
                </c:pt>
                <c:pt idx="457">
                  <c:v>0.28999999999999998</c:v>
                </c:pt>
                <c:pt idx="458">
                  <c:v>0.28999999999999998</c:v>
                </c:pt>
                <c:pt idx="459">
                  <c:v>0.28999999999999998</c:v>
                </c:pt>
                <c:pt idx="460">
                  <c:v>0.28999999999999998</c:v>
                </c:pt>
                <c:pt idx="461">
                  <c:v>0.28999999999999998</c:v>
                </c:pt>
                <c:pt idx="462">
                  <c:v>0.28999999999999998</c:v>
                </c:pt>
                <c:pt idx="463">
                  <c:v>0.28999999999999998</c:v>
                </c:pt>
                <c:pt idx="464">
                  <c:v>0.28999999999999998</c:v>
                </c:pt>
                <c:pt idx="465">
                  <c:v>0.28999999999999998</c:v>
                </c:pt>
                <c:pt idx="466">
                  <c:v>0.28999999999999998</c:v>
                </c:pt>
                <c:pt idx="467">
                  <c:v>0.28999999999999998</c:v>
                </c:pt>
                <c:pt idx="468">
                  <c:v>0.28999999999999998</c:v>
                </c:pt>
                <c:pt idx="469">
                  <c:v>0.28999999999999998</c:v>
                </c:pt>
                <c:pt idx="470">
                  <c:v>0.28999999999999998</c:v>
                </c:pt>
                <c:pt idx="471">
                  <c:v>0.28999999999999998</c:v>
                </c:pt>
                <c:pt idx="472">
                  <c:v>0.28999999999999998</c:v>
                </c:pt>
                <c:pt idx="473">
                  <c:v>0.28999999999999998</c:v>
                </c:pt>
                <c:pt idx="474">
                  <c:v>0.28999999999999998</c:v>
                </c:pt>
                <c:pt idx="475">
                  <c:v>0.28999999999999998</c:v>
                </c:pt>
                <c:pt idx="476">
                  <c:v>0.28999999999999998</c:v>
                </c:pt>
                <c:pt idx="477">
                  <c:v>0.28999999999999998</c:v>
                </c:pt>
                <c:pt idx="478">
                  <c:v>0.28999999999999998</c:v>
                </c:pt>
                <c:pt idx="479">
                  <c:v>0.28999999999999998</c:v>
                </c:pt>
                <c:pt idx="480">
                  <c:v>0.28999999999999998</c:v>
                </c:pt>
                <c:pt idx="481">
                  <c:v>0.28999999999999998</c:v>
                </c:pt>
                <c:pt idx="482">
                  <c:v>0.28999999999999998</c:v>
                </c:pt>
                <c:pt idx="483">
                  <c:v>0.28999999999999998</c:v>
                </c:pt>
                <c:pt idx="484">
                  <c:v>0.28999999999999998</c:v>
                </c:pt>
                <c:pt idx="485">
                  <c:v>0.28999999999999998</c:v>
                </c:pt>
                <c:pt idx="486">
                  <c:v>0.28999999999999998</c:v>
                </c:pt>
                <c:pt idx="487">
                  <c:v>0.28999999999999998</c:v>
                </c:pt>
                <c:pt idx="488">
                  <c:v>0.28999999999999998</c:v>
                </c:pt>
                <c:pt idx="489">
                  <c:v>0.28999999999999998</c:v>
                </c:pt>
                <c:pt idx="490">
                  <c:v>0.28999999999999998</c:v>
                </c:pt>
                <c:pt idx="491">
                  <c:v>0.28999999999999998</c:v>
                </c:pt>
                <c:pt idx="492">
                  <c:v>0.28999999999999998</c:v>
                </c:pt>
                <c:pt idx="493">
                  <c:v>0.28999999999999998</c:v>
                </c:pt>
                <c:pt idx="494">
                  <c:v>0.28999999999999998</c:v>
                </c:pt>
                <c:pt idx="495">
                  <c:v>0.28999999999999998</c:v>
                </c:pt>
                <c:pt idx="496">
                  <c:v>0.28999999999999998</c:v>
                </c:pt>
                <c:pt idx="497">
                  <c:v>0.28999999999999998</c:v>
                </c:pt>
                <c:pt idx="498">
                  <c:v>0.28999999999999998</c:v>
                </c:pt>
                <c:pt idx="499">
                  <c:v>0.28999999999999998</c:v>
                </c:pt>
                <c:pt idx="500">
                  <c:v>0.28999999999999998</c:v>
                </c:pt>
                <c:pt idx="501">
                  <c:v>0.28999999999999998</c:v>
                </c:pt>
                <c:pt idx="502">
                  <c:v>0.28000000000000003</c:v>
                </c:pt>
                <c:pt idx="503">
                  <c:v>0.28000000000000003</c:v>
                </c:pt>
                <c:pt idx="504">
                  <c:v>0.28000000000000003</c:v>
                </c:pt>
                <c:pt idx="505">
                  <c:v>0.28000000000000003</c:v>
                </c:pt>
                <c:pt idx="506">
                  <c:v>0.28000000000000003</c:v>
                </c:pt>
                <c:pt idx="507">
                  <c:v>0.28000000000000003</c:v>
                </c:pt>
                <c:pt idx="508">
                  <c:v>0.28000000000000003</c:v>
                </c:pt>
                <c:pt idx="509">
                  <c:v>0.28000000000000003</c:v>
                </c:pt>
                <c:pt idx="510">
                  <c:v>0.28000000000000003</c:v>
                </c:pt>
                <c:pt idx="511">
                  <c:v>0.28000000000000003</c:v>
                </c:pt>
                <c:pt idx="512">
                  <c:v>0.28000000000000003</c:v>
                </c:pt>
                <c:pt idx="513">
                  <c:v>0.28000000000000003</c:v>
                </c:pt>
                <c:pt idx="514">
                  <c:v>0.28000000000000003</c:v>
                </c:pt>
                <c:pt idx="515">
                  <c:v>0.28000000000000003</c:v>
                </c:pt>
                <c:pt idx="516">
                  <c:v>0.28000000000000003</c:v>
                </c:pt>
                <c:pt idx="517">
                  <c:v>0.28000000000000003</c:v>
                </c:pt>
                <c:pt idx="518">
                  <c:v>0.28000000000000003</c:v>
                </c:pt>
                <c:pt idx="519">
                  <c:v>0.28000000000000003</c:v>
                </c:pt>
                <c:pt idx="520">
                  <c:v>0.28000000000000003</c:v>
                </c:pt>
                <c:pt idx="521">
                  <c:v>0.28000000000000003</c:v>
                </c:pt>
                <c:pt idx="522">
                  <c:v>0.28000000000000003</c:v>
                </c:pt>
                <c:pt idx="523">
                  <c:v>0.28000000000000003</c:v>
                </c:pt>
                <c:pt idx="524">
                  <c:v>0.28000000000000003</c:v>
                </c:pt>
                <c:pt idx="525">
                  <c:v>0.28000000000000003</c:v>
                </c:pt>
                <c:pt idx="526">
                  <c:v>0.28000000000000003</c:v>
                </c:pt>
                <c:pt idx="527">
                  <c:v>0.28000000000000003</c:v>
                </c:pt>
                <c:pt idx="528">
                  <c:v>0.28000000000000003</c:v>
                </c:pt>
                <c:pt idx="529">
                  <c:v>0.28000000000000003</c:v>
                </c:pt>
                <c:pt idx="530">
                  <c:v>0.28000000000000003</c:v>
                </c:pt>
                <c:pt idx="531">
                  <c:v>0.28000000000000003</c:v>
                </c:pt>
                <c:pt idx="532">
                  <c:v>0.28000000000000003</c:v>
                </c:pt>
                <c:pt idx="533">
                  <c:v>0.28000000000000003</c:v>
                </c:pt>
                <c:pt idx="534">
                  <c:v>0.28000000000000003</c:v>
                </c:pt>
                <c:pt idx="535">
                  <c:v>0.28000000000000003</c:v>
                </c:pt>
                <c:pt idx="536">
                  <c:v>0.28000000000000003</c:v>
                </c:pt>
                <c:pt idx="537">
                  <c:v>0.28000000000000003</c:v>
                </c:pt>
                <c:pt idx="538">
                  <c:v>0.28000000000000003</c:v>
                </c:pt>
                <c:pt idx="539">
                  <c:v>0.28000000000000003</c:v>
                </c:pt>
                <c:pt idx="540">
                  <c:v>0.28000000000000003</c:v>
                </c:pt>
                <c:pt idx="541">
                  <c:v>0.27</c:v>
                </c:pt>
                <c:pt idx="542">
                  <c:v>0.27</c:v>
                </c:pt>
                <c:pt idx="543">
                  <c:v>0.27</c:v>
                </c:pt>
                <c:pt idx="544">
                  <c:v>0.27</c:v>
                </c:pt>
                <c:pt idx="545">
                  <c:v>0.27</c:v>
                </c:pt>
                <c:pt idx="546">
                  <c:v>0.27</c:v>
                </c:pt>
                <c:pt idx="547">
                  <c:v>0.27</c:v>
                </c:pt>
                <c:pt idx="548">
                  <c:v>0.27</c:v>
                </c:pt>
                <c:pt idx="549">
                  <c:v>0.27</c:v>
                </c:pt>
                <c:pt idx="550">
                  <c:v>0.27</c:v>
                </c:pt>
                <c:pt idx="551">
                  <c:v>0.27</c:v>
                </c:pt>
                <c:pt idx="552">
                  <c:v>0.26</c:v>
                </c:pt>
                <c:pt idx="553">
                  <c:v>0.26</c:v>
                </c:pt>
                <c:pt idx="554">
                  <c:v>0.26</c:v>
                </c:pt>
                <c:pt idx="555">
                  <c:v>0.26</c:v>
                </c:pt>
                <c:pt idx="556">
                  <c:v>0.26</c:v>
                </c:pt>
                <c:pt idx="557">
                  <c:v>0.26</c:v>
                </c:pt>
                <c:pt idx="558">
                  <c:v>0.25</c:v>
                </c:pt>
                <c:pt idx="559">
                  <c:v>0.24</c:v>
                </c:pt>
                <c:pt idx="560">
                  <c:v>0.23</c:v>
                </c:pt>
                <c:pt idx="561">
                  <c:v>0.22</c:v>
                </c:pt>
                <c:pt idx="562">
                  <c:v>0.21</c:v>
                </c:pt>
                <c:pt idx="563">
                  <c:v>0.21</c:v>
                </c:pt>
                <c:pt idx="564">
                  <c:v>0.21</c:v>
                </c:pt>
                <c:pt idx="565">
                  <c:v>0.21</c:v>
                </c:pt>
                <c:pt idx="566">
                  <c:v>0.2</c:v>
                </c:pt>
                <c:pt idx="567">
                  <c:v>0.15</c:v>
                </c:pt>
                <c:pt idx="568">
                  <c:v>0.14000000000000001</c:v>
                </c:pt>
                <c:pt idx="569">
                  <c:v>0.12</c:v>
                </c:pt>
                <c:pt idx="570">
                  <c:v>0.12</c:v>
                </c:pt>
                <c:pt idx="571">
                  <c:v>0.12</c:v>
                </c:pt>
                <c:pt idx="572">
                  <c:v>0.11</c:v>
                </c:pt>
                <c:pt idx="573">
                  <c:v>0.11</c:v>
                </c:pt>
                <c:pt idx="574">
                  <c:v>0.11</c:v>
                </c:pt>
                <c:pt idx="575">
                  <c:v>0.11</c:v>
                </c:pt>
                <c:pt idx="576">
                  <c:v>0.11</c:v>
                </c:pt>
                <c:pt idx="577">
                  <c:v>0.11</c:v>
                </c:pt>
                <c:pt idx="578">
                  <c:v>0.11</c:v>
                </c:pt>
                <c:pt idx="579">
                  <c:v>0.1</c:v>
                </c:pt>
                <c:pt idx="580">
                  <c:v>0.1</c:v>
                </c:pt>
                <c:pt idx="581">
                  <c:v>0.1</c:v>
                </c:pt>
                <c:pt idx="582">
                  <c:v>0.1</c:v>
                </c:pt>
                <c:pt idx="583">
                  <c:v>0.1</c:v>
                </c:pt>
                <c:pt idx="584">
                  <c:v>0.1</c:v>
                </c:pt>
                <c:pt idx="585">
                  <c:v>0.1</c:v>
                </c:pt>
                <c:pt idx="586">
                  <c:v>0.1</c:v>
                </c:pt>
                <c:pt idx="587">
                  <c:v>0.1</c:v>
                </c:pt>
                <c:pt idx="588">
                  <c:v>0.1</c:v>
                </c:pt>
                <c:pt idx="589">
                  <c:v>0.1</c:v>
                </c:pt>
                <c:pt idx="590">
                  <c:v>0.09</c:v>
                </c:pt>
                <c:pt idx="591">
                  <c:v>0.09</c:v>
                </c:pt>
                <c:pt idx="592">
                  <c:v>0.09</c:v>
                </c:pt>
                <c:pt idx="593">
                  <c:v>0.09</c:v>
                </c:pt>
                <c:pt idx="594">
                  <c:v>0.09</c:v>
                </c:pt>
                <c:pt idx="595">
                  <c:v>0.09</c:v>
                </c:pt>
                <c:pt idx="596">
                  <c:v>0.09</c:v>
                </c:pt>
                <c:pt idx="597">
                  <c:v>0.09</c:v>
                </c:pt>
                <c:pt idx="598">
                  <c:v>0.09</c:v>
                </c:pt>
                <c:pt idx="599">
                  <c:v>0.09</c:v>
                </c:pt>
                <c:pt idx="600">
                  <c:v>0.09</c:v>
                </c:pt>
                <c:pt idx="601">
                  <c:v>0.09</c:v>
                </c:pt>
                <c:pt idx="602">
                  <c:v>0.09</c:v>
                </c:pt>
                <c:pt idx="603">
                  <c:v>0.09</c:v>
                </c:pt>
                <c:pt idx="604">
                  <c:v>0.09</c:v>
                </c:pt>
                <c:pt idx="605">
                  <c:v>0.09</c:v>
                </c:pt>
                <c:pt idx="606">
                  <c:v>0.09</c:v>
                </c:pt>
                <c:pt idx="607">
                  <c:v>0.09</c:v>
                </c:pt>
                <c:pt idx="608">
                  <c:v>0.09</c:v>
                </c:pt>
                <c:pt idx="609">
                  <c:v>0.09</c:v>
                </c:pt>
                <c:pt idx="610">
                  <c:v>0.09</c:v>
                </c:pt>
                <c:pt idx="611">
                  <c:v>0.09</c:v>
                </c:pt>
                <c:pt idx="612">
                  <c:v>0.09</c:v>
                </c:pt>
                <c:pt idx="613">
                  <c:v>0.09</c:v>
                </c:pt>
                <c:pt idx="614">
                  <c:v>0.09</c:v>
                </c:pt>
                <c:pt idx="615">
                  <c:v>0.09</c:v>
                </c:pt>
                <c:pt idx="616">
                  <c:v>0.09</c:v>
                </c:pt>
                <c:pt idx="617">
                  <c:v>0.09</c:v>
                </c:pt>
                <c:pt idx="618">
                  <c:v>0.09</c:v>
                </c:pt>
                <c:pt idx="619">
                  <c:v>0.09</c:v>
                </c:pt>
                <c:pt idx="620">
                  <c:v>0.09</c:v>
                </c:pt>
                <c:pt idx="621">
                  <c:v>0.09</c:v>
                </c:pt>
                <c:pt idx="622">
                  <c:v>0.09</c:v>
                </c:pt>
                <c:pt idx="623">
                  <c:v>0.09</c:v>
                </c:pt>
                <c:pt idx="624">
                  <c:v>0.09</c:v>
                </c:pt>
                <c:pt idx="625">
                  <c:v>0.09</c:v>
                </c:pt>
                <c:pt idx="626">
                  <c:v>0.09</c:v>
                </c:pt>
                <c:pt idx="627">
                  <c:v>0.09</c:v>
                </c:pt>
                <c:pt idx="628">
                  <c:v>0.09</c:v>
                </c:pt>
                <c:pt idx="629">
                  <c:v>0.09</c:v>
                </c:pt>
                <c:pt idx="630">
                  <c:v>0.09</c:v>
                </c:pt>
                <c:pt idx="631">
                  <c:v>0.09</c:v>
                </c:pt>
                <c:pt idx="632">
                  <c:v>0.09</c:v>
                </c:pt>
                <c:pt idx="633">
                  <c:v>0.09</c:v>
                </c:pt>
                <c:pt idx="634">
                  <c:v>0.09</c:v>
                </c:pt>
                <c:pt idx="635">
                  <c:v>0.09</c:v>
                </c:pt>
                <c:pt idx="636">
                  <c:v>0.09</c:v>
                </c:pt>
                <c:pt idx="637">
                  <c:v>0.09</c:v>
                </c:pt>
                <c:pt idx="638">
                  <c:v>0.09</c:v>
                </c:pt>
                <c:pt idx="639">
                  <c:v>0.09</c:v>
                </c:pt>
                <c:pt idx="640">
                  <c:v>0.09</c:v>
                </c:pt>
                <c:pt idx="641">
                  <c:v>0.09</c:v>
                </c:pt>
                <c:pt idx="642">
                  <c:v>0.09</c:v>
                </c:pt>
                <c:pt idx="643">
                  <c:v>0.09</c:v>
                </c:pt>
                <c:pt idx="644">
                  <c:v>0.09</c:v>
                </c:pt>
                <c:pt idx="645">
                  <c:v>0.09</c:v>
                </c:pt>
                <c:pt idx="646">
                  <c:v>0.1</c:v>
                </c:pt>
                <c:pt idx="647">
                  <c:v>0.1</c:v>
                </c:pt>
                <c:pt idx="648">
                  <c:v>0.1</c:v>
                </c:pt>
                <c:pt idx="649">
                  <c:v>0.1</c:v>
                </c:pt>
                <c:pt idx="650">
                  <c:v>0.1</c:v>
                </c:pt>
                <c:pt idx="651">
                  <c:v>0.1</c:v>
                </c:pt>
                <c:pt idx="652">
                  <c:v>0.1</c:v>
                </c:pt>
                <c:pt idx="653">
                  <c:v>0.1</c:v>
                </c:pt>
                <c:pt idx="654">
                  <c:v>0.1</c:v>
                </c:pt>
                <c:pt idx="655">
                  <c:v>0.1</c:v>
                </c:pt>
                <c:pt idx="656">
                  <c:v>0.1</c:v>
                </c:pt>
                <c:pt idx="657">
                  <c:v>0.1</c:v>
                </c:pt>
                <c:pt idx="658">
                  <c:v>0.1</c:v>
                </c:pt>
                <c:pt idx="659">
                  <c:v>0.1</c:v>
                </c:pt>
                <c:pt idx="660">
                  <c:v>0.1</c:v>
                </c:pt>
                <c:pt idx="661">
                  <c:v>0.1</c:v>
                </c:pt>
                <c:pt idx="662">
                  <c:v>0.1</c:v>
                </c:pt>
                <c:pt idx="663">
                  <c:v>0.1</c:v>
                </c:pt>
                <c:pt idx="664">
                  <c:v>0.1</c:v>
                </c:pt>
                <c:pt idx="665">
                  <c:v>0.1</c:v>
                </c:pt>
                <c:pt idx="666">
                  <c:v>0.1</c:v>
                </c:pt>
                <c:pt idx="667">
                  <c:v>0.1</c:v>
                </c:pt>
                <c:pt idx="668">
                  <c:v>0.1</c:v>
                </c:pt>
                <c:pt idx="669">
                  <c:v>0.1</c:v>
                </c:pt>
                <c:pt idx="670">
                  <c:v>0.1</c:v>
                </c:pt>
                <c:pt idx="671">
                  <c:v>0.1</c:v>
                </c:pt>
                <c:pt idx="672">
                  <c:v>0.1</c:v>
                </c:pt>
                <c:pt idx="673">
                  <c:v>0.1</c:v>
                </c:pt>
                <c:pt idx="674">
                  <c:v>0.1</c:v>
                </c:pt>
                <c:pt idx="675">
                  <c:v>0.1</c:v>
                </c:pt>
                <c:pt idx="676">
                  <c:v>0.1</c:v>
                </c:pt>
                <c:pt idx="677">
                  <c:v>0.09</c:v>
                </c:pt>
                <c:pt idx="678">
                  <c:v>0.1</c:v>
                </c:pt>
                <c:pt idx="679">
                  <c:v>0.1</c:v>
                </c:pt>
                <c:pt idx="680">
                  <c:v>0.09</c:v>
                </c:pt>
                <c:pt idx="681">
                  <c:v>0.09</c:v>
                </c:pt>
                <c:pt idx="682">
                  <c:v>0.09</c:v>
                </c:pt>
                <c:pt idx="683">
                  <c:v>0.09</c:v>
                </c:pt>
                <c:pt idx="684">
                  <c:v>0.09</c:v>
                </c:pt>
                <c:pt idx="685">
                  <c:v>0.09</c:v>
                </c:pt>
                <c:pt idx="686">
                  <c:v>0.09</c:v>
                </c:pt>
                <c:pt idx="687">
                  <c:v>0.09</c:v>
                </c:pt>
                <c:pt idx="688">
                  <c:v>0.09</c:v>
                </c:pt>
                <c:pt idx="689">
                  <c:v>0.09</c:v>
                </c:pt>
                <c:pt idx="690">
                  <c:v>0.09</c:v>
                </c:pt>
                <c:pt idx="691">
                  <c:v>0.09</c:v>
                </c:pt>
                <c:pt idx="692">
                  <c:v>0.09</c:v>
                </c:pt>
                <c:pt idx="693">
                  <c:v>0.09</c:v>
                </c:pt>
                <c:pt idx="694">
                  <c:v>0.09</c:v>
                </c:pt>
                <c:pt idx="695">
                  <c:v>0.09</c:v>
                </c:pt>
                <c:pt idx="696">
                  <c:v>0.09</c:v>
                </c:pt>
                <c:pt idx="697">
                  <c:v>0.09</c:v>
                </c:pt>
                <c:pt idx="698">
                  <c:v>0.1</c:v>
                </c:pt>
                <c:pt idx="699">
                  <c:v>0.1</c:v>
                </c:pt>
                <c:pt idx="700">
                  <c:v>0.1</c:v>
                </c:pt>
                <c:pt idx="701">
                  <c:v>0.1</c:v>
                </c:pt>
                <c:pt idx="702">
                  <c:v>0.1</c:v>
                </c:pt>
                <c:pt idx="703">
                  <c:v>0.1</c:v>
                </c:pt>
                <c:pt idx="704">
                  <c:v>0.1</c:v>
                </c:pt>
                <c:pt idx="705">
                  <c:v>0.1</c:v>
                </c:pt>
                <c:pt idx="706">
                  <c:v>0.1</c:v>
                </c:pt>
                <c:pt idx="707">
                  <c:v>0.1</c:v>
                </c:pt>
                <c:pt idx="708">
                  <c:v>0.1</c:v>
                </c:pt>
                <c:pt idx="709">
                  <c:v>0.1</c:v>
                </c:pt>
                <c:pt idx="710">
                  <c:v>0.1</c:v>
                </c:pt>
                <c:pt idx="711">
                  <c:v>0.1</c:v>
                </c:pt>
                <c:pt idx="712">
                  <c:v>0.1</c:v>
                </c:pt>
                <c:pt idx="713">
                  <c:v>0.1</c:v>
                </c:pt>
                <c:pt idx="714">
                  <c:v>0.1</c:v>
                </c:pt>
                <c:pt idx="715">
                  <c:v>0.1</c:v>
                </c:pt>
                <c:pt idx="716">
                  <c:v>0.1</c:v>
                </c:pt>
                <c:pt idx="717">
                  <c:v>0.1</c:v>
                </c:pt>
                <c:pt idx="718">
                  <c:v>0.1</c:v>
                </c:pt>
                <c:pt idx="719">
                  <c:v>0.1</c:v>
                </c:pt>
                <c:pt idx="720">
                  <c:v>0.1</c:v>
                </c:pt>
                <c:pt idx="721">
                  <c:v>0.1</c:v>
                </c:pt>
                <c:pt idx="722">
                  <c:v>0.1</c:v>
                </c:pt>
                <c:pt idx="723">
                  <c:v>0.1</c:v>
                </c:pt>
                <c:pt idx="724">
                  <c:v>0.1</c:v>
                </c:pt>
                <c:pt idx="725">
                  <c:v>0.1</c:v>
                </c:pt>
                <c:pt idx="726">
                  <c:v>0.1</c:v>
                </c:pt>
                <c:pt idx="727">
                  <c:v>0.1</c:v>
                </c:pt>
                <c:pt idx="728">
                  <c:v>0.1</c:v>
                </c:pt>
                <c:pt idx="729">
                  <c:v>0.1</c:v>
                </c:pt>
                <c:pt idx="730">
                  <c:v>0.1</c:v>
                </c:pt>
                <c:pt idx="731">
                  <c:v>0.1</c:v>
                </c:pt>
                <c:pt idx="732">
                  <c:v>0.1</c:v>
                </c:pt>
                <c:pt idx="733">
                  <c:v>0.1</c:v>
                </c:pt>
                <c:pt idx="734">
                  <c:v>0.1</c:v>
                </c:pt>
                <c:pt idx="735">
                  <c:v>0.1</c:v>
                </c:pt>
                <c:pt idx="736">
                  <c:v>0.1</c:v>
                </c:pt>
                <c:pt idx="737">
                  <c:v>0.1</c:v>
                </c:pt>
                <c:pt idx="738">
                  <c:v>0.1</c:v>
                </c:pt>
                <c:pt idx="739">
                  <c:v>0.1</c:v>
                </c:pt>
                <c:pt idx="740">
                  <c:v>0.1</c:v>
                </c:pt>
                <c:pt idx="741">
                  <c:v>0.1</c:v>
                </c:pt>
                <c:pt idx="742">
                  <c:v>0.1</c:v>
                </c:pt>
                <c:pt idx="743">
                  <c:v>0.1</c:v>
                </c:pt>
                <c:pt idx="744">
                  <c:v>0.1</c:v>
                </c:pt>
                <c:pt idx="745">
                  <c:v>0.1</c:v>
                </c:pt>
                <c:pt idx="746">
                  <c:v>0.1</c:v>
                </c:pt>
                <c:pt idx="747">
                  <c:v>0.1</c:v>
                </c:pt>
                <c:pt idx="748">
                  <c:v>0.1</c:v>
                </c:pt>
                <c:pt idx="749">
                  <c:v>0.1</c:v>
                </c:pt>
                <c:pt idx="750">
                  <c:v>0.1</c:v>
                </c:pt>
                <c:pt idx="751">
                  <c:v>0.1</c:v>
                </c:pt>
                <c:pt idx="752">
                  <c:v>0.1</c:v>
                </c:pt>
                <c:pt idx="753">
                  <c:v>0.1</c:v>
                </c:pt>
                <c:pt idx="754">
                  <c:v>0.1</c:v>
                </c:pt>
                <c:pt idx="755">
                  <c:v>0.1</c:v>
                </c:pt>
                <c:pt idx="756">
                  <c:v>0.1</c:v>
                </c:pt>
                <c:pt idx="757">
                  <c:v>0.1</c:v>
                </c:pt>
                <c:pt idx="758">
                  <c:v>0.1</c:v>
                </c:pt>
                <c:pt idx="759">
                  <c:v>0.1</c:v>
                </c:pt>
                <c:pt idx="760">
                  <c:v>0.1</c:v>
                </c:pt>
                <c:pt idx="761">
                  <c:v>0.1</c:v>
                </c:pt>
                <c:pt idx="762">
                  <c:v>0.1</c:v>
                </c:pt>
                <c:pt idx="763">
                  <c:v>0.1</c:v>
                </c:pt>
                <c:pt idx="764">
                  <c:v>0.1</c:v>
                </c:pt>
                <c:pt idx="765">
                  <c:v>0.1</c:v>
                </c:pt>
                <c:pt idx="766">
                  <c:v>0.1</c:v>
                </c:pt>
                <c:pt idx="767">
                  <c:v>0.1</c:v>
                </c:pt>
                <c:pt idx="768">
                  <c:v>0.1</c:v>
                </c:pt>
                <c:pt idx="769">
                  <c:v>0.1</c:v>
                </c:pt>
                <c:pt idx="770">
                  <c:v>0.1</c:v>
                </c:pt>
                <c:pt idx="771">
                  <c:v>0.11</c:v>
                </c:pt>
                <c:pt idx="772">
                  <c:v>0.11</c:v>
                </c:pt>
                <c:pt idx="773">
                  <c:v>0.11</c:v>
                </c:pt>
                <c:pt idx="774">
                  <c:v>0.11</c:v>
                </c:pt>
                <c:pt idx="775">
                  <c:v>0.11</c:v>
                </c:pt>
                <c:pt idx="776">
                  <c:v>0.11</c:v>
                </c:pt>
                <c:pt idx="777">
                  <c:v>0.11</c:v>
                </c:pt>
                <c:pt idx="778">
                  <c:v>0.11</c:v>
                </c:pt>
                <c:pt idx="779">
                  <c:v>0.11</c:v>
                </c:pt>
                <c:pt idx="780">
                  <c:v>0.11</c:v>
                </c:pt>
                <c:pt idx="781">
                  <c:v>0.11</c:v>
                </c:pt>
                <c:pt idx="782">
                  <c:v>0.11</c:v>
                </c:pt>
                <c:pt idx="783">
                  <c:v>0.11</c:v>
                </c:pt>
                <c:pt idx="784">
                  <c:v>0.11</c:v>
                </c:pt>
                <c:pt idx="785">
                  <c:v>0.11</c:v>
                </c:pt>
                <c:pt idx="786">
                  <c:v>0.11</c:v>
                </c:pt>
                <c:pt idx="787">
                  <c:v>0.11</c:v>
                </c:pt>
                <c:pt idx="788">
                  <c:v>0.11</c:v>
                </c:pt>
                <c:pt idx="789">
                  <c:v>0.11</c:v>
                </c:pt>
                <c:pt idx="790">
                  <c:v>0.11</c:v>
                </c:pt>
                <c:pt idx="791">
                  <c:v>0.11</c:v>
                </c:pt>
                <c:pt idx="792">
                  <c:v>0.12</c:v>
                </c:pt>
                <c:pt idx="793">
                  <c:v>0.13</c:v>
                </c:pt>
                <c:pt idx="794">
                  <c:v>0.13</c:v>
                </c:pt>
                <c:pt idx="795">
                  <c:v>0.13</c:v>
                </c:pt>
                <c:pt idx="796">
                  <c:v>0.13</c:v>
                </c:pt>
                <c:pt idx="797">
                  <c:v>0.13</c:v>
                </c:pt>
                <c:pt idx="798">
                  <c:v>0.14000000000000001</c:v>
                </c:pt>
                <c:pt idx="799">
                  <c:v>0.14000000000000001</c:v>
                </c:pt>
                <c:pt idx="800">
                  <c:v>0.14000000000000001</c:v>
                </c:pt>
                <c:pt idx="801">
                  <c:v>0.14000000000000001</c:v>
                </c:pt>
                <c:pt idx="802">
                  <c:v>0.14000000000000001</c:v>
                </c:pt>
                <c:pt idx="803">
                  <c:v>0.14000000000000001</c:v>
                </c:pt>
                <c:pt idx="804">
                  <c:v>0.15</c:v>
                </c:pt>
                <c:pt idx="805">
                  <c:v>0.17</c:v>
                </c:pt>
                <c:pt idx="806">
                  <c:v>0.18</c:v>
                </c:pt>
                <c:pt idx="807">
                  <c:v>0.2</c:v>
                </c:pt>
                <c:pt idx="808">
                  <c:v>0.2</c:v>
                </c:pt>
                <c:pt idx="809">
                  <c:v>0.2</c:v>
                </c:pt>
                <c:pt idx="810">
                  <c:v>0.2</c:v>
                </c:pt>
                <c:pt idx="811">
                  <c:v>0.22</c:v>
                </c:pt>
                <c:pt idx="812">
                  <c:v>0.23</c:v>
                </c:pt>
                <c:pt idx="813">
                  <c:v>0.23</c:v>
                </c:pt>
                <c:pt idx="814">
                  <c:v>0.23</c:v>
                </c:pt>
                <c:pt idx="815">
                  <c:v>0.23</c:v>
                </c:pt>
                <c:pt idx="816">
                  <c:v>0.23</c:v>
                </c:pt>
                <c:pt idx="817">
                  <c:v>0.23</c:v>
                </c:pt>
                <c:pt idx="818">
                  <c:v>0.23</c:v>
                </c:pt>
                <c:pt idx="819">
                  <c:v>0.23</c:v>
                </c:pt>
                <c:pt idx="820">
                  <c:v>0.23</c:v>
                </c:pt>
                <c:pt idx="821">
                  <c:v>0.22</c:v>
                </c:pt>
                <c:pt idx="822">
                  <c:v>0.22</c:v>
                </c:pt>
                <c:pt idx="823">
                  <c:v>0.22</c:v>
                </c:pt>
                <c:pt idx="824">
                  <c:v>0.22</c:v>
                </c:pt>
                <c:pt idx="825">
                  <c:v>0.22</c:v>
                </c:pt>
                <c:pt idx="826">
                  <c:v>0.22</c:v>
                </c:pt>
                <c:pt idx="827">
                  <c:v>0.21</c:v>
                </c:pt>
                <c:pt idx="828">
                  <c:v>0.21</c:v>
                </c:pt>
                <c:pt idx="829">
                  <c:v>0.21</c:v>
                </c:pt>
                <c:pt idx="830">
                  <c:v>0.21</c:v>
                </c:pt>
                <c:pt idx="831">
                  <c:v>0.23</c:v>
                </c:pt>
                <c:pt idx="832">
                  <c:v>0.25</c:v>
                </c:pt>
                <c:pt idx="833">
                  <c:v>0.27</c:v>
                </c:pt>
                <c:pt idx="834">
                  <c:v>0.28999999999999998</c:v>
                </c:pt>
                <c:pt idx="835">
                  <c:v>0.32</c:v>
                </c:pt>
                <c:pt idx="836">
                  <c:v>0.32</c:v>
                </c:pt>
                <c:pt idx="837">
                  <c:v>0.32</c:v>
                </c:pt>
                <c:pt idx="838">
                  <c:v>0.35</c:v>
                </c:pt>
                <c:pt idx="839">
                  <c:v>0.37</c:v>
                </c:pt>
                <c:pt idx="840">
                  <c:v>0.4</c:v>
                </c:pt>
                <c:pt idx="841">
                  <c:v>0.46</c:v>
                </c:pt>
                <c:pt idx="842">
                  <c:v>0.5</c:v>
                </c:pt>
                <c:pt idx="843">
                  <c:v>0.5</c:v>
                </c:pt>
                <c:pt idx="844">
                  <c:v>0.5</c:v>
                </c:pt>
                <c:pt idx="845">
                  <c:v>0.54</c:v>
                </c:pt>
                <c:pt idx="846">
                  <c:v>0.55000000000000004</c:v>
                </c:pt>
                <c:pt idx="847">
                  <c:v>0.54</c:v>
                </c:pt>
                <c:pt idx="848">
                  <c:v>0.53</c:v>
                </c:pt>
                <c:pt idx="849">
                  <c:v>0.54</c:v>
                </c:pt>
                <c:pt idx="850">
                  <c:v>0.54</c:v>
                </c:pt>
                <c:pt idx="851">
                  <c:v>0.54</c:v>
                </c:pt>
                <c:pt idx="852">
                  <c:v>0.56999999999999995</c:v>
                </c:pt>
                <c:pt idx="853">
                  <c:v>0.63</c:v>
                </c:pt>
                <c:pt idx="854">
                  <c:v>0.66</c:v>
                </c:pt>
                <c:pt idx="855">
                  <c:v>0.64</c:v>
                </c:pt>
                <c:pt idx="856">
                  <c:v>0.63</c:v>
                </c:pt>
                <c:pt idx="857">
                  <c:v>0.63</c:v>
                </c:pt>
                <c:pt idx="858">
                  <c:v>0.63</c:v>
                </c:pt>
                <c:pt idx="859">
                  <c:v>0.62</c:v>
                </c:pt>
                <c:pt idx="860">
                  <c:v>0.63</c:v>
                </c:pt>
                <c:pt idx="861">
                  <c:v>0.63</c:v>
                </c:pt>
                <c:pt idx="862">
                  <c:v>0.62</c:v>
                </c:pt>
                <c:pt idx="863">
                  <c:v>0.62</c:v>
                </c:pt>
                <c:pt idx="864">
                  <c:v>0.62</c:v>
                </c:pt>
                <c:pt idx="865">
                  <c:v>0.62</c:v>
                </c:pt>
                <c:pt idx="866">
                  <c:v>0.62</c:v>
                </c:pt>
                <c:pt idx="867">
                  <c:v>0.62</c:v>
                </c:pt>
                <c:pt idx="868">
                  <c:v>0.61</c:v>
                </c:pt>
                <c:pt idx="869">
                  <c:v>0.6</c:v>
                </c:pt>
                <c:pt idx="870">
                  <c:v>0.6</c:v>
                </c:pt>
                <c:pt idx="871">
                  <c:v>0.6</c:v>
                </c:pt>
                <c:pt idx="872">
                  <c:v>0.6</c:v>
                </c:pt>
                <c:pt idx="873">
                  <c:v>0.6</c:v>
                </c:pt>
                <c:pt idx="874" formatCode="0.00">
                  <c:v>0.59</c:v>
                </c:pt>
                <c:pt idx="875" formatCode="0.00">
                  <c:v>0.57999999999999996</c:v>
                </c:pt>
                <c:pt idx="876" formatCode="0.00">
                  <c:v>0.56000000000000005</c:v>
                </c:pt>
                <c:pt idx="877" formatCode="0.00">
                  <c:v>0.52</c:v>
                </c:pt>
                <c:pt idx="878" formatCode="0.00">
                  <c:v>0.52</c:v>
                </c:pt>
                <c:pt idx="879" formatCode="0.00">
                  <c:v>0.52</c:v>
                </c:pt>
                <c:pt idx="880" formatCode="0.00">
                  <c:v>0.5</c:v>
                </c:pt>
                <c:pt idx="881" formatCode="0.00">
                  <c:v>0.5</c:v>
                </c:pt>
                <c:pt idx="882" formatCode="0.00">
                  <c:v>0.49</c:v>
                </c:pt>
                <c:pt idx="883">
                  <c:v>0.48</c:v>
                </c:pt>
                <c:pt idx="884">
                  <c:v>0.48</c:v>
                </c:pt>
                <c:pt idx="885">
                  <c:v>0.48</c:v>
                </c:pt>
                <c:pt idx="886">
                  <c:v>0.48</c:v>
                </c:pt>
                <c:pt idx="887">
                  <c:v>0.48</c:v>
                </c:pt>
                <c:pt idx="888">
                  <c:v>0.48</c:v>
                </c:pt>
                <c:pt idx="889">
                  <c:v>0.49</c:v>
                </c:pt>
                <c:pt idx="890">
                  <c:v>0.5</c:v>
                </c:pt>
                <c:pt idx="891">
                  <c:v>0.52</c:v>
                </c:pt>
                <c:pt idx="892">
                  <c:v>0.52</c:v>
                </c:pt>
                <c:pt idx="893">
                  <c:v>0.52</c:v>
                </c:pt>
                <c:pt idx="894">
                  <c:v>0.54</c:v>
                </c:pt>
                <c:pt idx="895">
                  <c:v>0.54</c:v>
                </c:pt>
                <c:pt idx="896">
                  <c:v>0.53</c:v>
                </c:pt>
                <c:pt idx="897">
                  <c:v>0.53</c:v>
                </c:pt>
                <c:pt idx="898">
                  <c:v>0.53</c:v>
                </c:pt>
                <c:pt idx="899">
                  <c:v>0.53</c:v>
                </c:pt>
                <c:pt idx="900">
                  <c:v>0.53</c:v>
                </c:pt>
                <c:pt idx="901">
                  <c:v>0.53</c:v>
                </c:pt>
                <c:pt idx="902">
                  <c:v>0.54</c:v>
                </c:pt>
                <c:pt idx="903">
                  <c:v>0.53</c:v>
                </c:pt>
                <c:pt idx="904">
                  <c:v>0.53</c:v>
                </c:pt>
                <c:pt idx="905">
                  <c:v>0.53</c:v>
                </c:pt>
                <c:pt idx="906">
                  <c:v>0.53</c:v>
                </c:pt>
                <c:pt idx="907">
                  <c:v>0.53</c:v>
                </c:pt>
                <c:pt idx="908">
                  <c:v>0.52</c:v>
                </c:pt>
                <c:pt idx="909">
                  <c:v>0.52</c:v>
                </c:pt>
                <c:pt idx="910">
                  <c:v>0.52</c:v>
                </c:pt>
                <c:pt idx="911">
                  <c:v>0.52</c:v>
                </c:pt>
                <c:pt idx="912">
                  <c:v>0.52</c:v>
                </c:pt>
                <c:pt idx="913">
                  <c:v>0.52</c:v>
                </c:pt>
                <c:pt idx="914">
                  <c:v>0.52</c:v>
                </c:pt>
                <c:pt idx="915">
                  <c:v>0.53</c:v>
                </c:pt>
                <c:pt idx="916">
                  <c:v>0.53</c:v>
                </c:pt>
                <c:pt idx="917">
                  <c:v>0.55000000000000004</c:v>
                </c:pt>
                <c:pt idx="918">
                  <c:v>0.56000000000000005</c:v>
                </c:pt>
                <c:pt idx="919">
                  <c:v>0.56999999999999995</c:v>
                </c:pt>
                <c:pt idx="920">
                  <c:v>0.56999999999999995</c:v>
                </c:pt>
                <c:pt idx="921">
                  <c:v>0.56999999999999995</c:v>
                </c:pt>
                <c:pt idx="922">
                  <c:v>0.56999999999999995</c:v>
                </c:pt>
                <c:pt idx="923">
                  <c:v>0.57999999999999996</c:v>
                </c:pt>
                <c:pt idx="924">
                  <c:v>0.59</c:v>
                </c:pt>
                <c:pt idx="925">
                  <c:v>0.59</c:v>
                </c:pt>
                <c:pt idx="926">
                  <c:v>0.59</c:v>
                </c:pt>
                <c:pt idx="927">
                  <c:v>0.59</c:v>
                </c:pt>
                <c:pt idx="928">
                  <c:v>0.59</c:v>
                </c:pt>
                <c:pt idx="929">
                  <c:v>0.59</c:v>
                </c:pt>
                <c:pt idx="930">
                  <c:v>0.6</c:v>
                </c:pt>
                <c:pt idx="931">
                  <c:v>0.6</c:v>
                </c:pt>
                <c:pt idx="932">
                  <c:v>0.59</c:v>
                </c:pt>
                <c:pt idx="933">
                  <c:v>0.57999999999999996</c:v>
                </c:pt>
                <c:pt idx="934">
                  <c:v>0.57999999999999996</c:v>
                </c:pt>
                <c:pt idx="935">
                  <c:v>0.57999999999999996</c:v>
                </c:pt>
                <c:pt idx="936">
                  <c:v>0.56999999999999995</c:v>
                </c:pt>
                <c:pt idx="937">
                  <c:v>0.56999999999999995</c:v>
                </c:pt>
                <c:pt idx="938">
                  <c:v>0.56999999999999995</c:v>
                </c:pt>
                <c:pt idx="939">
                  <c:v>0.56000000000000005</c:v>
                </c:pt>
                <c:pt idx="940">
                  <c:v>0.55000000000000004</c:v>
                </c:pt>
                <c:pt idx="941">
                  <c:v>0.55000000000000004</c:v>
                </c:pt>
                <c:pt idx="942">
                  <c:v>0.55000000000000004</c:v>
                </c:pt>
                <c:pt idx="943">
                  <c:v>0.55000000000000004</c:v>
                </c:pt>
                <c:pt idx="944">
                  <c:v>0.55000000000000004</c:v>
                </c:pt>
                <c:pt idx="945">
                  <c:v>0.54</c:v>
                </c:pt>
                <c:pt idx="946">
                  <c:v>0.54</c:v>
                </c:pt>
                <c:pt idx="947">
                  <c:v>0.55000000000000004</c:v>
                </c:pt>
                <c:pt idx="948">
                  <c:v>0.55000000000000004</c:v>
                </c:pt>
                <c:pt idx="949">
                  <c:v>0.55000000000000004</c:v>
                </c:pt>
                <c:pt idx="950">
                  <c:v>0.55000000000000004</c:v>
                </c:pt>
                <c:pt idx="951">
                  <c:v>0.56000000000000005</c:v>
                </c:pt>
                <c:pt idx="952">
                  <c:v>0.56999999999999995</c:v>
                </c:pt>
                <c:pt idx="953">
                  <c:v>0.59</c:v>
                </c:pt>
                <c:pt idx="954">
                  <c:v>0.6</c:v>
                </c:pt>
                <c:pt idx="955">
                  <c:v>0.6</c:v>
                </c:pt>
                <c:pt idx="956">
                  <c:v>0.6</c:v>
                </c:pt>
                <c:pt idx="957">
                  <c:v>0.6</c:v>
                </c:pt>
                <c:pt idx="958">
                  <c:v>0.6</c:v>
                </c:pt>
                <c:pt idx="959">
                  <c:v>0.59</c:v>
                </c:pt>
                <c:pt idx="960">
                  <c:v>0.57999999999999996</c:v>
                </c:pt>
                <c:pt idx="961">
                  <c:v>0.57999999999999996</c:v>
                </c:pt>
                <c:pt idx="962">
                  <c:v>0.57999999999999996</c:v>
                </c:pt>
                <c:pt idx="963">
                  <c:v>0.57999999999999996</c:v>
                </c:pt>
                <c:pt idx="964">
                  <c:v>0.57999999999999996</c:v>
                </c:pt>
                <c:pt idx="965">
                  <c:v>0.57999999999999996</c:v>
                </c:pt>
                <c:pt idx="966">
                  <c:v>0.56999999999999995</c:v>
                </c:pt>
                <c:pt idx="967">
                  <c:v>0.56000000000000005</c:v>
                </c:pt>
                <c:pt idx="968">
                  <c:v>0.55000000000000004</c:v>
                </c:pt>
                <c:pt idx="969">
                  <c:v>0.55000000000000004</c:v>
                </c:pt>
                <c:pt idx="970">
                  <c:v>0.55000000000000004</c:v>
                </c:pt>
                <c:pt idx="971">
                  <c:v>0.54</c:v>
                </c:pt>
                <c:pt idx="972">
                  <c:v>0.54</c:v>
                </c:pt>
                <c:pt idx="973">
                  <c:v>0.54</c:v>
                </c:pt>
                <c:pt idx="974">
                  <c:v>0.54</c:v>
                </c:pt>
                <c:pt idx="975">
                  <c:v>0.54</c:v>
                </c:pt>
                <c:pt idx="976">
                  <c:v>0.54</c:v>
                </c:pt>
                <c:pt idx="977">
                  <c:v>0.54</c:v>
                </c:pt>
                <c:pt idx="978">
                  <c:v>0.54</c:v>
                </c:pt>
                <c:pt idx="979">
                  <c:v>0.54</c:v>
                </c:pt>
                <c:pt idx="980">
                  <c:v>0.54</c:v>
                </c:pt>
                <c:pt idx="981">
                  <c:v>0.55000000000000004</c:v>
                </c:pt>
                <c:pt idx="982">
                  <c:v>0.55000000000000004</c:v>
                </c:pt>
                <c:pt idx="983">
                  <c:v>0.55000000000000004</c:v>
                </c:pt>
                <c:pt idx="984">
                  <c:v>0.55000000000000004</c:v>
                </c:pt>
                <c:pt idx="985">
                  <c:v>0.55000000000000004</c:v>
                </c:pt>
                <c:pt idx="986">
                  <c:v>0.55000000000000004</c:v>
                </c:pt>
                <c:pt idx="987">
                  <c:v>0.55000000000000004</c:v>
                </c:pt>
                <c:pt idx="988">
                  <c:v>0.55000000000000004</c:v>
                </c:pt>
                <c:pt idx="989">
                  <c:v>0.55000000000000004</c:v>
                </c:pt>
                <c:pt idx="990">
                  <c:v>0.55000000000000004</c:v>
                </c:pt>
                <c:pt idx="991">
                  <c:v>0.55000000000000004</c:v>
                </c:pt>
                <c:pt idx="992">
                  <c:v>0.55000000000000004</c:v>
                </c:pt>
                <c:pt idx="993">
                  <c:v>0.55000000000000004</c:v>
                </c:pt>
                <c:pt idx="994">
                  <c:v>0.55000000000000004</c:v>
                </c:pt>
                <c:pt idx="995">
                  <c:v>0.55000000000000004</c:v>
                </c:pt>
                <c:pt idx="996">
                  <c:v>0.55000000000000004</c:v>
                </c:pt>
                <c:pt idx="997">
                  <c:v>0.55000000000000004</c:v>
                </c:pt>
                <c:pt idx="998">
                  <c:v>0.55000000000000004</c:v>
                </c:pt>
                <c:pt idx="999">
                  <c:v>0.55000000000000004</c:v>
                </c:pt>
                <c:pt idx="1000">
                  <c:v>0.55000000000000004</c:v>
                </c:pt>
                <c:pt idx="1001">
                  <c:v>0.54</c:v>
                </c:pt>
                <c:pt idx="1002">
                  <c:v>0.54</c:v>
                </c:pt>
                <c:pt idx="1003">
                  <c:v>0.53</c:v>
                </c:pt>
                <c:pt idx="1004">
                  <c:v>0.53</c:v>
                </c:pt>
                <c:pt idx="1005">
                  <c:v>0.53</c:v>
                </c:pt>
                <c:pt idx="1006">
                  <c:v>0.52</c:v>
                </c:pt>
                <c:pt idx="1007">
                  <c:v>0.51</c:v>
                </c:pt>
                <c:pt idx="1008">
                  <c:v>0.5</c:v>
                </c:pt>
                <c:pt idx="1009">
                  <c:v>0.5</c:v>
                </c:pt>
                <c:pt idx="1010">
                  <c:v>0.5</c:v>
                </c:pt>
                <c:pt idx="1011">
                  <c:v>0.5</c:v>
                </c:pt>
                <c:pt idx="1012">
                  <c:v>0.5</c:v>
                </c:pt>
                <c:pt idx="1013">
                  <c:v>0.5</c:v>
                </c:pt>
                <c:pt idx="1014">
                  <c:v>0.5</c:v>
                </c:pt>
                <c:pt idx="1015">
                  <c:v>0.5</c:v>
                </c:pt>
                <c:pt idx="1016">
                  <c:v>0.5</c:v>
                </c:pt>
                <c:pt idx="1017">
                  <c:v>0.49</c:v>
                </c:pt>
                <c:pt idx="1018">
                  <c:v>0.49</c:v>
                </c:pt>
                <c:pt idx="1019">
                  <c:v>0.49</c:v>
                </c:pt>
                <c:pt idx="1020">
                  <c:v>0.49</c:v>
                </c:pt>
                <c:pt idx="1021">
                  <c:v>0.49</c:v>
                </c:pt>
                <c:pt idx="1022">
                  <c:v>0.49</c:v>
                </c:pt>
                <c:pt idx="1023">
                  <c:v>0.49</c:v>
                </c:pt>
                <c:pt idx="1024">
                  <c:v>0.49</c:v>
                </c:pt>
                <c:pt idx="1025">
                  <c:v>0.49</c:v>
                </c:pt>
                <c:pt idx="1026">
                  <c:v>0.49</c:v>
                </c:pt>
                <c:pt idx="1027">
                  <c:v>0.49</c:v>
                </c:pt>
                <c:pt idx="1028">
                  <c:v>0.49</c:v>
                </c:pt>
                <c:pt idx="1029">
                  <c:v>0.49</c:v>
                </c:pt>
                <c:pt idx="1030">
                  <c:v>0.49</c:v>
                </c:pt>
                <c:pt idx="1031">
                  <c:v>0.49</c:v>
                </c:pt>
                <c:pt idx="1032">
                  <c:v>0.49</c:v>
                </c:pt>
                <c:pt idx="1033">
                  <c:v>0.49</c:v>
                </c:pt>
                <c:pt idx="1034">
                  <c:v>0.49</c:v>
                </c:pt>
                <c:pt idx="1035">
                  <c:v>0.49</c:v>
                </c:pt>
                <c:pt idx="1036">
                  <c:v>0.49</c:v>
                </c:pt>
                <c:pt idx="1037">
                  <c:v>0.49</c:v>
                </c:pt>
                <c:pt idx="1038">
                  <c:v>0.49</c:v>
                </c:pt>
                <c:pt idx="1039">
                  <c:v>0.49</c:v>
                </c:pt>
                <c:pt idx="1040">
                  <c:v>0.49</c:v>
                </c:pt>
                <c:pt idx="1041">
                  <c:v>0.49</c:v>
                </c:pt>
                <c:pt idx="1042">
                  <c:v>0.49</c:v>
                </c:pt>
                <c:pt idx="1043">
                  <c:v>0.49</c:v>
                </c:pt>
                <c:pt idx="1044">
                  <c:v>0.49</c:v>
                </c:pt>
                <c:pt idx="1045">
                  <c:v>0.49</c:v>
                </c:pt>
                <c:pt idx="1046">
                  <c:v>0.49</c:v>
                </c:pt>
                <c:pt idx="1047">
                  <c:v>0.49</c:v>
                </c:pt>
                <c:pt idx="1048">
                  <c:v>0.49</c:v>
                </c:pt>
                <c:pt idx="1049">
                  <c:v>0.48</c:v>
                </c:pt>
                <c:pt idx="1050">
                  <c:v>0.47</c:v>
                </c:pt>
                <c:pt idx="1051">
                  <c:v>0.5</c:v>
                </c:pt>
                <c:pt idx="1052">
                  <c:v>0.51</c:v>
                </c:pt>
                <c:pt idx="1053">
                  <c:v>0.51</c:v>
                </c:pt>
                <c:pt idx="1054">
                  <c:v>0.51</c:v>
                </c:pt>
                <c:pt idx="1055">
                  <c:v>0.51</c:v>
                </c:pt>
                <c:pt idx="1056">
                  <c:v>0.51</c:v>
                </c:pt>
                <c:pt idx="1057">
                  <c:v>0.51</c:v>
                </c:pt>
                <c:pt idx="1058">
                  <c:v>0.51</c:v>
                </c:pt>
                <c:pt idx="1059">
                  <c:v>0.5</c:v>
                </c:pt>
                <c:pt idx="1060">
                  <c:v>0.5</c:v>
                </c:pt>
                <c:pt idx="1061">
                  <c:v>0.5</c:v>
                </c:pt>
                <c:pt idx="1062">
                  <c:v>0.51</c:v>
                </c:pt>
                <c:pt idx="1063">
                  <c:v>0.5</c:v>
                </c:pt>
                <c:pt idx="1064">
                  <c:v>0.5</c:v>
                </c:pt>
                <c:pt idx="1065">
                  <c:v>0.5</c:v>
                </c:pt>
                <c:pt idx="1066">
                  <c:v>0.5</c:v>
                </c:pt>
                <c:pt idx="1067">
                  <c:v>0.5</c:v>
                </c:pt>
                <c:pt idx="1068">
                  <c:v>0.5</c:v>
                </c:pt>
                <c:pt idx="1069">
                  <c:v>0.5</c:v>
                </c:pt>
                <c:pt idx="1070">
                  <c:v>0.5</c:v>
                </c:pt>
                <c:pt idx="1071">
                  <c:v>0.49</c:v>
                </c:pt>
                <c:pt idx="1072">
                  <c:v>0.5</c:v>
                </c:pt>
                <c:pt idx="1073">
                  <c:v>0.5</c:v>
                </c:pt>
                <c:pt idx="1074">
                  <c:v>0.5</c:v>
                </c:pt>
                <c:pt idx="1075">
                  <c:v>0.5</c:v>
                </c:pt>
                <c:pt idx="1076">
                  <c:v>0.5</c:v>
                </c:pt>
                <c:pt idx="1077">
                  <c:v>0.51</c:v>
                </c:pt>
                <c:pt idx="1078">
                  <c:v>0.51</c:v>
                </c:pt>
                <c:pt idx="1079">
                  <c:v>0.51</c:v>
                </c:pt>
                <c:pt idx="1080">
                  <c:v>0.51</c:v>
                </c:pt>
                <c:pt idx="1081">
                  <c:v>0.51</c:v>
                </c:pt>
                <c:pt idx="1082">
                  <c:v>0.51</c:v>
                </c:pt>
                <c:pt idx="1083">
                  <c:v>0.51</c:v>
                </c:pt>
                <c:pt idx="1084">
                  <c:v>0.51</c:v>
                </c:pt>
                <c:pt idx="1085">
                  <c:v>0.51</c:v>
                </c:pt>
                <c:pt idx="1086">
                  <c:v>0.51</c:v>
                </c:pt>
                <c:pt idx="1087">
                  <c:v>0.5</c:v>
                </c:pt>
                <c:pt idx="1088">
                  <c:v>0.5</c:v>
                </c:pt>
                <c:pt idx="1089">
                  <c:v>0.5</c:v>
                </c:pt>
                <c:pt idx="1090">
                  <c:v>0.5</c:v>
                </c:pt>
                <c:pt idx="1091">
                  <c:v>0.5</c:v>
                </c:pt>
                <c:pt idx="1092">
                  <c:v>0.51</c:v>
                </c:pt>
                <c:pt idx="1093">
                  <c:v>0.51</c:v>
                </c:pt>
                <c:pt idx="1094">
                  <c:v>0.51</c:v>
                </c:pt>
                <c:pt idx="1095">
                  <c:v>0.51</c:v>
                </c:pt>
                <c:pt idx="1096">
                  <c:v>0.51</c:v>
                </c:pt>
                <c:pt idx="1097">
                  <c:v>0.51</c:v>
                </c:pt>
                <c:pt idx="1098">
                  <c:v>0.52</c:v>
                </c:pt>
                <c:pt idx="1099">
                  <c:v>0.51</c:v>
                </c:pt>
                <c:pt idx="1100">
                  <c:v>0.51</c:v>
                </c:pt>
                <c:pt idx="1101">
                  <c:v>0.5</c:v>
                </c:pt>
                <c:pt idx="1102">
                  <c:v>0.5</c:v>
                </c:pt>
                <c:pt idx="1103">
                  <c:v>0.5</c:v>
                </c:pt>
                <c:pt idx="1104">
                  <c:v>0.5</c:v>
                </c:pt>
                <c:pt idx="1105">
                  <c:v>0.5</c:v>
                </c:pt>
                <c:pt idx="1106">
                  <c:v>0.5</c:v>
                </c:pt>
                <c:pt idx="1107">
                  <c:v>0.5</c:v>
                </c:pt>
                <c:pt idx="1108">
                  <c:v>0.5</c:v>
                </c:pt>
                <c:pt idx="1109">
                  <c:v>0.5</c:v>
                </c:pt>
                <c:pt idx="1110">
                  <c:v>0.5</c:v>
                </c:pt>
                <c:pt idx="1111">
                  <c:v>0.5</c:v>
                </c:pt>
                <c:pt idx="1112">
                  <c:v>0.5</c:v>
                </c:pt>
                <c:pt idx="1113">
                  <c:v>0.5</c:v>
                </c:pt>
                <c:pt idx="1114">
                  <c:v>0.49</c:v>
                </c:pt>
                <c:pt idx="1115">
                  <c:v>0.48</c:v>
                </c:pt>
                <c:pt idx="1116">
                  <c:v>0.48</c:v>
                </c:pt>
                <c:pt idx="1117">
                  <c:v>0.48</c:v>
                </c:pt>
                <c:pt idx="1118">
                  <c:v>0.48</c:v>
                </c:pt>
                <c:pt idx="1119">
                  <c:v>0.48</c:v>
                </c:pt>
                <c:pt idx="1120">
                  <c:v>0.47</c:v>
                </c:pt>
                <c:pt idx="1121">
                  <c:v>0.47</c:v>
                </c:pt>
                <c:pt idx="1122">
                  <c:v>0.47</c:v>
                </c:pt>
                <c:pt idx="1123">
                  <c:v>0.47</c:v>
                </c:pt>
                <c:pt idx="1124">
                  <c:v>0.47</c:v>
                </c:pt>
                <c:pt idx="1125">
                  <c:v>0.47</c:v>
                </c:pt>
                <c:pt idx="1126">
                  <c:v>0.47</c:v>
                </c:pt>
                <c:pt idx="1127">
                  <c:v>0.47</c:v>
                </c:pt>
                <c:pt idx="1128">
                  <c:v>0.47</c:v>
                </c:pt>
                <c:pt idx="1129">
                  <c:v>0.46</c:v>
                </c:pt>
                <c:pt idx="1130">
                  <c:v>0.46</c:v>
                </c:pt>
                <c:pt idx="1131">
                  <c:v>0.46</c:v>
                </c:pt>
                <c:pt idx="1132">
                  <c:v>0.46</c:v>
                </c:pt>
                <c:pt idx="1133">
                  <c:v>0.46</c:v>
                </c:pt>
                <c:pt idx="1134">
                  <c:v>0.46</c:v>
                </c:pt>
                <c:pt idx="1135">
                  <c:v>0.46</c:v>
                </c:pt>
                <c:pt idx="1136">
                  <c:v>0.46</c:v>
                </c:pt>
                <c:pt idx="1137">
                  <c:v>0.46</c:v>
                </c:pt>
                <c:pt idx="1138">
                  <c:v>0.46</c:v>
                </c:pt>
                <c:pt idx="1139">
                  <c:v>0.46</c:v>
                </c:pt>
                <c:pt idx="1140">
                  <c:v>0.46</c:v>
                </c:pt>
                <c:pt idx="1141">
                  <c:v>0.46</c:v>
                </c:pt>
                <c:pt idx="1142">
                  <c:v>0.46</c:v>
                </c:pt>
                <c:pt idx="1143">
                  <c:v>0.46</c:v>
                </c:pt>
                <c:pt idx="1144">
                  <c:v>0.46</c:v>
                </c:pt>
                <c:pt idx="1145">
                  <c:v>0.46</c:v>
                </c:pt>
                <c:pt idx="1146">
                  <c:v>0.46</c:v>
                </c:pt>
                <c:pt idx="1147">
                  <c:v>0.46</c:v>
                </c:pt>
                <c:pt idx="1148">
                  <c:v>0.46</c:v>
                </c:pt>
                <c:pt idx="1149">
                  <c:v>0.46</c:v>
                </c:pt>
                <c:pt idx="1150">
                  <c:v>0.46</c:v>
                </c:pt>
                <c:pt idx="1151">
                  <c:v>0.46</c:v>
                </c:pt>
                <c:pt idx="1152">
                  <c:v>0.46</c:v>
                </c:pt>
                <c:pt idx="1153">
                  <c:v>0.46</c:v>
                </c:pt>
                <c:pt idx="1154">
                  <c:v>0.46</c:v>
                </c:pt>
                <c:pt idx="1155">
                  <c:v>0.46</c:v>
                </c:pt>
                <c:pt idx="1156">
                  <c:v>0.46</c:v>
                </c:pt>
                <c:pt idx="1157">
                  <c:v>0.46</c:v>
                </c:pt>
                <c:pt idx="1158">
                  <c:v>0.46</c:v>
                </c:pt>
                <c:pt idx="1159">
                  <c:v>0.46</c:v>
                </c:pt>
                <c:pt idx="1160">
                  <c:v>0.46</c:v>
                </c:pt>
                <c:pt idx="1161">
                  <c:v>0.46</c:v>
                </c:pt>
                <c:pt idx="1162">
                  <c:v>0.46</c:v>
                </c:pt>
                <c:pt idx="1163">
                  <c:v>0.47</c:v>
                </c:pt>
                <c:pt idx="1164">
                  <c:v>0.47</c:v>
                </c:pt>
                <c:pt idx="1165">
                  <c:v>0.47</c:v>
                </c:pt>
                <c:pt idx="1166">
                  <c:v>0.47</c:v>
                </c:pt>
                <c:pt idx="1167">
                  <c:v>0.46</c:v>
                </c:pt>
                <c:pt idx="1168">
                  <c:v>0.46</c:v>
                </c:pt>
                <c:pt idx="1169">
                  <c:v>0.46</c:v>
                </c:pt>
                <c:pt idx="1170">
                  <c:v>0.46</c:v>
                </c:pt>
                <c:pt idx="1171">
                  <c:v>0.46</c:v>
                </c:pt>
                <c:pt idx="1172">
                  <c:v>0.46</c:v>
                </c:pt>
                <c:pt idx="1173">
                  <c:v>0.46</c:v>
                </c:pt>
                <c:pt idx="1174">
                  <c:v>0.47</c:v>
                </c:pt>
                <c:pt idx="1175">
                  <c:v>0.49</c:v>
                </c:pt>
                <c:pt idx="1176">
                  <c:v>0.5</c:v>
                </c:pt>
                <c:pt idx="1177">
                  <c:v>0.49</c:v>
                </c:pt>
                <c:pt idx="1178">
                  <c:v>0.48</c:v>
                </c:pt>
                <c:pt idx="1179">
                  <c:v>0.48</c:v>
                </c:pt>
                <c:pt idx="1180">
                  <c:v>0.48</c:v>
                </c:pt>
                <c:pt idx="1181">
                  <c:v>0.49</c:v>
                </c:pt>
                <c:pt idx="1182">
                  <c:v>0.48</c:v>
                </c:pt>
                <c:pt idx="1183">
                  <c:v>0.48</c:v>
                </c:pt>
                <c:pt idx="1184">
                  <c:v>0.48</c:v>
                </c:pt>
                <c:pt idx="1185">
                  <c:v>0.48</c:v>
                </c:pt>
                <c:pt idx="1186">
                  <c:v>0.48</c:v>
                </c:pt>
                <c:pt idx="1187">
                  <c:v>0.48</c:v>
                </c:pt>
                <c:pt idx="1188">
                  <c:v>0.48</c:v>
                </c:pt>
                <c:pt idx="1189">
                  <c:v>0.48</c:v>
                </c:pt>
                <c:pt idx="1190">
                  <c:v>0.48</c:v>
                </c:pt>
                <c:pt idx="1191">
                  <c:v>0.48</c:v>
                </c:pt>
                <c:pt idx="1192">
                  <c:v>0.48</c:v>
                </c:pt>
                <c:pt idx="1193">
                  <c:v>0.48</c:v>
                </c:pt>
                <c:pt idx="1194">
                  <c:v>0.48</c:v>
                </c:pt>
                <c:pt idx="1195">
                  <c:v>0.48</c:v>
                </c:pt>
                <c:pt idx="1196">
                  <c:v>0.48</c:v>
                </c:pt>
                <c:pt idx="1197">
                  <c:v>0.48</c:v>
                </c:pt>
                <c:pt idx="1198">
                  <c:v>0.48</c:v>
                </c:pt>
                <c:pt idx="1199">
                  <c:v>0.47</c:v>
                </c:pt>
                <c:pt idx="1200">
                  <c:v>0.47</c:v>
                </c:pt>
                <c:pt idx="1201">
                  <c:v>0.47</c:v>
                </c:pt>
                <c:pt idx="1202">
                  <c:v>0.48</c:v>
                </c:pt>
                <c:pt idx="1203">
                  <c:v>0.48</c:v>
                </c:pt>
                <c:pt idx="1204">
                  <c:v>0.48</c:v>
                </c:pt>
                <c:pt idx="1205">
                  <c:v>0.48</c:v>
                </c:pt>
                <c:pt idx="1206">
                  <c:v>0.48</c:v>
                </c:pt>
                <c:pt idx="1207">
                  <c:v>0.48</c:v>
                </c:pt>
                <c:pt idx="1208">
                  <c:v>0.48</c:v>
                </c:pt>
                <c:pt idx="1209">
                  <c:v>0.48</c:v>
                </c:pt>
                <c:pt idx="1210">
                  <c:v>0.48</c:v>
                </c:pt>
                <c:pt idx="1211">
                  <c:v>0.48</c:v>
                </c:pt>
                <c:pt idx="1212">
                  <c:v>0.48</c:v>
                </c:pt>
                <c:pt idx="1213">
                  <c:v>0.48</c:v>
                </c:pt>
                <c:pt idx="1214">
                  <c:v>0.48</c:v>
                </c:pt>
                <c:pt idx="1215">
                  <c:v>0.48</c:v>
                </c:pt>
                <c:pt idx="1216">
                  <c:v>0.48</c:v>
                </c:pt>
                <c:pt idx="1217">
                  <c:v>0.47</c:v>
                </c:pt>
                <c:pt idx="1218">
                  <c:v>0.47</c:v>
                </c:pt>
                <c:pt idx="1219">
                  <c:v>0.47</c:v>
                </c:pt>
                <c:pt idx="1220">
                  <c:v>0.46</c:v>
                </c:pt>
                <c:pt idx="1221">
                  <c:v>0.46</c:v>
                </c:pt>
                <c:pt idx="1222">
                  <c:v>0.46</c:v>
                </c:pt>
                <c:pt idx="1223">
                  <c:v>0.46</c:v>
                </c:pt>
                <c:pt idx="1224">
                  <c:v>0.45</c:v>
                </c:pt>
                <c:pt idx="1225">
                  <c:v>0.45</c:v>
                </c:pt>
                <c:pt idx="1226">
                  <c:v>0.45</c:v>
                </c:pt>
                <c:pt idx="1227">
                  <c:v>0.45</c:v>
                </c:pt>
                <c:pt idx="1228">
                  <c:v>0.45</c:v>
                </c:pt>
                <c:pt idx="1229">
                  <c:v>0.45</c:v>
                </c:pt>
                <c:pt idx="1230">
                  <c:v>0.45</c:v>
                </c:pt>
                <c:pt idx="1231">
                  <c:v>0.45</c:v>
                </c:pt>
                <c:pt idx="1232">
                  <c:v>0.45</c:v>
                </c:pt>
                <c:pt idx="1233">
                  <c:v>0.45</c:v>
                </c:pt>
                <c:pt idx="1234">
                  <c:v>0.45</c:v>
                </c:pt>
                <c:pt idx="1235">
                  <c:v>0.45</c:v>
                </c:pt>
                <c:pt idx="1236">
                  <c:v>0.45</c:v>
                </c:pt>
                <c:pt idx="1237">
                  <c:v>0.45</c:v>
                </c:pt>
                <c:pt idx="1238">
                  <c:v>0.45</c:v>
                </c:pt>
                <c:pt idx="1239">
                  <c:v>0.45</c:v>
                </c:pt>
                <c:pt idx="1240">
                  <c:v>0.45</c:v>
                </c:pt>
                <c:pt idx="1241">
                  <c:v>0.45</c:v>
                </c:pt>
                <c:pt idx="1242">
                  <c:v>0.45</c:v>
                </c:pt>
                <c:pt idx="1243">
                  <c:v>0.45</c:v>
                </c:pt>
                <c:pt idx="1244">
                  <c:v>0.45</c:v>
                </c:pt>
                <c:pt idx="1245">
                  <c:v>0.45</c:v>
                </c:pt>
                <c:pt idx="1246">
                  <c:v>0.45</c:v>
                </c:pt>
                <c:pt idx="1247">
                  <c:v>0.45</c:v>
                </c:pt>
                <c:pt idx="1248">
                  <c:v>0.44</c:v>
                </c:pt>
                <c:pt idx="1249">
                  <c:v>0.44</c:v>
                </c:pt>
                <c:pt idx="1250">
                  <c:v>0.44</c:v>
                </c:pt>
                <c:pt idx="1251">
                  <c:v>0.44</c:v>
                </c:pt>
                <c:pt idx="1252">
                  <c:v>0.43</c:v>
                </c:pt>
                <c:pt idx="1253">
                  <c:v>0.42</c:v>
                </c:pt>
                <c:pt idx="1254">
                  <c:v>0.41</c:v>
                </c:pt>
                <c:pt idx="1255">
                  <c:v>0.41</c:v>
                </c:pt>
                <c:pt idx="1256">
                  <c:v>0.41</c:v>
                </c:pt>
                <c:pt idx="1257">
                  <c:v>0.41</c:v>
                </c:pt>
                <c:pt idx="1258">
                  <c:v>0.4</c:v>
                </c:pt>
                <c:pt idx="1259">
                  <c:v>0.39</c:v>
                </c:pt>
                <c:pt idx="1260">
                  <c:v>0.39</c:v>
                </c:pt>
                <c:pt idx="1261">
                  <c:v>0.39</c:v>
                </c:pt>
                <c:pt idx="1262">
                  <c:v>0.39</c:v>
                </c:pt>
                <c:pt idx="1263">
                  <c:v>0.39</c:v>
                </c:pt>
                <c:pt idx="1264">
                  <c:v>0.39</c:v>
                </c:pt>
                <c:pt idx="1265">
                  <c:v>0.39</c:v>
                </c:pt>
                <c:pt idx="1266">
                  <c:v>0.39</c:v>
                </c:pt>
                <c:pt idx="1267">
                  <c:v>0.39</c:v>
                </c:pt>
                <c:pt idx="1268">
                  <c:v>0.39</c:v>
                </c:pt>
                <c:pt idx="1269">
                  <c:v>0.39</c:v>
                </c:pt>
                <c:pt idx="1270">
                  <c:v>0.39</c:v>
                </c:pt>
                <c:pt idx="1271">
                  <c:v>0.39</c:v>
                </c:pt>
                <c:pt idx="1272">
                  <c:v>0.38</c:v>
                </c:pt>
                <c:pt idx="1273">
                  <c:v>0.37</c:v>
                </c:pt>
                <c:pt idx="1274">
                  <c:v>0.36</c:v>
                </c:pt>
                <c:pt idx="1275">
                  <c:v>0.36</c:v>
                </c:pt>
                <c:pt idx="1276">
                  <c:v>0.36</c:v>
                </c:pt>
                <c:pt idx="1277">
                  <c:v>0.36</c:v>
                </c:pt>
                <c:pt idx="1278">
                  <c:v>0.36</c:v>
                </c:pt>
                <c:pt idx="1279">
                  <c:v>0.36</c:v>
                </c:pt>
                <c:pt idx="1280">
                  <c:v>0.36</c:v>
                </c:pt>
                <c:pt idx="1281">
                  <c:v>0.36</c:v>
                </c:pt>
                <c:pt idx="1282">
                  <c:v>0.35</c:v>
                </c:pt>
                <c:pt idx="1283">
                  <c:v>0.34</c:v>
                </c:pt>
                <c:pt idx="1284">
                  <c:v>0.34</c:v>
                </c:pt>
                <c:pt idx="1285">
                  <c:v>0.34</c:v>
                </c:pt>
                <c:pt idx="1286">
                  <c:v>0.34</c:v>
                </c:pt>
                <c:pt idx="1287">
                  <c:v>0.34</c:v>
                </c:pt>
                <c:pt idx="1288">
                  <c:v>0.34</c:v>
                </c:pt>
                <c:pt idx="1289">
                  <c:v>0.33</c:v>
                </c:pt>
                <c:pt idx="1290">
                  <c:v>0.33</c:v>
                </c:pt>
                <c:pt idx="1291">
                  <c:v>0.33</c:v>
                </c:pt>
                <c:pt idx="1292">
                  <c:v>0.33</c:v>
                </c:pt>
                <c:pt idx="1293">
                  <c:v>0.33</c:v>
                </c:pt>
                <c:pt idx="1294">
                  <c:v>0.32</c:v>
                </c:pt>
                <c:pt idx="1295">
                  <c:v>0.32</c:v>
                </c:pt>
                <c:pt idx="1296">
                  <c:v>0.32</c:v>
                </c:pt>
                <c:pt idx="1297">
                  <c:v>0.31</c:v>
                </c:pt>
                <c:pt idx="1298">
                  <c:v>0.3</c:v>
                </c:pt>
                <c:pt idx="1299">
                  <c:v>0.3</c:v>
                </c:pt>
                <c:pt idx="1300">
                  <c:v>0.28999999999999998</c:v>
                </c:pt>
                <c:pt idx="1301">
                  <c:v>0.28999999999999998</c:v>
                </c:pt>
                <c:pt idx="1302">
                  <c:v>0.28999999999999998</c:v>
                </c:pt>
                <c:pt idx="1303">
                  <c:v>0.28999999999999998</c:v>
                </c:pt>
                <c:pt idx="1304">
                  <c:v>0.28999999999999998</c:v>
                </c:pt>
                <c:pt idx="1305">
                  <c:v>0.3</c:v>
                </c:pt>
                <c:pt idx="1306">
                  <c:v>0.3</c:v>
                </c:pt>
                <c:pt idx="1307">
                  <c:v>0.28999999999999998</c:v>
                </c:pt>
                <c:pt idx="1308">
                  <c:v>0.28999999999999998</c:v>
                </c:pt>
                <c:pt idx="1309">
                  <c:v>0.28999999999999998</c:v>
                </c:pt>
                <c:pt idx="1310">
                  <c:v>0.28999999999999998</c:v>
                </c:pt>
                <c:pt idx="1311">
                  <c:v>0.28999999999999998</c:v>
                </c:pt>
                <c:pt idx="1312">
                  <c:v>0.28999999999999998</c:v>
                </c:pt>
                <c:pt idx="1313">
                  <c:v>0.28999999999999998</c:v>
                </c:pt>
                <c:pt idx="1314">
                  <c:v>0.28999999999999998</c:v>
                </c:pt>
                <c:pt idx="1315">
                  <c:v>0.28999999999999998</c:v>
                </c:pt>
                <c:pt idx="1316">
                  <c:v>0.28999999999999998</c:v>
                </c:pt>
                <c:pt idx="1317">
                  <c:v>0.28999999999999998</c:v>
                </c:pt>
                <c:pt idx="1318">
                  <c:v>0.28999999999999998</c:v>
                </c:pt>
                <c:pt idx="1319">
                  <c:v>0.28999999999999998</c:v>
                </c:pt>
                <c:pt idx="1320">
                  <c:v>0.28999999999999998</c:v>
                </c:pt>
                <c:pt idx="1321">
                  <c:v>0.28999999999999998</c:v>
                </c:pt>
                <c:pt idx="1322">
                  <c:v>0.28999999999999998</c:v>
                </c:pt>
                <c:pt idx="1323">
                  <c:v>0.28999999999999998</c:v>
                </c:pt>
                <c:pt idx="1324">
                  <c:v>0.28999999999999998</c:v>
                </c:pt>
                <c:pt idx="1325">
                  <c:v>0.28999999999999998</c:v>
                </c:pt>
                <c:pt idx="1326">
                  <c:v>0.28999999999999998</c:v>
                </c:pt>
                <c:pt idx="1327">
                  <c:v>0.28999999999999998</c:v>
                </c:pt>
                <c:pt idx="1328">
                  <c:v>0.28999999999999998</c:v>
                </c:pt>
                <c:pt idx="1329">
                  <c:v>0.28999999999999998</c:v>
                </c:pt>
                <c:pt idx="1330">
                  <c:v>0.28999999999999998</c:v>
                </c:pt>
                <c:pt idx="1331">
                  <c:v>0.28999999999999998</c:v>
                </c:pt>
                <c:pt idx="1332">
                  <c:v>0.28999999999999998</c:v>
                </c:pt>
                <c:pt idx="1333">
                  <c:v>0.28999999999999998</c:v>
                </c:pt>
                <c:pt idx="1334">
                  <c:v>0.28999999999999998</c:v>
                </c:pt>
                <c:pt idx="1335">
                  <c:v>0.28999999999999998</c:v>
                </c:pt>
                <c:pt idx="1336">
                  <c:v>0.28999999999999998</c:v>
                </c:pt>
                <c:pt idx="1337">
                  <c:v>0.28000000000000003</c:v>
                </c:pt>
                <c:pt idx="1338">
                  <c:v>0.28000000000000003</c:v>
                </c:pt>
                <c:pt idx="1339">
                  <c:v>0.28000000000000003</c:v>
                </c:pt>
                <c:pt idx="1340">
                  <c:v>0.28000000000000003</c:v>
                </c:pt>
                <c:pt idx="1341">
                  <c:v>0.28000000000000003</c:v>
                </c:pt>
                <c:pt idx="1342">
                  <c:v>0.28000000000000003</c:v>
                </c:pt>
                <c:pt idx="1343">
                  <c:v>0.28000000000000003</c:v>
                </c:pt>
                <c:pt idx="1344">
                  <c:v>0.28000000000000003</c:v>
                </c:pt>
                <c:pt idx="1345">
                  <c:v>0.28000000000000003</c:v>
                </c:pt>
                <c:pt idx="1346">
                  <c:v>0.28000000000000003</c:v>
                </c:pt>
                <c:pt idx="1347">
                  <c:v>0.28000000000000003</c:v>
                </c:pt>
                <c:pt idx="1348">
                  <c:v>0.28000000000000003</c:v>
                </c:pt>
                <c:pt idx="1349">
                  <c:v>0.28000000000000003</c:v>
                </c:pt>
                <c:pt idx="1350">
                  <c:v>0.28000000000000003</c:v>
                </c:pt>
                <c:pt idx="1351">
                  <c:v>0.28000000000000003</c:v>
                </c:pt>
                <c:pt idx="1352">
                  <c:v>0.28000000000000003</c:v>
                </c:pt>
                <c:pt idx="1353">
                  <c:v>0.28000000000000003</c:v>
                </c:pt>
                <c:pt idx="1354">
                  <c:v>0.28000000000000003</c:v>
                </c:pt>
                <c:pt idx="1355">
                  <c:v>0.28000000000000003</c:v>
                </c:pt>
                <c:pt idx="1356">
                  <c:v>0.28000000000000003</c:v>
                </c:pt>
                <c:pt idx="1357">
                  <c:v>0.28000000000000003</c:v>
                </c:pt>
                <c:pt idx="1358">
                  <c:v>0.27</c:v>
                </c:pt>
                <c:pt idx="1359">
                  <c:v>0.27</c:v>
                </c:pt>
                <c:pt idx="1360">
                  <c:v>0.27</c:v>
                </c:pt>
                <c:pt idx="1361">
                  <c:v>0.27</c:v>
                </c:pt>
                <c:pt idx="1362">
                  <c:v>0.27</c:v>
                </c:pt>
                <c:pt idx="1363">
                  <c:v>0.27</c:v>
                </c:pt>
                <c:pt idx="1364">
                  <c:v>0.27</c:v>
                </c:pt>
                <c:pt idx="1365">
                  <c:v>0.27</c:v>
                </c:pt>
                <c:pt idx="1366">
                  <c:v>0.26</c:v>
                </c:pt>
                <c:pt idx="1367">
                  <c:v>0.26</c:v>
                </c:pt>
                <c:pt idx="1368">
                  <c:v>0.26</c:v>
                </c:pt>
                <c:pt idx="1369">
                  <c:v>0.26</c:v>
                </c:pt>
                <c:pt idx="1370">
                  <c:v>0.27</c:v>
                </c:pt>
                <c:pt idx="1371">
                  <c:v>0.27</c:v>
                </c:pt>
                <c:pt idx="1372">
                  <c:v>0.27</c:v>
                </c:pt>
                <c:pt idx="1373">
                  <c:v>0.27</c:v>
                </c:pt>
                <c:pt idx="1374">
                  <c:v>0.27</c:v>
                </c:pt>
                <c:pt idx="1375">
                  <c:v>0.27</c:v>
                </c:pt>
                <c:pt idx="1376">
                  <c:v>0.27</c:v>
                </c:pt>
                <c:pt idx="1377">
                  <c:v>0.27</c:v>
                </c:pt>
                <c:pt idx="1378">
                  <c:v>0.27</c:v>
                </c:pt>
                <c:pt idx="1379">
                  <c:v>0.27</c:v>
                </c:pt>
                <c:pt idx="1380">
                  <c:v>0.27</c:v>
                </c:pt>
                <c:pt idx="1381">
                  <c:v>0.27</c:v>
                </c:pt>
                <c:pt idx="1382">
                  <c:v>0.27</c:v>
                </c:pt>
                <c:pt idx="1383">
                  <c:v>0.27</c:v>
                </c:pt>
                <c:pt idx="1384">
                  <c:v>0.27</c:v>
                </c:pt>
                <c:pt idx="1385">
                  <c:v>0.27</c:v>
                </c:pt>
                <c:pt idx="1386">
                  <c:v>0.27</c:v>
                </c:pt>
                <c:pt idx="1387">
                  <c:v>0.27</c:v>
                </c:pt>
                <c:pt idx="1388">
                  <c:v>0.27</c:v>
                </c:pt>
                <c:pt idx="1389">
                  <c:v>0.27</c:v>
                </c:pt>
                <c:pt idx="1390">
                  <c:v>0.27</c:v>
                </c:pt>
                <c:pt idx="1391">
                  <c:v>0.27</c:v>
                </c:pt>
                <c:pt idx="1392">
                  <c:v>0.27</c:v>
                </c:pt>
                <c:pt idx="1393">
                  <c:v>0.27</c:v>
                </c:pt>
                <c:pt idx="1394">
                  <c:v>0.27</c:v>
                </c:pt>
                <c:pt idx="1395">
                  <c:v>0.27</c:v>
                </c:pt>
                <c:pt idx="1396">
                  <c:v>0.27</c:v>
                </c:pt>
                <c:pt idx="1397">
                  <c:v>0.27</c:v>
                </c:pt>
                <c:pt idx="1398">
                  <c:v>0.27</c:v>
                </c:pt>
                <c:pt idx="1399">
                  <c:v>0.27</c:v>
                </c:pt>
                <c:pt idx="1400">
                  <c:v>0.27</c:v>
                </c:pt>
                <c:pt idx="1401">
                  <c:v>0.27</c:v>
                </c:pt>
                <c:pt idx="1402">
                  <c:v>0.27</c:v>
                </c:pt>
                <c:pt idx="1403">
                  <c:v>0.27</c:v>
                </c:pt>
                <c:pt idx="1404">
                  <c:v>0.27</c:v>
                </c:pt>
                <c:pt idx="1405">
                  <c:v>0.27</c:v>
                </c:pt>
                <c:pt idx="1406">
                  <c:v>0.27</c:v>
                </c:pt>
                <c:pt idx="1407">
                  <c:v>0.27</c:v>
                </c:pt>
                <c:pt idx="1408">
                  <c:v>0.28000000000000003</c:v>
                </c:pt>
                <c:pt idx="1409">
                  <c:v>0.27</c:v>
                </c:pt>
                <c:pt idx="1410">
                  <c:v>0.27</c:v>
                </c:pt>
                <c:pt idx="1411">
                  <c:v>0.27</c:v>
                </c:pt>
                <c:pt idx="1412">
                  <c:v>0.27</c:v>
                </c:pt>
                <c:pt idx="1413">
                  <c:v>0.27</c:v>
                </c:pt>
                <c:pt idx="1414">
                  <c:v>0.27</c:v>
                </c:pt>
                <c:pt idx="1415">
                  <c:v>0.27</c:v>
                </c:pt>
                <c:pt idx="1416">
                  <c:v>0.28000000000000003</c:v>
                </c:pt>
                <c:pt idx="1417">
                  <c:v>0.28000000000000003</c:v>
                </c:pt>
                <c:pt idx="1418">
                  <c:v>0.28000000000000003</c:v>
                </c:pt>
                <c:pt idx="1419">
                  <c:v>0.28000000000000003</c:v>
                </c:pt>
                <c:pt idx="1420">
                  <c:v>0.31</c:v>
                </c:pt>
                <c:pt idx="1421">
                  <c:v>0.32</c:v>
                </c:pt>
                <c:pt idx="1422">
                  <c:v>0.34</c:v>
                </c:pt>
                <c:pt idx="1423">
                  <c:v>0.34</c:v>
                </c:pt>
                <c:pt idx="1424">
                  <c:v>0.34</c:v>
                </c:pt>
                <c:pt idx="1425">
                  <c:v>0.34</c:v>
                </c:pt>
                <c:pt idx="1426">
                  <c:v>0.34</c:v>
                </c:pt>
                <c:pt idx="1427">
                  <c:v>0.36</c:v>
                </c:pt>
                <c:pt idx="1428">
                  <c:v>0.37</c:v>
                </c:pt>
                <c:pt idx="1429">
                  <c:v>0.37</c:v>
                </c:pt>
                <c:pt idx="1430">
                  <c:v>0.38</c:v>
                </c:pt>
                <c:pt idx="1431">
                  <c:v>0.38</c:v>
                </c:pt>
                <c:pt idx="1432">
                  <c:v>0.38</c:v>
                </c:pt>
                <c:pt idx="1433">
                  <c:v>0.38</c:v>
                </c:pt>
                <c:pt idx="1434">
                  <c:v>0.41</c:v>
                </c:pt>
                <c:pt idx="1435">
                  <c:v>0.43</c:v>
                </c:pt>
                <c:pt idx="1436">
                  <c:v>0.43</c:v>
                </c:pt>
                <c:pt idx="1437">
                  <c:v>0.44</c:v>
                </c:pt>
                <c:pt idx="1438">
                  <c:v>0.44</c:v>
                </c:pt>
                <c:pt idx="1439">
                  <c:v>0.44</c:v>
                </c:pt>
                <c:pt idx="1440">
                  <c:v>0.45</c:v>
                </c:pt>
                <c:pt idx="1441">
                  <c:v>0.46</c:v>
                </c:pt>
                <c:pt idx="1442">
                  <c:v>0.47</c:v>
                </c:pt>
                <c:pt idx="1443">
                  <c:v>0.56999999999999995</c:v>
                </c:pt>
                <c:pt idx="1444">
                  <c:v>0.67</c:v>
                </c:pt>
                <c:pt idx="1445">
                  <c:v>0.67</c:v>
                </c:pt>
                <c:pt idx="1446">
                  <c:v>0.67</c:v>
                </c:pt>
                <c:pt idx="1447">
                  <c:v>0.75</c:v>
                </c:pt>
                <c:pt idx="1448">
                  <c:v>0.79</c:v>
                </c:pt>
                <c:pt idx="1449">
                  <c:v>0.77</c:v>
                </c:pt>
                <c:pt idx="1450">
                  <c:v>0.76</c:v>
                </c:pt>
                <c:pt idx="1451">
                  <c:v>0.76</c:v>
                </c:pt>
                <c:pt idx="1452">
                  <c:v>0.76</c:v>
                </c:pt>
                <c:pt idx="1453">
                  <c:v>0.76</c:v>
                </c:pt>
                <c:pt idx="1454">
                  <c:v>0.76</c:v>
                </c:pt>
                <c:pt idx="1455">
                  <c:v>0.75</c:v>
                </c:pt>
                <c:pt idx="1456">
                  <c:v>0.75</c:v>
                </c:pt>
                <c:pt idx="1457">
                  <c:v>0.75</c:v>
                </c:pt>
                <c:pt idx="1458">
                  <c:v>0.76</c:v>
                </c:pt>
                <c:pt idx="1459">
                  <c:v>0.76</c:v>
                </c:pt>
                <c:pt idx="1460">
                  <c:v>0.76</c:v>
                </c:pt>
                <c:pt idx="1461">
                  <c:v>0.76</c:v>
                </c:pt>
                <c:pt idx="1462">
                  <c:v>0.76</c:v>
                </c:pt>
                <c:pt idx="1463">
                  <c:v>0.74</c:v>
                </c:pt>
                <c:pt idx="1464">
                  <c:v>0.74</c:v>
                </c:pt>
                <c:pt idx="1465">
                  <c:v>0.75</c:v>
                </c:pt>
                <c:pt idx="1466">
                  <c:v>0.75</c:v>
                </c:pt>
                <c:pt idx="1467">
                  <c:v>0.75</c:v>
                </c:pt>
                <c:pt idx="1468">
                  <c:v>0.74</c:v>
                </c:pt>
                <c:pt idx="1469">
                  <c:v>0.74</c:v>
                </c:pt>
                <c:pt idx="1470">
                  <c:v>0.73</c:v>
                </c:pt>
                <c:pt idx="1471">
                  <c:v>0.71</c:v>
                </c:pt>
                <c:pt idx="1472">
                  <c:v>0.71</c:v>
                </c:pt>
                <c:pt idx="1473">
                  <c:v>0.71</c:v>
                </c:pt>
                <c:pt idx="1474">
                  <c:v>0.71</c:v>
                </c:pt>
                <c:pt idx="1475">
                  <c:v>0.71</c:v>
                </c:pt>
                <c:pt idx="1476">
                  <c:v>0.69</c:v>
                </c:pt>
                <c:pt idx="1477">
                  <c:v>0.65</c:v>
                </c:pt>
                <c:pt idx="1478">
                  <c:v>0.62</c:v>
                </c:pt>
                <c:pt idx="1479">
                  <c:v>0.6</c:v>
                </c:pt>
                <c:pt idx="1480">
                  <c:v>0.6</c:v>
                </c:pt>
                <c:pt idx="1481">
                  <c:v>0.6</c:v>
                </c:pt>
                <c:pt idx="1482">
                  <c:v>0.57999999999999996</c:v>
                </c:pt>
                <c:pt idx="1483">
                  <c:v>0.56000000000000005</c:v>
                </c:pt>
                <c:pt idx="1484">
                  <c:v>0.51</c:v>
                </c:pt>
                <c:pt idx="1485">
                  <c:v>0.48</c:v>
                </c:pt>
                <c:pt idx="1486">
                  <c:v>0.47</c:v>
                </c:pt>
                <c:pt idx="1487">
                  <c:v>0.47</c:v>
                </c:pt>
                <c:pt idx="1488">
                  <c:v>0.47</c:v>
                </c:pt>
                <c:pt idx="1489">
                  <c:v>0.46</c:v>
                </c:pt>
                <c:pt idx="1490">
                  <c:v>0.46</c:v>
                </c:pt>
                <c:pt idx="1491">
                  <c:v>0.47</c:v>
                </c:pt>
                <c:pt idx="1492">
                  <c:v>0.86</c:v>
                </c:pt>
                <c:pt idx="1493">
                  <c:v>0.94</c:v>
                </c:pt>
                <c:pt idx="1494">
                  <c:v>0.94</c:v>
                </c:pt>
                <c:pt idx="1495">
                  <c:v>0.94</c:v>
                </c:pt>
                <c:pt idx="1496">
                  <c:v>0.96</c:v>
                </c:pt>
                <c:pt idx="1497">
                  <c:v>0.95</c:v>
                </c:pt>
                <c:pt idx="1498">
                  <c:v>1.22</c:v>
                </c:pt>
                <c:pt idx="1499">
                  <c:v>1.2</c:v>
                </c:pt>
                <c:pt idx="1500">
                  <c:v>1.2</c:v>
                </c:pt>
                <c:pt idx="1501">
                  <c:v>1.2</c:v>
                </c:pt>
                <c:pt idx="1502">
                  <c:v>1.2</c:v>
                </c:pt>
                <c:pt idx="1503">
                  <c:v>1.2</c:v>
                </c:pt>
                <c:pt idx="1504">
                  <c:v>1.21</c:v>
                </c:pt>
                <c:pt idx="1505">
                  <c:v>1.2</c:v>
                </c:pt>
                <c:pt idx="1506">
                  <c:v>1.19</c:v>
                </c:pt>
                <c:pt idx="1507">
                  <c:v>1.18</c:v>
                </c:pt>
                <c:pt idx="1508">
                  <c:v>1.18</c:v>
                </c:pt>
                <c:pt idx="1509">
                  <c:v>1.18</c:v>
                </c:pt>
                <c:pt idx="1510">
                  <c:v>1.17</c:v>
                </c:pt>
                <c:pt idx="1511">
                  <c:v>1.17</c:v>
                </c:pt>
                <c:pt idx="1512">
                  <c:v>1.1599999999999999</c:v>
                </c:pt>
                <c:pt idx="1513">
                  <c:v>1.17</c:v>
                </c:pt>
                <c:pt idx="1514">
                  <c:v>1.1599999999999999</c:v>
                </c:pt>
                <c:pt idx="1515">
                  <c:v>1.1599999999999999</c:v>
                </c:pt>
                <c:pt idx="1516">
                  <c:v>1.1599999999999999</c:v>
                </c:pt>
                <c:pt idx="1517">
                  <c:v>1.1599999999999999</c:v>
                </c:pt>
                <c:pt idx="1518">
                  <c:v>1.1599999999999999</c:v>
                </c:pt>
                <c:pt idx="1519">
                  <c:v>1.1599999999999999</c:v>
                </c:pt>
                <c:pt idx="1520">
                  <c:v>1.1599999999999999</c:v>
                </c:pt>
                <c:pt idx="1521">
                  <c:v>1.1599999999999999</c:v>
                </c:pt>
                <c:pt idx="1522">
                  <c:v>1.1599999999999999</c:v>
                </c:pt>
                <c:pt idx="1523">
                  <c:v>1.1599999999999999</c:v>
                </c:pt>
                <c:pt idx="1524">
                  <c:v>1.1499999999999999</c:v>
                </c:pt>
                <c:pt idx="1525">
                  <c:v>1.1499999999999999</c:v>
                </c:pt>
                <c:pt idx="1526">
                  <c:v>1.1499999999999999</c:v>
                </c:pt>
                <c:pt idx="1527">
                  <c:v>1.1399999999999999</c:v>
                </c:pt>
                <c:pt idx="1528">
                  <c:v>1.1200000000000001</c:v>
                </c:pt>
                <c:pt idx="1529">
                  <c:v>1.1100000000000001</c:v>
                </c:pt>
                <c:pt idx="1530">
                  <c:v>1.1100000000000001</c:v>
                </c:pt>
                <c:pt idx="1531">
                  <c:v>1.1100000000000001</c:v>
                </c:pt>
                <c:pt idx="1532">
                  <c:v>1.0900000000000001</c:v>
                </c:pt>
                <c:pt idx="1533">
                  <c:v>1.07</c:v>
                </c:pt>
                <c:pt idx="1534">
                  <c:v>1.06</c:v>
                </c:pt>
                <c:pt idx="1535">
                  <c:v>1.05</c:v>
                </c:pt>
                <c:pt idx="1536">
                  <c:v>1.05</c:v>
                </c:pt>
                <c:pt idx="1537">
                  <c:v>1.05</c:v>
                </c:pt>
                <c:pt idx="1538">
                  <c:v>1.05</c:v>
                </c:pt>
                <c:pt idx="1539">
                  <c:v>1.04</c:v>
                </c:pt>
                <c:pt idx="1540">
                  <c:v>1.01</c:v>
                </c:pt>
                <c:pt idx="1541">
                  <c:v>0.99</c:v>
                </c:pt>
                <c:pt idx="1542">
                  <c:v>0.98</c:v>
                </c:pt>
                <c:pt idx="1543">
                  <c:v>0.98</c:v>
                </c:pt>
                <c:pt idx="1544">
                  <c:v>0.98</c:v>
                </c:pt>
                <c:pt idx="1545">
                  <c:v>0.97</c:v>
                </c:pt>
                <c:pt idx="1546">
                  <c:v>0.96</c:v>
                </c:pt>
                <c:pt idx="1547">
                  <c:v>0.94</c:v>
                </c:pt>
                <c:pt idx="1548">
                  <c:v>0.94</c:v>
                </c:pt>
                <c:pt idx="1549">
                  <c:v>0.92</c:v>
                </c:pt>
                <c:pt idx="1550">
                  <c:v>0.92</c:v>
                </c:pt>
                <c:pt idx="1551">
                  <c:v>0.92</c:v>
                </c:pt>
                <c:pt idx="1552">
                  <c:v>0.92</c:v>
                </c:pt>
                <c:pt idx="1553">
                  <c:v>0.91</c:v>
                </c:pt>
                <c:pt idx="1554">
                  <c:v>0.9</c:v>
                </c:pt>
                <c:pt idx="1555">
                  <c:v>0.9</c:v>
                </c:pt>
                <c:pt idx="1556">
                  <c:v>0.9</c:v>
                </c:pt>
                <c:pt idx="1557">
                  <c:v>0.9</c:v>
                </c:pt>
                <c:pt idx="1558">
                  <c:v>0.9</c:v>
                </c:pt>
                <c:pt idx="1559">
                  <c:v>0.9</c:v>
                </c:pt>
                <c:pt idx="1560">
                  <c:v>0.9</c:v>
                </c:pt>
                <c:pt idx="1561">
                  <c:v>0.9</c:v>
                </c:pt>
                <c:pt idx="1562">
                  <c:v>0.9</c:v>
                </c:pt>
                <c:pt idx="1563">
                  <c:v>0.9</c:v>
                </c:pt>
                <c:pt idx="1564">
                  <c:v>0.9</c:v>
                </c:pt>
                <c:pt idx="1565">
                  <c:v>0.9</c:v>
                </c:pt>
                <c:pt idx="1566">
                  <c:v>0.9</c:v>
                </c:pt>
                <c:pt idx="1567">
                  <c:v>0.9</c:v>
                </c:pt>
                <c:pt idx="1568">
                  <c:v>0.9</c:v>
                </c:pt>
                <c:pt idx="1569">
                  <c:v>0.9</c:v>
                </c:pt>
                <c:pt idx="1570">
                  <c:v>0.9</c:v>
                </c:pt>
                <c:pt idx="1571">
                  <c:v>0.9</c:v>
                </c:pt>
                <c:pt idx="1572">
                  <c:v>0.9</c:v>
                </c:pt>
                <c:pt idx="1573">
                  <c:v>0.9</c:v>
                </c:pt>
                <c:pt idx="1574">
                  <c:v>0.9</c:v>
                </c:pt>
                <c:pt idx="1575">
                  <c:v>0.75</c:v>
                </c:pt>
                <c:pt idx="1576">
                  <c:v>0.75</c:v>
                </c:pt>
                <c:pt idx="1577">
                  <c:v>0.74</c:v>
                </c:pt>
                <c:pt idx="1578">
                  <c:v>0.74</c:v>
                </c:pt>
                <c:pt idx="1579">
                  <c:v>0.74</c:v>
                </c:pt>
                <c:pt idx="1580">
                  <c:v>0.73</c:v>
                </c:pt>
                <c:pt idx="1581">
                  <c:v>0.73</c:v>
                </c:pt>
                <c:pt idx="1582">
                  <c:v>0.73</c:v>
                </c:pt>
                <c:pt idx="1583">
                  <c:v>0.73</c:v>
                </c:pt>
                <c:pt idx="1584">
                  <c:v>0.72</c:v>
                </c:pt>
                <c:pt idx="1585">
                  <c:v>0.72</c:v>
                </c:pt>
                <c:pt idx="1586">
                  <c:v>0.72</c:v>
                </c:pt>
                <c:pt idx="1587">
                  <c:v>0.7</c:v>
                </c:pt>
                <c:pt idx="1588">
                  <c:v>0.69</c:v>
                </c:pt>
                <c:pt idx="1589">
                  <c:v>0.7</c:v>
                </c:pt>
                <c:pt idx="1590">
                  <c:v>0.7</c:v>
                </c:pt>
                <c:pt idx="1591">
                  <c:v>0.7</c:v>
                </c:pt>
                <c:pt idx="1592">
                  <c:v>0.7</c:v>
                </c:pt>
                <c:pt idx="1593">
                  <c:v>0.7</c:v>
                </c:pt>
                <c:pt idx="1594">
                  <c:v>0.7</c:v>
                </c:pt>
                <c:pt idx="1595">
                  <c:v>0.7</c:v>
                </c:pt>
                <c:pt idx="1596">
                  <c:v>0.7</c:v>
                </c:pt>
                <c:pt idx="1597">
                  <c:v>0.7</c:v>
                </c:pt>
                <c:pt idx="1598">
                  <c:v>0.7</c:v>
                </c:pt>
                <c:pt idx="1599">
                  <c:v>0.7</c:v>
                </c:pt>
                <c:pt idx="1600">
                  <c:v>0.7</c:v>
                </c:pt>
                <c:pt idx="1601">
                  <c:v>0.7</c:v>
                </c:pt>
                <c:pt idx="1602">
                  <c:v>0.7</c:v>
                </c:pt>
                <c:pt idx="1603">
                  <c:v>0.61</c:v>
                </c:pt>
                <c:pt idx="1604">
                  <c:v>0.6</c:v>
                </c:pt>
                <c:pt idx="1605">
                  <c:v>0.6</c:v>
                </c:pt>
                <c:pt idx="1606">
                  <c:v>0.6</c:v>
                </c:pt>
                <c:pt idx="1607">
                  <c:v>0.6</c:v>
                </c:pt>
                <c:pt idx="1608">
                  <c:v>0.6</c:v>
                </c:pt>
                <c:pt idx="1609">
                  <c:v>0.6</c:v>
                </c:pt>
                <c:pt idx="1610">
                  <c:v>0.6</c:v>
                </c:pt>
                <c:pt idx="1611">
                  <c:v>0.6</c:v>
                </c:pt>
                <c:pt idx="1612">
                  <c:v>0.6</c:v>
                </c:pt>
                <c:pt idx="1613">
                  <c:v>0.6</c:v>
                </c:pt>
                <c:pt idx="1614">
                  <c:v>0.6</c:v>
                </c:pt>
                <c:pt idx="1615">
                  <c:v>0.6</c:v>
                </c:pt>
                <c:pt idx="1616">
                  <c:v>0.6</c:v>
                </c:pt>
                <c:pt idx="1617">
                  <c:v>0.6</c:v>
                </c:pt>
                <c:pt idx="1618">
                  <c:v>0.6</c:v>
                </c:pt>
                <c:pt idx="1619">
                  <c:v>0.6</c:v>
                </c:pt>
                <c:pt idx="1620">
                  <c:v>0.6</c:v>
                </c:pt>
                <c:pt idx="1621">
                  <c:v>0.6</c:v>
                </c:pt>
                <c:pt idx="1622">
                  <c:v>0.6</c:v>
                </c:pt>
                <c:pt idx="1623">
                  <c:v>0.6</c:v>
                </c:pt>
                <c:pt idx="1624">
                  <c:v>0.6</c:v>
                </c:pt>
                <c:pt idx="1625">
                  <c:v>0.6</c:v>
                </c:pt>
                <c:pt idx="1626">
                  <c:v>0.61</c:v>
                </c:pt>
                <c:pt idx="1627">
                  <c:v>0.61</c:v>
                </c:pt>
                <c:pt idx="1628">
                  <c:v>0.61</c:v>
                </c:pt>
                <c:pt idx="1629">
                  <c:v>0.62</c:v>
                </c:pt>
                <c:pt idx="1630">
                  <c:v>0.62</c:v>
                </c:pt>
                <c:pt idx="1631">
                  <c:v>0.62</c:v>
                </c:pt>
                <c:pt idx="1632">
                  <c:v>0.62</c:v>
                </c:pt>
                <c:pt idx="1633">
                  <c:v>0.62</c:v>
                </c:pt>
                <c:pt idx="1634">
                  <c:v>0.62</c:v>
                </c:pt>
                <c:pt idx="1635">
                  <c:v>0.62</c:v>
                </c:pt>
                <c:pt idx="1636">
                  <c:v>0.62</c:v>
                </c:pt>
                <c:pt idx="1637">
                  <c:v>0.64</c:v>
                </c:pt>
                <c:pt idx="1638">
                  <c:v>0.64</c:v>
                </c:pt>
                <c:pt idx="1639">
                  <c:v>0.64</c:v>
                </c:pt>
                <c:pt idx="1640">
                  <c:v>0.64</c:v>
                </c:pt>
                <c:pt idx="1641">
                  <c:v>0.64</c:v>
                </c:pt>
                <c:pt idx="1642">
                  <c:v>0.64</c:v>
                </c:pt>
                <c:pt idx="1643">
                  <c:v>0.65</c:v>
                </c:pt>
                <c:pt idx="1644">
                  <c:v>0.65</c:v>
                </c:pt>
                <c:pt idx="1645">
                  <c:v>0.65</c:v>
                </c:pt>
                <c:pt idx="1646">
                  <c:v>0.65</c:v>
                </c:pt>
                <c:pt idx="1647">
                  <c:v>0.65</c:v>
                </c:pt>
                <c:pt idx="1648">
                  <c:v>0.65</c:v>
                </c:pt>
                <c:pt idx="1649">
                  <c:v>0.65</c:v>
                </c:pt>
                <c:pt idx="1650">
                  <c:v>0.65</c:v>
                </c:pt>
                <c:pt idx="1651">
                  <c:v>0.65</c:v>
                </c:pt>
                <c:pt idx="1652">
                  <c:v>0.68</c:v>
                </c:pt>
                <c:pt idx="1653">
                  <c:v>0.69</c:v>
                </c:pt>
                <c:pt idx="1654">
                  <c:v>0.69</c:v>
                </c:pt>
                <c:pt idx="1655">
                  <c:v>0.69</c:v>
                </c:pt>
                <c:pt idx="1656">
                  <c:v>0.69</c:v>
                </c:pt>
                <c:pt idx="1657">
                  <c:v>0.69</c:v>
                </c:pt>
                <c:pt idx="1658">
                  <c:v>0.69</c:v>
                </c:pt>
                <c:pt idx="1659">
                  <c:v>0.69</c:v>
                </c:pt>
                <c:pt idx="1660">
                  <c:v>0.69</c:v>
                </c:pt>
                <c:pt idx="1661">
                  <c:v>0.69</c:v>
                </c:pt>
                <c:pt idx="1662">
                  <c:v>0.69</c:v>
                </c:pt>
                <c:pt idx="1663">
                  <c:v>0.69</c:v>
                </c:pt>
                <c:pt idx="1664">
                  <c:v>0.7</c:v>
                </c:pt>
                <c:pt idx="1665">
                  <c:v>0.71</c:v>
                </c:pt>
                <c:pt idx="1666">
                  <c:v>0.72</c:v>
                </c:pt>
                <c:pt idx="1667">
                  <c:v>0.74</c:v>
                </c:pt>
                <c:pt idx="1668">
                  <c:v>0.82</c:v>
                </c:pt>
                <c:pt idx="1669">
                  <c:v>0.82</c:v>
                </c:pt>
                <c:pt idx="1670">
                  <c:v>0.82</c:v>
                </c:pt>
                <c:pt idx="1671">
                  <c:v>0.83</c:v>
                </c:pt>
                <c:pt idx="1672">
                  <c:v>0.84</c:v>
                </c:pt>
                <c:pt idx="1673">
                  <c:v>0.85</c:v>
                </c:pt>
                <c:pt idx="1674">
                  <c:v>0.85</c:v>
                </c:pt>
                <c:pt idx="1675">
                  <c:v>0.85</c:v>
                </c:pt>
                <c:pt idx="1676">
                  <c:v>0.85</c:v>
                </c:pt>
                <c:pt idx="1677">
                  <c:v>0.85</c:v>
                </c:pt>
                <c:pt idx="1678">
                  <c:v>0.85</c:v>
                </c:pt>
                <c:pt idx="1679">
                  <c:v>0.85</c:v>
                </c:pt>
                <c:pt idx="1680">
                  <c:v>0.85</c:v>
                </c:pt>
                <c:pt idx="1681">
                  <c:v>0.85</c:v>
                </c:pt>
                <c:pt idx="1682">
                  <c:v>0.85</c:v>
                </c:pt>
                <c:pt idx="1683">
                  <c:v>0.85</c:v>
                </c:pt>
                <c:pt idx="1684">
                  <c:v>0.85</c:v>
                </c:pt>
                <c:pt idx="1685">
                  <c:v>0.85</c:v>
                </c:pt>
                <c:pt idx="1686">
                  <c:v>0.85</c:v>
                </c:pt>
                <c:pt idx="1687">
                  <c:v>0.86</c:v>
                </c:pt>
                <c:pt idx="1688">
                  <c:v>0.87</c:v>
                </c:pt>
                <c:pt idx="1689">
                  <c:v>0.87</c:v>
                </c:pt>
                <c:pt idx="1690">
                  <c:v>0.87</c:v>
                </c:pt>
                <c:pt idx="1691">
                  <c:v>0.87</c:v>
                </c:pt>
                <c:pt idx="1692">
                  <c:v>0.87</c:v>
                </c:pt>
                <c:pt idx="1693">
                  <c:v>0.87</c:v>
                </c:pt>
                <c:pt idx="1694">
                  <c:v>0.87</c:v>
                </c:pt>
                <c:pt idx="1695">
                  <c:v>0.87</c:v>
                </c:pt>
                <c:pt idx="1696">
                  <c:v>0.87</c:v>
                </c:pt>
                <c:pt idx="1697">
                  <c:v>0.87</c:v>
                </c:pt>
                <c:pt idx="1698">
                  <c:v>0.87</c:v>
                </c:pt>
                <c:pt idx="1699">
                  <c:v>0.87</c:v>
                </c:pt>
                <c:pt idx="1700">
                  <c:v>0.87</c:v>
                </c:pt>
                <c:pt idx="1701">
                  <c:v>0.87</c:v>
                </c:pt>
                <c:pt idx="1702">
                  <c:v>0.87</c:v>
                </c:pt>
                <c:pt idx="1703">
                  <c:v>0.87</c:v>
                </c:pt>
                <c:pt idx="1704">
                  <c:v>0.87</c:v>
                </c:pt>
                <c:pt idx="1705">
                  <c:v>0.87</c:v>
                </c:pt>
                <c:pt idx="1706">
                  <c:v>0.87</c:v>
                </c:pt>
                <c:pt idx="1707">
                  <c:v>0.87</c:v>
                </c:pt>
                <c:pt idx="1708">
                  <c:v>0.86</c:v>
                </c:pt>
                <c:pt idx="1709">
                  <c:v>0.86</c:v>
                </c:pt>
                <c:pt idx="1710">
                  <c:v>0.85</c:v>
                </c:pt>
                <c:pt idx="1711">
                  <c:v>0.85</c:v>
                </c:pt>
                <c:pt idx="1712">
                  <c:v>0.85</c:v>
                </c:pt>
                <c:pt idx="1713">
                  <c:v>0.84</c:v>
                </c:pt>
                <c:pt idx="1714">
                  <c:v>0.83</c:v>
                </c:pt>
                <c:pt idx="1715">
                  <c:v>0.83</c:v>
                </c:pt>
                <c:pt idx="1716">
                  <c:v>0.83</c:v>
                </c:pt>
                <c:pt idx="1717">
                  <c:v>0.83</c:v>
                </c:pt>
                <c:pt idx="1718">
                  <c:v>0.83</c:v>
                </c:pt>
                <c:pt idx="1719">
                  <c:v>0.83</c:v>
                </c:pt>
                <c:pt idx="1720">
                  <c:v>0.82</c:v>
                </c:pt>
                <c:pt idx="1721">
                  <c:v>0.82</c:v>
                </c:pt>
                <c:pt idx="1722">
                  <c:v>0.81</c:v>
                </c:pt>
                <c:pt idx="1723">
                  <c:v>0.81</c:v>
                </c:pt>
                <c:pt idx="1724">
                  <c:v>0.81</c:v>
                </c:pt>
                <c:pt idx="1725">
                  <c:v>0.81</c:v>
                </c:pt>
                <c:pt idx="1726">
                  <c:v>0.81</c:v>
                </c:pt>
                <c:pt idx="1727">
                  <c:v>0.81</c:v>
                </c:pt>
                <c:pt idx="1728">
                  <c:v>0.81</c:v>
                </c:pt>
                <c:pt idx="1729">
                  <c:v>0.8</c:v>
                </c:pt>
                <c:pt idx="1730">
                  <c:v>0.8</c:v>
                </c:pt>
                <c:pt idx="1731">
                  <c:v>0.8</c:v>
                </c:pt>
                <c:pt idx="1732">
                  <c:v>0.8</c:v>
                </c:pt>
                <c:pt idx="1733">
                  <c:v>0.8</c:v>
                </c:pt>
                <c:pt idx="1734">
                  <c:v>0.8</c:v>
                </c:pt>
                <c:pt idx="1735">
                  <c:v>0.79</c:v>
                </c:pt>
                <c:pt idx="1736">
                  <c:v>0.79</c:v>
                </c:pt>
                <c:pt idx="1737">
                  <c:v>0.79</c:v>
                </c:pt>
                <c:pt idx="1738">
                  <c:v>0.79</c:v>
                </c:pt>
                <c:pt idx="1739">
                  <c:v>0.79</c:v>
                </c:pt>
                <c:pt idx="1740">
                  <c:v>0.79</c:v>
                </c:pt>
                <c:pt idx="1741">
                  <c:v>0.79</c:v>
                </c:pt>
                <c:pt idx="1742">
                  <c:v>0.79</c:v>
                </c:pt>
                <c:pt idx="1743">
                  <c:v>0.79</c:v>
                </c:pt>
                <c:pt idx="1744">
                  <c:v>0.79</c:v>
                </c:pt>
                <c:pt idx="1745">
                  <c:v>0.79</c:v>
                </c:pt>
                <c:pt idx="1746">
                  <c:v>0.79</c:v>
                </c:pt>
                <c:pt idx="1747">
                  <c:v>0.79</c:v>
                </c:pt>
                <c:pt idx="1748">
                  <c:v>0.79</c:v>
                </c:pt>
                <c:pt idx="1749">
                  <c:v>0.79</c:v>
                </c:pt>
                <c:pt idx="1750">
                  <c:v>0.78</c:v>
                </c:pt>
                <c:pt idx="1751">
                  <c:v>0.78</c:v>
                </c:pt>
                <c:pt idx="1752">
                  <c:v>0.78</c:v>
                </c:pt>
                <c:pt idx="1753">
                  <c:v>0.78</c:v>
                </c:pt>
                <c:pt idx="1754">
                  <c:v>0.78</c:v>
                </c:pt>
                <c:pt idx="1755">
                  <c:v>0.78</c:v>
                </c:pt>
                <c:pt idx="1756">
                  <c:v>0.78</c:v>
                </c:pt>
                <c:pt idx="1757">
                  <c:v>0.78</c:v>
                </c:pt>
                <c:pt idx="1758">
                  <c:v>0.78</c:v>
                </c:pt>
                <c:pt idx="1759">
                  <c:v>0.78</c:v>
                </c:pt>
                <c:pt idx="1760">
                  <c:v>0.78</c:v>
                </c:pt>
                <c:pt idx="1761">
                  <c:v>0.78</c:v>
                </c:pt>
                <c:pt idx="1762">
                  <c:v>0.78</c:v>
                </c:pt>
                <c:pt idx="1763">
                  <c:v>0.78</c:v>
                </c:pt>
                <c:pt idx="1764">
                  <c:v>0.78</c:v>
                </c:pt>
                <c:pt idx="1765">
                  <c:v>0.78</c:v>
                </c:pt>
                <c:pt idx="1766">
                  <c:v>0.78</c:v>
                </c:pt>
                <c:pt idx="1767">
                  <c:v>0.78</c:v>
                </c:pt>
                <c:pt idx="1768">
                  <c:v>0.78</c:v>
                </c:pt>
                <c:pt idx="1769">
                  <c:v>0.78</c:v>
                </c:pt>
                <c:pt idx="1770">
                  <c:v>0.78</c:v>
                </c:pt>
                <c:pt idx="1771">
                  <c:v>0.78</c:v>
                </c:pt>
                <c:pt idx="1772">
                  <c:v>0.78</c:v>
                </c:pt>
                <c:pt idx="1773">
                  <c:v>0.78</c:v>
                </c:pt>
                <c:pt idx="1774">
                  <c:v>0.78</c:v>
                </c:pt>
                <c:pt idx="1775">
                  <c:v>0.78</c:v>
                </c:pt>
                <c:pt idx="1776">
                  <c:v>0.78</c:v>
                </c:pt>
                <c:pt idx="1777">
                  <c:v>0.78</c:v>
                </c:pt>
                <c:pt idx="1778">
                  <c:v>0.78</c:v>
                </c:pt>
                <c:pt idx="1779">
                  <c:v>0.78</c:v>
                </c:pt>
                <c:pt idx="1780">
                  <c:v>0.78</c:v>
                </c:pt>
                <c:pt idx="1781">
                  <c:v>0.78</c:v>
                </c:pt>
                <c:pt idx="1782">
                  <c:v>0.78</c:v>
                </c:pt>
                <c:pt idx="1783">
                  <c:v>0.78</c:v>
                </c:pt>
                <c:pt idx="1784">
                  <c:v>0.78</c:v>
                </c:pt>
                <c:pt idx="1785">
                  <c:v>0.78</c:v>
                </c:pt>
                <c:pt idx="1786">
                  <c:v>0.78</c:v>
                </c:pt>
                <c:pt idx="1787">
                  <c:v>0.78</c:v>
                </c:pt>
                <c:pt idx="1788">
                  <c:v>0.78</c:v>
                </c:pt>
                <c:pt idx="1789">
                  <c:v>0.78</c:v>
                </c:pt>
                <c:pt idx="1790">
                  <c:v>0.78</c:v>
                </c:pt>
                <c:pt idx="1791">
                  <c:v>0.78</c:v>
                </c:pt>
                <c:pt idx="1792">
                  <c:v>0.78</c:v>
                </c:pt>
                <c:pt idx="1793">
                  <c:v>0.78</c:v>
                </c:pt>
                <c:pt idx="1794">
                  <c:v>0.78</c:v>
                </c:pt>
                <c:pt idx="1795">
                  <c:v>0.78</c:v>
                </c:pt>
                <c:pt idx="1796">
                  <c:v>0.78</c:v>
                </c:pt>
                <c:pt idx="1797">
                  <c:v>0.78</c:v>
                </c:pt>
                <c:pt idx="1798">
                  <c:v>0.78</c:v>
                </c:pt>
                <c:pt idx="1799">
                  <c:v>0.78</c:v>
                </c:pt>
                <c:pt idx="1800">
                  <c:v>0.78</c:v>
                </c:pt>
                <c:pt idx="1801">
                  <c:v>0.78</c:v>
                </c:pt>
                <c:pt idx="1802">
                  <c:v>0.78</c:v>
                </c:pt>
                <c:pt idx="1803">
                  <c:v>0.78</c:v>
                </c:pt>
                <c:pt idx="1804">
                  <c:v>0.78</c:v>
                </c:pt>
                <c:pt idx="1805">
                  <c:v>0.78</c:v>
                </c:pt>
                <c:pt idx="1806">
                  <c:v>0.78</c:v>
                </c:pt>
                <c:pt idx="1807">
                  <c:v>0.78</c:v>
                </c:pt>
                <c:pt idx="1808">
                  <c:v>0.78</c:v>
                </c:pt>
                <c:pt idx="1809">
                  <c:v>0.78</c:v>
                </c:pt>
                <c:pt idx="1810">
                  <c:v>0.78</c:v>
                </c:pt>
                <c:pt idx="1811">
                  <c:v>0.79</c:v>
                </c:pt>
                <c:pt idx="1812">
                  <c:v>0.8</c:v>
                </c:pt>
                <c:pt idx="1813">
                  <c:v>0.82</c:v>
                </c:pt>
                <c:pt idx="1814">
                  <c:v>0.82</c:v>
                </c:pt>
                <c:pt idx="1815">
                  <c:v>0.81</c:v>
                </c:pt>
                <c:pt idx="1816">
                  <c:v>0.81</c:v>
                </c:pt>
                <c:pt idx="1817">
                  <c:v>0.81</c:v>
                </c:pt>
                <c:pt idx="1818">
                  <c:v>0.81</c:v>
                </c:pt>
                <c:pt idx="1819">
                  <c:v>0.81</c:v>
                </c:pt>
                <c:pt idx="1820">
                  <c:v>0.81</c:v>
                </c:pt>
                <c:pt idx="1821">
                  <c:v>0.82</c:v>
                </c:pt>
                <c:pt idx="1822">
                  <c:v>0.82</c:v>
                </c:pt>
                <c:pt idx="1823">
                  <c:v>0.82</c:v>
                </c:pt>
                <c:pt idx="1824">
                  <c:v>0.82</c:v>
                </c:pt>
                <c:pt idx="1825">
                  <c:v>0.83</c:v>
                </c:pt>
                <c:pt idx="1826">
                  <c:v>0.83</c:v>
                </c:pt>
                <c:pt idx="1827">
                  <c:v>0.83</c:v>
                </c:pt>
                <c:pt idx="1828">
                  <c:v>0.83</c:v>
                </c:pt>
                <c:pt idx="1829">
                  <c:v>0.84</c:v>
                </c:pt>
                <c:pt idx="1830">
                  <c:v>0.84</c:v>
                </c:pt>
                <c:pt idx="1831">
                  <c:v>0.84</c:v>
                </c:pt>
                <c:pt idx="1832">
                  <c:v>0.85</c:v>
                </c:pt>
                <c:pt idx="1833">
                  <c:v>0.86</c:v>
                </c:pt>
                <c:pt idx="1834">
                  <c:v>0.86</c:v>
                </c:pt>
                <c:pt idx="1835">
                  <c:v>0.86</c:v>
                </c:pt>
                <c:pt idx="1836">
                  <c:v>0.87</c:v>
                </c:pt>
                <c:pt idx="1837">
                  <c:v>0.87</c:v>
                </c:pt>
                <c:pt idx="1838">
                  <c:v>0.87</c:v>
                </c:pt>
                <c:pt idx="1839">
                  <c:v>0.88</c:v>
                </c:pt>
                <c:pt idx="1840">
                  <c:v>0.88</c:v>
                </c:pt>
                <c:pt idx="1841">
                  <c:v>0.88</c:v>
                </c:pt>
                <c:pt idx="1842">
                  <c:v>0.89</c:v>
                </c:pt>
                <c:pt idx="1843">
                  <c:v>0.89</c:v>
                </c:pt>
                <c:pt idx="1844">
                  <c:v>0.89</c:v>
                </c:pt>
                <c:pt idx="1845">
                  <c:v>0.89</c:v>
                </c:pt>
                <c:pt idx="1846">
                  <c:v>0.89</c:v>
                </c:pt>
                <c:pt idx="1847">
                  <c:v>0.9</c:v>
                </c:pt>
                <c:pt idx="1848">
                  <c:v>0.9</c:v>
                </c:pt>
                <c:pt idx="1849">
                  <c:v>0.9</c:v>
                </c:pt>
                <c:pt idx="1850">
                  <c:v>0.9</c:v>
                </c:pt>
                <c:pt idx="1851">
                  <c:v>0.9</c:v>
                </c:pt>
                <c:pt idx="1852">
                  <c:v>0.9</c:v>
                </c:pt>
                <c:pt idx="1853">
                  <c:v>0.9</c:v>
                </c:pt>
                <c:pt idx="1854">
                  <c:v>0.9</c:v>
                </c:pt>
                <c:pt idx="1855">
                  <c:v>0.9</c:v>
                </c:pt>
                <c:pt idx="1856">
                  <c:v>0.91</c:v>
                </c:pt>
                <c:pt idx="1857">
                  <c:v>0.91</c:v>
                </c:pt>
                <c:pt idx="1858">
                  <c:v>0.91</c:v>
                </c:pt>
                <c:pt idx="1859">
                  <c:v>0.91</c:v>
                </c:pt>
                <c:pt idx="1860">
                  <c:v>0.91</c:v>
                </c:pt>
                <c:pt idx="1861">
                  <c:v>0.92</c:v>
                </c:pt>
                <c:pt idx="1862">
                  <c:v>0.92</c:v>
                </c:pt>
                <c:pt idx="1863">
                  <c:v>0.92</c:v>
                </c:pt>
                <c:pt idx="1864">
                  <c:v>0.92</c:v>
                </c:pt>
                <c:pt idx="1865">
                  <c:v>0.92</c:v>
                </c:pt>
                <c:pt idx="1866">
                  <c:v>0.92</c:v>
                </c:pt>
                <c:pt idx="1867">
                  <c:v>0.92</c:v>
                </c:pt>
                <c:pt idx="1868">
                  <c:v>0.92</c:v>
                </c:pt>
                <c:pt idx="1869">
                  <c:v>0.92</c:v>
                </c:pt>
                <c:pt idx="1870">
                  <c:v>0.92</c:v>
                </c:pt>
                <c:pt idx="1871">
                  <c:v>0.91</c:v>
                </c:pt>
                <c:pt idx="1872">
                  <c:v>0.91</c:v>
                </c:pt>
                <c:pt idx="1873">
                  <c:v>0.91</c:v>
                </c:pt>
                <c:pt idx="1874">
                  <c:v>0.91</c:v>
                </c:pt>
                <c:pt idx="1875">
                  <c:v>0.91</c:v>
                </c:pt>
                <c:pt idx="1876">
                  <c:v>0.91</c:v>
                </c:pt>
                <c:pt idx="1877">
                  <c:v>0.91</c:v>
                </c:pt>
                <c:pt idx="1878">
                  <c:v>0.91</c:v>
                </c:pt>
                <c:pt idx="1879">
                  <c:v>0.91</c:v>
                </c:pt>
                <c:pt idx="1880">
                  <c:v>0.91</c:v>
                </c:pt>
                <c:pt idx="1881">
                  <c:v>0.91</c:v>
                </c:pt>
                <c:pt idx="1882">
                  <c:v>0.91</c:v>
                </c:pt>
                <c:pt idx="1883">
                  <c:v>0.91</c:v>
                </c:pt>
                <c:pt idx="1884">
                  <c:v>0.91</c:v>
                </c:pt>
                <c:pt idx="1885">
                  <c:v>0.91</c:v>
                </c:pt>
                <c:pt idx="1886">
                  <c:v>0.91</c:v>
                </c:pt>
                <c:pt idx="1887">
                  <c:v>0.91</c:v>
                </c:pt>
                <c:pt idx="1888">
                  <c:v>0.91</c:v>
                </c:pt>
                <c:pt idx="1889">
                  <c:v>0.91</c:v>
                </c:pt>
                <c:pt idx="1890">
                  <c:v>0.91</c:v>
                </c:pt>
                <c:pt idx="1891">
                  <c:v>0.91</c:v>
                </c:pt>
                <c:pt idx="1892">
                  <c:v>0.91</c:v>
                </c:pt>
                <c:pt idx="1893">
                  <c:v>0.91</c:v>
                </c:pt>
                <c:pt idx="1894">
                  <c:v>0.91</c:v>
                </c:pt>
                <c:pt idx="1895">
                  <c:v>0.91</c:v>
                </c:pt>
                <c:pt idx="1896">
                  <c:v>0.91</c:v>
                </c:pt>
                <c:pt idx="1897">
                  <c:v>0.91</c:v>
                </c:pt>
                <c:pt idx="1898">
                  <c:v>0.92</c:v>
                </c:pt>
                <c:pt idx="1899">
                  <c:v>0.93</c:v>
                </c:pt>
                <c:pt idx="1900">
                  <c:v>0.93</c:v>
                </c:pt>
                <c:pt idx="1901">
                  <c:v>0.93</c:v>
                </c:pt>
                <c:pt idx="1902">
                  <c:v>1.01</c:v>
                </c:pt>
                <c:pt idx="1903">
                  <c:v>1.04</c:v>
                </c:pt>
                <c:pt idx="1904">
                  <c:v>1.06</c:v>
                </c:pt>
                <c:pt idx="1905">
                  <c:v>1.07</c:v>
                </c:pt>
                <c:pt idx="1906">
                  <c:v>1.08</c:v>
                </c:pt>
                <c:pt idx="1907">
                  <c:v>1.08</c:v>
                </c:pt>
                <c:pt idx="1908">
                  <c:v>1.08</c:v>
                </c:pt>
                <c:pt idx="1909">
                  <c:v>1.08</c:v>
                </c:pt>
                <c:pt idx="1910">
                  <c:v>1.0900000000000001</c:v>
                </c:pt>
                <c:pt idx="1911">
                  <c:v>1.0900000000000001</c:v>
                </c:pt>
                <c:pt idx="1912">
                  <c:v>1.1000000000000001</c:v>
                </c:pt>
                <c:pt idx="1913">
                  <c:v>1.1100000000000001</c:v>
                </c:pt>
                <c:pt idx="1914">
                  <c:v>1.1100000000000001</c:v>
                </c:pt>
                <c:pt idx="1915">
                  <c:v>1.1100000000000001</c:v>
                </c:pt>
                <c:pt idx="1916">
                  <c:v>1.1200000000000001</c:v>
                </c:pt>
                <c:pt idx="1917">
                  <c:v>1.1299999999999999</c:v>
                </c:pt>
                <c:pt idx="1918">
                  <c:v>1.1399999999999999</c:v>
                </c:pt>
                <c:pt idx="1919">
                  <c:v>1.1499999999999999</c:v>
                </c:pt>
                <c:pt idx="1920">
                  <c:v>1.1599999999999999</c:v>
                </c:pt>
                <c:pt idx="1921">
                  <c:v>1.1599999999999999</c:v>
                </c:pt>
                <c:pt idx="1922">
                  <c:v>1.1599999999999999</c:v>
                </c:pt>
                <c:pt idx="1923">
                  <c:v>1.1599999999999999</c:v>
                </c:pt>
                <c:pt idx="1924">
                  <c:v>1.17</c:v>
                </c:pt>
                <c:pt idx="1925">
                  <c:v>1.18</c:v>
                </c:pt>
                <c:pt idx="1926">
                  <c:v>1.2</c:v>
                </c:pt>
                <c:pt idx="1927">
                  <c:v>1.2</c:v>
                </c:pt>
                <c:pt idx="1928">
                  <c:v>1.2</c:v>
                </c:pt>
                <c:pt idx="1929">
                  <c:v>1.2</c:v>
                </c:pt>
                <c:pt idx="1930">
                  <c:v>1.21</c:v>
                </c:pt>
                <c:pt idx="1931">
                  <c:v>1.21</c:v>
                </c:pt>
                <c:pt idx="1932">
                  <c:v>1.22</c:v>
                </c:pt>
                <c:pt idx="1933">
                  <c:v>1.23</c:v>
                </c:pt>
                <c:pt idx="1934">
                  <c:v>1.23</c:v>
                </c:pt>
                <c:pt idx="1935">
                  <c:v>1.23</c:v>
                </c:pt>
                <c:pt idx="1936">
                  <c:v>1.23</c:v>
                </c:pt>
                <c:pt idx="1937">
                  <c:v>1.25</c:v>
                </c:pt>
                <c:pt idx="1938">
                  <c:v>1.26</c:v>
                </c:pt>
                <c:pt idx="1939">
                  <c:v>1.33</c:v>
                </c:pt>
                <c:pt idx="1940">
                  <c:v>1.34</c:v>
                </c:pt>
                <c:pt idx="1941">
                  <c:v>1.34</c:v>
                </c:pt>
                <c:pt idx="1942">
                  <c:v>1.34</c:v>
                </c:pt>
                <c:pt idx="1943">
                  <c:v>1.34</c:v>
                </c:pt>
                <c:pt idx="1944">
                  <c:v>1.34</c:v>
                </c:pt>
                <c:pt idx="1945">
                  <c:v>1.34</c:v>
                </c:pt>
                <c:pt idx="1946">
                  <c:v>1.34</c:v>
                </c:pt>
                <c:pt idx="1947">
                  <c:v>1.34</c:v>
                </c:pt>
                <c:pt idx="1948">
                  <c:v>1.34</c:v>
                </c:pt>
                <c:pt idx="1949">
                  <c:v>1.34</c:v>
                </c:pt>
                <c:pt idx="1950">
                  <c:v>1.34</c:v>
                </c:pt>
                <c:pt idx="1951">
                  <c:v>1.34</c:v>
                </c:pt>
                <c:pt idx="1952">
                  <c:v>1.35</c:v>
                </c:pt>
                <c:pt idx="1953">
                  <c:v>1.35</c:v>
                </c:pt>
                <c:pt idx="1954">
                  <c:v>1.37</c:v>
                </c:pt>
                <c:pt idx="1955">
                  <c:v>1.39</c:v>
                </c:pt>
                <c:pt idx="1956">
                  <c:v>1.39</c:v>
                </c:pt>
                <c:pt idx="1957">
                  <c:v>1.39</c:v>
                </c:pt>
                <c:pt idx="1958">
                  <c:v>1.4</c:v>
                </c:pt>
                <c:pt idx="1959">
                  <c:v>1.41</c:v>
                </c:pt>
                <c:pt idx="1960">
                  <c:v>1.42</c:v>
                </c:pt>
                <c:pt idx="1961">
                  <c:v>1.43</c:v>
                </c:pt>
                <c:pt idx="1962">
                  <c:v>1.43</c:v>
                </c:pt>
                <c:pt idx="1963">
                  <c:v>1.43</c:v>
                </c:pt>
                <c:pt idx="1964">
                  <c:v>1.43</c:v>
                </c:pt>
                <c:pt idx="1965">
                  <c:v>1.43</c:v>
                </c:pt>
                <c:pt idx="1966">
                  <c:v>1.43</c:v>
                </c:pt>
                <c:pt idx="1967">
                  <c:v>1.43</c:v>
                </c:pt>
                <c:pt idx="1968">
                  <c:v>1.43</c:v>
                </c:pt>
                <c:pt idx="1969">
                  <c:v>1.43</c:v>
                </c:pt>
                <c:pt idx="1970">
                  <c:v>1.43</c:v>
                </c:pt>
                <c:pt idx="1971">
                  <c:v>1.43</c:v>
                </c:pt>
                <c:pt idx="1972">
                  <c:v>1.43</c:v>
                </c:pt>
                <c:pt idx="1973">
                  <c:v>1.43</c:v>
                </c:pt>
                <c:pt idx="1974">
                  <c:v>1.62</c:v>
                </c:pt>
                <c:pt idx="1975">
                  <c:v>1.62</c:v>
                </c:pt>
                <c:pt idx="1976">
                  <c:v>1.63</c:v>
                </c:pt>
                <c:pt idx="1977">
                  <c:v>1.63</c:v>
                </c:pt>
                <c:pt idx="1978">
                  <c:v>1.63</c:v>
                </c:pt>
                <c:pt idx="1979">
                  <c:v>1.64</c:v>
                </c:pt>
                <c:pt idx="1980">
                  <c:v>1.64</c:v>
                </c:pt>
                <c:pt idx="1981">
                  <c:v>1.65</c:v>
                </c:pt>
                <c:pt idx="1982">
                  <c:v>1.66</c:v>
                </c:pt>
                <c:pt idx="1983">
                  <c:v>1.66</c:v>
                </c:pt>
                <c:pt idx="1984">
                  <c:v>1.66</c:v>
                </c:pt>
                <c:pt idx="1985">
                  <c:v>1.66</c:v>
                </c:pt>
                <c:pt idx="1986">
                  <c:v>1.67</c:v>
                </c:pt>
                <c:pt idx="1987">
                  <c:v>1.67</c:v>
                </c:pt>
                <c:pt idx="1988">
                  <c:v>1.68</c:v>
                </c:pt>
                <c:pt idx="1989">
                  <c:v>1.69</c:v>
                </c:pt>
                <c:pt idx="1990">
                  <c:v>1.69</c:v>
                </c:pt>
                <c:pt idx="1991">
                  <c:v>1.69</c:v>
                </c:pt>
                <c:pt idx="1992">
                  <c:v>1.69</c:v>
                </c:pt>
                <c:pt idx="1993">
                  <c:v>1.69</c:v>
                </c:pt>
                <c:pt idx="1994">
                  <c:v>1.69</c:v>
                </c:pt>
                <c:pt idx="1995">
                  <c:v>1.7</c:v>
                </c:pt>
                <c:pt idx="1996">
                  <c:v>1.71</c:v>
                </c:pt>
                <c:pt idx="1997">
                  <c:v>1.71</c:v>
                </c:pt>
                <c:pt idx="1998">
                  <c:v>1.71</c:v>
                </c:pt>
                <c:pt idx="1999">
                  <c:v>1.71</c:v>
                </c:pt>
                <c:pt idx="2000">
                  <c:v>1.71</c:v>
                </c:pt>
                <c:pt idx="2001">
                  <c:v>1.73</c:v>
                </c:pt>
                <c:pt idx="2002">
                  <c:v>1.85</c:v>
                </c:pt>
                <c:pt idx="2003">
                  <c:v>1.86</c:v>
                </c:pt>
                <c:pt idx="2004">
                  <c:v>1.86</c:v>
                </c:pt>
                <c:pt idx="2005">
                  <c:v>1.86</c:v>
                </c:pt>
                <c:pt idx="2006">
                  <c:v>1.86</c:v>
                </c:pt>
                <c:pt idx="2007">
                  <c:v>1.86</c:v>
                </c:pt>
                <c:pt idx="2008">
                  <c:v>1.86</c:v>
                </c:pt>
                <c:pt idx="2009">
                  <c:v>1.86</c:v>
                </c:pt>
                <c:pt idx="2010">
                  <c:v>1.86</c:v>
                </c:pt>
                <c:pt idx="2011">
                  <c:v>1.85</c:v>
                </c:pt>
                <c:pt idx="2012">
                  <c:v>1.85</c:v>
                </c:pt>
                <c:pt idx="2013">
                  <c:v>1.85</c:v>
                </c:pt>
                <c:pt idx="2014">
                  <c:v>1.85</c:v>
                </c:pt>
                <c:pt idx="2015">
                  <c:v>1.85</c:v>
                </c:pt>
                <c:pt idx="2016">
                  <c:v>1.85</c:v>
                </c:pt>
                <c:pt idx="2017">
                  <c:v>1.85</c:v>
                </c:pt>
                <c:pt idx="2018">
                  <c:v>1.85</c:v>
                </c:pt>
                <c:pt idx="2019">
                  <c:v>1.85</c:v>
                </c:pt>
                <c:pt idx="2020">
                  <c:v>1.85</c:v>
                </c:pt>
                <c:pt idx="2021">
                  <c:v>1.85</c:v>
                </c:pt>
                <c:pt idx="2022">
                  <c:v>1.86</c:v>
                </c:pt>
                <c:pt idx="2023">
                  <c:v>1.86</c:v>
                </c:pt>
                <c:pt idx="2024">
                  <c:v>1.87</c:v>
                </c:pt>
                <c:pt idx="2025">
                  <c:v>1.89</c:v>
                </c:pt>
                <c:pt idx="2026">
                  <c:v>1.89</c:v>
                </c:pt>
                <c:pt idx="2027">
                  <c:v>1.89</c:v>
                </c:pt>
                <c:pt idx="2028">
                  <c:v>1.91</c:v>
                </c:pt>
                <c:pt idx="2029">
                  <c:v>1.94</c:v>
                </c:pt>
                <c:pt idx="2030">
                  <c:v>1.97</c:v>
                </c:pt>
                <c:pt idx="2031">
                  <c:v>1.98</c:v>
                </c:pt>
                <c:pt idx="2032">
                  <c:v>1.99</c:v>
                </c:pt>
                <c:pt idx="2033">
                  <c:v>1.99</c:v>
                </c:pt>
                <c:pt idx="2034">
                  <c:v>1.99</c:v>
                </c:pt>
                <c:pt idx="2035">
                  <c:v>2</c:v>
                </c:pt>
                <c:pt idx="2036">
                  <c:v>2</c:v>
                </c:pt>
                <c:pt idx="2037">
                  <c:v>2</c:v>
                </c:pt>
                <c:pt idx="2038">
                  <c:v>2</c:v>
                </c:pt>
                <c:pt idx="2039">
                  <c:v>2</c:v>
                </c:pt>
                <c:pt idx="2040">
                  <c:v>2</c:v>
                </c:pt>
                <c:pt idx="2041">
                  <c:v>2</c:v>
                </c:pt>
                <c:pt idx="2042">
                  <c:v>2.02</c:v>
                </c:pt>
                <c:pt idx="2043">
                  <c:v>2.04</c:v>
                </c:pt>
                <c:pt idx="2044">
                  <c:v>2.06</c:v>
                </c:pt>
                <c:pt idx="2045">
                  <c:v>2.0699999999999998</c:v>
                </c:pt>
                <c:pt idx="2046">
                  <c:v>2.09</c:v>
                </c:pt>
                <c:pt idx="2047">
                  <c:v>2.09</c:v>
                </c:pt>
                <c:pt idx="2048">
                  <c:v>2.09</c:v>
                </c:pt>
                <c:pt idx="2049">
                  <c:v>2.1</c:v>
                </c:pt>
                <c:pt idx="2050">
                  <c:v>2.12</c:v>
                </c:pt>
                <c:pt idx="2051">
                  <c:v>2.13</c:v>
                </c:pt>
                <c:pt idx="2052">
                  <c:v>2.14</c:v>
                </c:pt>
                <c:pt idx="2053">
                  <c:v>2.15</c:v>
                </c:pt>
                <c:pt idx="2054">
                  <c:v>2.15</c:v>
                </c:pt>
                <c:pt idx="2055">
                  <c:v>2.15</c:v>
                </c:pt>
                <c:pt idx="2056">
                  <c:v>2.1800000000000002</c:v>
                </c:pt>
                <c:pt idx="2057">
                  <c:v>2.21</c:v>
                </c:pt>
                <c:pt idx="2058">
                  <c:v>2.2999999999999998</c:v>
                </c:pt>
                <c:pt idx="2059">
                  <c:v>2.3199999999999998</c:v>
                </c:pt>
                <c:pt idx="2060">
                  <c:v>2.35</c:v>
                </c:pt>
                <c:pt idx="2061">
                  <c:v>2.35</c:v>
                </c:pt>
                <c:pt idx="2062">
                  <c:v>2.35</c:v>
                </c:pt>
                <c:pt idx="2063">
                  <c:v>2.37</c:v>
                </c:pt>
                <c:pt idx="2064">
                  <c:v>2.39</c:v>
                </c:pt>
                <c:pt idx="2065">
                  <c:v>2.4</c:v>
                </c:pt>
                <c:pt idx="2066">
                  <c:v>2.41</c:v>
                </c:pt>
                <c:pt idx="2067">
                  <c:v>2.42</c:v>
                </c:pt>
                <c:pt idx="2068">
                  <c:v>2.42</c:v>
                </c:pt>
                <c:pt idx="2069">
                  <c:v>2.42</c:v>
                </c:pt>
                <c:pt idx="2070">
                  <c:v>2.42</c:v>
                </c:pt>
                <c:pt idx="2071">
                  <c:v>2.4300000000000002</c:v>
                </c:pt>
                <c:pt idx="2072">
                  <c:v>2.44</c:v>
                </c:pt>
                <c:pt idx="2073">
                  <c:v>2.44</c:v>
                </c:pt>
                <c:pt idx="2074">
                  <c:v>2.46</c:v>
                </c:pt>
                <c:pt idx="2075">
                  <c:v>2.46</c:v>
                </c:pt>
                <c:pt idx="2076">
                  <c:v>2.46</c:v>
                </c:pt>
                <c:pt idx="2077">
                  <c:v>2.4700000000000002</c:v>
                </c:pt>
                <c:pt idx="2078">
                  <c:v>2.5099999999999998</c:v>
                </c:pt>
                <c:pt idx="2079">
                  <c:v>2.5499999999999998</c:v>
                </c:pt>
                <c:pt idx="2080">
                  <c:v>2.6</c:v>
                </c:pt>
                <c:pt idx="2081">
                  <c:v>2.65</c:v>
                </c:pt>
                <c:pt idx="2082">
                  <c:v>2.65</c:v>
                </c:pt>
                <c:pt idx="2083">
                  <c:v>2.65</c:v>
                </c:pt>
                <c:pt idx="2084">
                  <c:v>2.74</c:v>
                </c:pt>
                <c:pt idx="2085">
                  <c:v>2.79</c:v>
                </c:pt>
                <c:pt idx="2086">
                  <c:v>3.01</c:v>
                </c:pt>
                <c:pt idx="2087">
                  <c:v>3.04</c:v>
                </c:pt>
                <c:pt idx="2088">
                  <c:v>3.21</c:v>
                </c:pt>
                <c:pt idx="2089">
                  <c:v>3.21</c:v>
                </c:pt>
                <c:pt idx="2090">
                  <c:v>3.21</c:v>
                </c:pt>
                <c:pt idx="2091">
                  <c:v>3.31</c:v>
                </c:pt>
                <c:pt idx="2092">
                  <c:v>3.46</c:v>
                </c:pt>
                <c:pt idx="2093">
                  <c:v>3.55</c:v>
                </c:pt>
                <c:pt idx="2094">
                  <c:v>3.91</c:v>
                </c:pt>
                <c:pt idx="2095">
                  <c:v>3.96</c:v>
                </c:pt>
                <c:pt idx="2096">
                  <c:v>3.96</c:v>
                </c:pt>
                <c:pt idx="2097">
                  <c:v>3.96</c:v>
                </c:pt>
                <c:pt idx="2098">
                  <c:v>3.97</c:v>
                </c:pt>
                <c:pt idx="2099">
                  <c:v>3.96</c:v>
                </c:pt>
                <c:pt idx="2100">
                  <c:v>3.98</c:v>
                </c:pt>
                <c:pt idx="2101">
                  <c:v>4.0599999999999996</c:v>
                </c:pt>
                <c:pt idx="2102">
                  <c:v>4.07</c:v>
                </c:pt>
                <c:pt idx="2103">
                  <c:v>4.07</c:v>
                </c:pt>
                <c:pt idx="2104">
                  <c:v>4.07</c:v>
                </c:pt>
                <c:pt idx="2105">
                  <c:v>4.08</c:v>
                </c:pt>
                <c:pt idx="2106">
                  <c:v>4.08</c:v>
                </c:pt>
                <c:pt idx="2107">
                  <c:v>4.0999999999999996</c:v>
                </c:pt>
                <c:pt idx="2108">
                  <c:v>4.17</c:v>
                </c:pt>
                <c:pt idx="2109">
                  <c:v>4.1900000000000004</c:v>
                </c:pt>
                <c:pt idx="2110">
                  <c:v>4.1900000000000004</c:v>
                </c:pt>
                <c:pt idx="2111">
                  <c:v>4.1900000000000004</c:v>
                </c:pt>
                <c:pt idx="2112">
                  <c:v>4.2</c:v>
                </c:pt>
                <c:pt idx="2113">
                  <c:v>4.21</c:v>
                </c:pt>
                <c:pt idx="2114">
                  <c:v>4.33</c:v>
                </c:pt>
                <c:pt idx="2115">
                  <c:v>4.45</c:v>
                </c:pt>
                <c:pt idx="2116">
                  <c:v>4.47</c:v>
                </c:pt>
                <c:pt idx="2117">
                  <c:v>4.47</c:v>
                </c:pt>
                <c:pt idx="2118">
                  <c:v>4.47</c:v>
                </c:pt>
                <c:pt idx="2119">
                  <c:v>4.4800000000000004</c:v>
                </c:pt>
                <c:pt idx="2120">
                  <c:v>4.4800000000000004</c:v>
                </c:pt>
                <c:pt idx="2121">
                  <c:v>4.4800000000000004</c:v>
                </c:pt>
                <c:pt idx="2122">
                  <c:v>4.55</c:v>
                </c:pt>
                <c:pt idx="2123">
                  <c:v>4.55</c:v>
                </c:pt>
                <c:pt idx="2124">
                  <c:v>4.55</c:v>
                </c:pt>
                <c:pt idx="2125">
                  <c:v>4.55</c:v>
                </c:pt>
                <c:pt idx="2126">
                  <c:v>4.5599999999999996</c:v>
                </c:pt>
                <c:pt idx="2127">
                  <c:v>4.57</c:v>
                </c:pt>
                <c:pt idx="2128">
                  <c:v>4.57</c:v>
                </c:pt>
                <c:pt idx="2129">
                  <c:v>4.67</c:v>
                </c:pt>
                <c:pt idx="2130">
                  <c:v>4.68</c:v>
                </c:pt>
                <c:pt idx="2131">
                  <c:v>4.68</c:v>
                </c:pt>
                <c:pt idx="2132">
                  <c:v>4.68</c:v>
                </c:pt>
                <c:pt idx="2133">
                  <c:v>4.7</c:v>
                </c:pt>
                <c:pt idx="2134">
                  <c:v>4.71</c:v>
                </c:pt>
                <c:pt idx="2135">
                  <c:v>4.7300000000000004</c:v>
                </c:pt>
                <c:pt idx="2136">
                  <c:v>4.75</c:v>
                </c:pt>
                <c:pt idx="2137">
                  <c:v>4.74</c:v>
                </c:pt>
                <c:pt idx="2138">
                  <c:v>4.74</c:v>
                </c:pt>
                <c:pt idx="2139">
                  <c:v>4.74</c:v>
                </c:pt>
                <c:pt idx="2140">
                  <c:v>4.74</c:v>
                </c:pt>
                <c:pt idx="2141">
                  <c:v>4.74</c:v>
                </c:pt>
                <c:pt idx="2142">
                  <c:v>4.7300000000000004</c:v>
                </c:pt>
                <c:pt idx="2143">
                  <c:v>4.71</c:v>
                </c:pt>
                <c:pt idx="2144">
                  <c:v>4.6900000000000004</c:v>
                </c:pt>
                <c:pt idx="2145">
                  <c:v>4.6900000000000004</c:v>
                </c:pt>
                <c:pt idx="2146">
                  <c:v>4.6900000000000004</c:v>
                </c:pt>
                <c:pt idx="2147">
                  <c:v>4.68</c:v>
                </c:pt>
              </c:numCache>
            </c:numRef>
          </c:val>
          <c:smooth val="0"/>
          <c:extLst>
            <c:ext xmlns:c16="http://schemas.microsoft.com/office/drawing/2014/chart" uri="{C3380CC4-5D6E-409C-BE32-E72D297353CC}">
              <c16:uniqueId val="{00000004-1F34-4772-B35F-AA8181655FDE}"/>
            </c:ext>
          </c:extLst>
        </c:ser>
        <c:dLbls>
          <c:showLegendKey val="0"/>
          <c:showVal val="0"/>
          <c:showCatName val="0"/>
          <c:showSerName val="0"/>
          <c:showPercent val="0"/>
          <c:showBubbleSize val="0"/>
        </c:dLbls>
        <c:smooth val="0"/>
        <c:axId val="1300075263"/>
        <c:axId val="1"/>
      </c:lineChart>
      <c:dateAx>
        <c:axId val="1300075263"/>
        <c:scaling>
          <c:orientation val="minMax"/>
          <c:min val="42248"/>
        </c:scaling>
        <c:delete val="0"/>
        <c:axPos val="b"/>
        <c:numFmt formatCode="yyyy\/mm\/dd;@" sourceLinked="0"/>
        <c:majorTickMark val="none"/>
        <c:minorTickMark val="none"/>
        <c:tickLblPos val="low"/>
        <c:txPr>
          <a:bodyPr rot="0" vert="horz"/>
          <a:lstStyle/>
          <a:p>
            <a:pPr>
              <a:defRPr sz="800" b="0" i="0" u="none" strike="noStrike" baseline="0">
                <a:solidFill>
                  <a:srgbClr val="000000"/>
                </a:solidFill>
                <a:latin typeface="Calibri"/>
                <a:ea typeface="Calibri"/>
                <a:cs typeface="Calibri"/>
              </a:defRPr>
            </a:pPr>
            <a:endParaRPr lang="hu-HU"/>
          </a:p>
        </c:txPr>
        <c:crossAx val="1"/>
        <c:crosses val="autoZero"/>
        <c:auto val="1"/>
        <c:lblOffset val="100"/>
        <c:baseTimeUnit val="days"/>
      </c:dateAx>
      <c:valAx>
        <c:axId val="1"/>
        <c:scaling>
          <c:orientation val="minMax"/>
          <c:max val="6"/>
          <c:min val="0"/>
        </c:scaling>
        <c:delete val="0"/>
        <c:axPos val="l"/>
        <c:majorGridlines>
          <c:spPr>
            <a:ln w="3175">
              <a:solidFill>
                <a:srgbClr val="C0C0C0"/>
              </a:solidFill>
              <a:prstDash val="solid"/>
            </a:ln>
          </c:spPr>
        </c:majorGridlines>
        <c:numFmt formatCode="0.0" sourceLinked="0"/>
        <c:majorTickMark val="none"/>
        <c:minorTickMark val="none"/>
        <c:tickLblPos val="nextTo"/>
        <c:spPr>
          <a:ln w="9525">
            <a:noFill/>
          </a:ln>
        </c:spPr>
        <c:txPr>
          <a:bodyPr rot="0" vert="horz"/>
          <a:lstStyle/>
          <a:p>
            <a:pPr>
              <a:defRPr sz="800" b="0" i="0" u="none" strike="noStrike" baseline="0">
                <a:solidFill>
                  <a:srgbClr val="000000"/>
                </a:solidFill>
                <a:latin typeface="Calibri"/>
                <a:ea typeface="Calibri"/>
                <a:cs typeface="Calibri"/>
              </a:defRPr>
            </a:pPr>
            <a:endParaRPr lang="hu-HU"/>
          </a:p>
        </c:txPr>
        <c:crossAx val="1300075263"/>
        <c:crosses val="autoZero"/>
        <c:crossBetween val="between"/>
        <c:majorUnit val="0.5"/>
      </c:valAx>
      <c:spPr>
        <a:noFill/>
        <a:ln w="25400">
          <a:noFill/>
        </a:ln>
      </c:spPr>
    </c:plotArea>
    <c:legend>
      <c:legendPos val="r"/>
      <c:layout>
        <c:manualLayout>
          <c:xMode val="edge"/>
          <c:yMode val="edge"/>
          <c:x val="1.666732283464567E-2"/>
          <c:y val="2.6154083680716362E-3"/>
          <c:w val="0.95502978881927447"/>
          <c:h val="0.17909217230199168"/>
        </c:manualLayout>
      </c:layout>
      <c:overlay val="0"/>
      <c:spPr>
        <a:noFill/>
        <a:ln w="25400">
          <a:noFill/>
        </a:ln>
      </c:spPr>
      <c:txPr>
        <a:bodyPr/>
        <a:lstStyle/>
        <a:p>
          <a:pPr>
            <a:defRPr sz="735" b="0" i="0" u="none" strike="noStrike" baseline="0">
              <a:solidFill>
                <a:srgbClr val="000000"/>
              </a:solidFill>
              <a:latin typeface="Calibri"/>
              <a:ea typeface="Calibri"/>
              <a:cs typeface="Calibri"/>
            </a:defRPr>
          </a:pPr>
          <a:endParaRPr lang="hu-HU"/>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Calibri"/>
          <a:ea typeface="Calibri"/>
          <a:cs typeface="Calibri"/>
        </a:defRPr>
      </a:pPr>
      <a:endParaRPr lang="hu-H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08491969829134"/>
          <c:y val="8.3759661835748789E-2"/>
          <c:w val="0.74551813271604939"/>
          <c:h val="0.77940096618357491"/>
        </c:manualLayout>
      </c:layout>
      <c:lineChart>
        <c:grouping val="standard"/>
        <c:varyColors val="0"/>
        <c:ser>
          <c:idx val="0"/>
          <c:order val="0"/>
          <c:tx>
            <c:strRef>
              <c:f>Állandó_ábrák!$G$49</c:f>
              <c:strCache>
                <c:ptCount val="1"/>
                <c:pt idx="0">
                  <c:v>Dow Jones</c:v>
                </c:pt>
              </c:strCache>
            </c:strRef>
          </c:tx>
          <c:spPr>
            <a:ln w="25400">
              <a:solidFill>
                <a:srgbClr val="005A96"/>
              </a:solidFill>
              <a:prstDash val="solid"/>
            </a:ln>
          </c:spPr>
          <c:marker>
            <c:symbol val="none"/>
          </c:marker>
          <c:cat>
            <c:numRef>
              <c:f>BB!$A$1:$A$367</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BB!$AN$1:$AN$367</c:f>
              <c:numCache>
                <c:formatCode>0.00</c:formatCode>
                <c:ptCount val="367"/>
                <c:pt idx="0">
                  <c:v>31068.69</c:v>
                </c:pt>
                <c:pt idx="1">
                  <c:v>31060.47</c:v>
                </c:pt>
                <c:pt idx="2">
                  <c:v>30991.52</c:v>
                </c:pt>
                <c:pt idx="3">
                  <c:v>30814.26</c:v>
                </c:pt>
                <c:pt idx="4">
                  <c:v>30814.26</c:v>
                </c:pt>
                <c:pt idx="5">
                  <c:v>30814.26</c:v>
                </c:pt>
                <c:pt idx="6">
                  <c:v>30814.26</c:v>
                </c:pt>
                <c:pt idx="7">
                  <c:v>30930.52</c:v>
                </c:pt>
                <c:pt idx="8">
                  <c:v>31188.38</c:v>
                </c:pt>
                <c:pt idx="9">
                  <c:v>31176.01</c:v>
                </c:pt>
                <c:pt idx="10">
                  <c:v>30996.98</c:v>
                </c:pt>
                <c:pt idx="11">
                  <c:v>30996.98</c:v>
                </c:pt>
                <c:pt idx="12">
                  <c:v>30996.98</c:v>
                </c:pt>
                <c:pt idx="13">
                  <c:v>30960</c:v>
                </c:pt>
                <c:pt idx="14">
                  <c:v>30937.040000000001</c:v>
                </c:pt>
                <c:pt idx="15">
                  <c:v>30303.17</c:v>
                </c:pt>
                <c:pt idx="16">
                  <c:v>30603.360000000001</c:v>
                </c:pt>
                <c:pt idx="17">
                  <c:v>29982.62</c:v>
                </c:pt>
                <c:pt idx="18">
                  <c:v>29982.62</c:v>
                </c:pt>
                <c:pt idx="19">
                  <c:v>29982.62</c:v>
                </c:pt>
                <c:pt idx="20">
                  <c:v>30211.91</c:v>
                </c:pt>
                <c:pt idx="21">
                  <c:v>30687.48</c:v>
                </c:pt>
                <c:pt idx="22">
                  <c:v>30723.599999999999</c:v>
                </c:pt>
                <c:pt idx="23">
                  <c:v>31055.86</c:v>
                </c:pt>
                <c:pt idx="24">
                  <c:v>31148.240000000002</c:v>
                </c:pt>
                <c:pt idx="25">
                  <c:v>31148.240000000002</c:v>
                </c:pt>
                <c:pt idx="26">
                  <c:v>31148.240000000002</c:v>
                </c:pt>
                <c:pt idx="27">
                  <c:v>31385.759999999998</c:v>
                </c:pt>
                <c:pt idx="28">
                  <c:v>31375.83</c:v>
                </c:pt>
                <c:pt idx="29">
                  <c:v>31437.8</c:v>
                </c:pt>
                <c:pt idx="30">
                  <c:v>31430.7</c:v>
                </c:pt>
                <c:pt idx="31">
                  <c:v>31458.400000000001</c:v>
                </c:pt>
                <c:pt idx="32">
                  <c:v>31458.400000000001</c:v>
                </c:pt>
                <c:pt idx="33">
                  <c:v>31458.400000000001</c:v>
                </c:pt>
                <c:pt idx="34">
                  <c:v>31458.400000000001</c:v>
                </c:pt>
                <c:pt idx="35">
                  <c:v>31522.75</c:v>
                </c:pt>
                <c:pt idx="36">
                  <c:v>31613.02</c:v>
                </c:pt>
                <c:pt idx="37">
                  <c:v>31493.34</c:v>
                </c:pt>
                <c:pt idx="38">
                  <c:v>31494.32</c:v>
                </c:pt>
                <c:pt idx="39">
                  <c:v>31494.32</c:v>
                </c:pt>
                <c:pt idx="40">
                  <c:v>31494.32</c:v>
                </c:pt>
                <c:pt idx="41">
                  <c:v>31521.69</c:v>
                </c:pt>
                <c:pt idx="42">
                  <c:v>31537.35</c:v>
                </c:pt>
                <c:pt idx="43">
                  <c:v>31961.86</c:v>
                </c:pt>
                <c:pt idx="44">
                  <c:v>31402.01</c:v>
                </c:pt>
                <c:pt idx="45">
                  <c:v>30932.37</c:v>
                </c:pt>
                <c:pt idx="46">
                  <c:v>30932.37</c:v>
                </c:pt>
                <c:pt idx="47">
                  <c:v>30932.37</c:v>
                </c:pt>
                <c:pt idx="48">
                  <c:v>31535.51</c:v>
                </c:pt>
                <c:pt idx="49">
                  <c:v>31391.52</c:v>
                </c:pt>
                <c:pt idx="50">
                  <c:v>31270.09</c:v>
                </c:pt>
                <c:pt idx="51">
                  <c:v>30924.14</c:v>
                </c:pt>
                <c:pt idx="52">
                  <c:v>31496.3</c:v>
                </c:pt>
                <c:pt idx="53">
                  <c:v>31496.3</c:v>
                </c:pt>
                <c:pt idx="54">
                  <c:v>31496.3</c:v>
                </c:pt>
                <c:pt idx="55">
                  <c:v>31802.44</c:v>
                </c:pt>
                <c:pt idx="56">
                  <c:v>31832.74</c:v>
                </c:pt>
                <c:pt idx="57">
                  <c:v>32297.02</c:v>
                </c:pt>
                <c:pt idx="58">
                  <c:v>32485.59</c:v>
                </c:pt>
                <c:pt idx="59">
                  <c:v>32778.639999999999</c:v>
                </c:pt>
                <c:pt idx="60">
                  <c:v>32778.639999999999</c:v>
                </c:pt>
                <c:pt idx="61">
                  <c:v>32778.639999999999</c:v>
                </c:pt>
                <c:pt idx="62">
                  <c:v>32953.46</c:v>
                </c:pt>
                <c:pt idx="63">
                  <c:v>32825.949999999997</c:v>
                </c:pt>
                <c:pt idx="64">
                  <c:v>33015.370000000003</c:v>
                </c:pt>
                <c:pt idx="65">
                  <c:v>32862.300000000003</c:v>
                </c:pt>
                <c:pt idx="66">
                  <c:v>32627.97</c:v>
                </c:pt>
                <c:pt idx="67">
                  <c:v>32627.97</c:v>
                </c:pt>
                <c:pt idx="68">
                  <c:v>32627.97</c:v>
                </c:pt>
                <c:pt idx="69">
                  <c:v>32731.200000000001</c:v>
                </c:pt>
                <c:pt idx="70">
                  <c:v>32423.15</c:v>
                </c:pt>
                <c:pt idx="71">
                  <c:v>32420.06</c:v>
                </c:pt>
                <c:pt idx="72">
                  <c:v>32619.48</c:v>
                </c:pt>
                <c:pt idx="73">
                  <c:v>33072.879999999997</c:v>
                </c:pt>
                <c:pt idx="74">
                  <c:v>33072.879999999997</c:v>
                </c:pt>
                <c:pt idx="75">
                  <c:v>33072.879999999997</c:v>
                </c:pt>
                <c:pt idx="76">
                  <c:v>33171.370000000003</c:v>
                </c:pt>
                <c:pt idx="77">
                  <c:v>33066.959999999999</c:v>
                </c:pt>
                <c:pt idx="78">
                  <c:v>32981.550000000003</c:v>
                </c:pt>
                <c:pt idx="79">
                  <c:v>33153.21</c:v>
                </c:pt>
                <c:pt idx="80">
                  <c:v>33153.21</c:v>
                </c:pt>
                <c:pt idx="81">
                  <c:v>33153.21</c:v>
                </c:pt>
                <c:pt idx="82">
                  <c:v>33153.21</c:v>
                </c:pt>
                <c:pt idx="83">
                  <c:v>33527.19</c:v>
                </c:pt>
                <c:pt idx="84">
                  <c:v>33430.239999999998</c:v>
                </c:pt>
                <c:pt idx="85">
                  <c:v>33446.26</c:v>
                </c:pt>
                <c:pt idx="86">
                  <c:v>33503.57</c:v>
                </c:pt>
                <c:pt idx="87">
                  <c:v>33800.6</c:v>
                </c:pt>
                <c:pt idx="88">
                  <c:v>33800.6</c:v>
                </c:pt>
                <c:pt idx="89">
                  <c:v>33800.6</c:v>
                </c:pt>
                <c:pt idx="90">
                  <c:v>33745.4</c:v>
                </c:pt>
                <c:pt idx="91">
                  <c:v>33677.269999999997</c:v>
                </c:pt>
                <c:pt idx="92">
                  <c:v>33730.89</c:v>
                </c:pt>
                <c:pt idx="93">
                  <c:v>34035.99</c:v>
                </c:pt>
                <c:pt idx="94">
                  <c:v>34200.67</c:v>
                </c:pt>
                <c:pt idx="95">
                  <c:v>34200.67</c:v>
                </c:pt>
                <c:pt idx="96">
                  <c:v>34200.67</c:v>
                </c:pt>
                <c:pt idx="97">
                  <c:v>34077.629999999997</c:v>
                </c:pt>
                <c:pt idx="98">
                  <c:v>33821.300000000003</c:v>
                </c:pt>
                <c:pt idx="99">
                  <c:v>34137.31</c:v>
                </c:pt>
                <c:pt idx="100">
                  <c:v>33815.9</c:v>
                </c:pt>
                <c:pt idx="101">
                  <c:v>34043.49</c:v>
                </c:pt>
                <c:pt idx="102">
                  <c:v>34043.49</c:v>
                </c:pt>
                <c:pt idx="103">
                  <c:v>34043.49</c:v>
                </c:pt>
                <c:pt idx="104">
                  <c:v>33981.57</c:v>
                </c:pt>
                <c:pt idx="105">
                  <c:v>33984.93</c:v>
                </c:pt>
                <c:pt idx="106">
                  <c:v>33820.379999999997</c:v>
                </c:pt>
                <c:pt idx="107">
                  <c:v>34060.36</c:v>
                </c:pt>
                <c:pt idx="108">
                  <c:v>33874.85</c:v>
                </c:pt>
                <c:pt idx="109">
                  <c:v>33874.85</c:v>
                </c:pt>
                <c:pt idx="110">
                  <c:v>33874.85</c:v>
                </c:pt>
                <c:pt idx="111">
                  <c:v>34113.230000000003</c:v>
                </c:pt>
                <c:pt idx="112">
                  <c:v>34133.03</c:v>
                </c:pt>
                <c:pt idx="113">
                  <c:v>34230.339999999997</c:v>
                </c:pt>
                <c:pt idx="114">
                  <c:v>34548.53</c:v>
                </c:pt>
                <c:pt idx="115">
                  <c:v>34777.760000000002</c:v>
                </c:pt>
                <c:pt idx="116">
                  <c:v>34777.760000000002</c:v>
                </c:pt>
                <c:pt idx="117">
                  <c:v>34777.760000000002</c:v>
                </c:pt>
                <c:pt idx="118">
                  <c:v>34742.82</c:v>
                </c:pt>
                <c:pt idx="119">
                  <c:v>34269.160000000003</c:v>
                </c:pt>
                <c:pt idx="120">
                  <c:v>33587.660000000003</c:v>
                </c:pt>
                <c:pt idx="121">
                  <c:v>34021.449999999997</c:v>
                </c:pt>
                <c:pt idx="122">
                  <c:v>34382.129999999997</c:v>
                </c:pt>
                <c:pt idx="123">
                  <c:v>34382.129999999997</c:v>
                </c:pt>
                <c:pt idx="124">
                  <c:v>34382.129999999997</c:v>
                </c:pt>
                <c:pt idx="125">
                  <c:v>34327.79</c:v>
                </c:pt>
                <c:pt idx="126">
                  <c:v>34060.660000000003</c:v>
                </c:pt>
                <c:pt idx="127">
                  <c:v>33896.04</c:v>
                </c:pt>
                <c:pt idx="128">
                  <c:v>34084.15</c:v>
                </c:pt>
                <c:pt idx="129">
                  <c:v>34207.839999999997</c:v>
                </c:pt>
                <c:pt idx="130">
                  <c:v>34207.839999999997</c:v>
                </c:pt>
                <c:pt idx="131">
                  <c:v>34207.839999999997</c:v>
                </c:pt>
                <c:pt idx="132">
                  <c:v>34393.980000000003</c:v>
                </c:pt>
                <c:pt idx="133">
                  <c:v>34312.46</c:v>
                </c:pt>
                <c:pt idx="134">
                  <c:v>34323.050000000003</c:v>
                </c:pt>
                <c:pt idx="135">
                  <c:v>34464.639999999999</c:v>
                </c:pt>
                <c:pt idx="136">
                  <c:v>34529.449999999997</c:v>
                </c:pt>
                <c:pt idx="137">
                  <c:v>34529.449999999997</c:v>
                </c:pt>
                <c:pt idx="138">
                  <c:v>34529.449999999997</c:v>
                </c:pt>
                <c:pt idx="139">
                  <c:v>34529.449999999997</c:v>
                </c:pt>
                <c:pt idx="140">
                  <c:v>34575.31</c:v>
                </c:pt>
                <c:pt idx="141">
                  <c:v>34600.379999999997</c:v>
                </c:pt>
                <c:pt idx="142">
                  <c:v>34577.040000000001</c:v>
                </c:pt>
                <c:pt idx="143">
                  <c:v>34756.39</c:v>
                </c:pt>
                <c:pt idx="144">
                  <c:v>34756.39</c:v>
                </c:pt>
                <c:pt idx="145">
                  <c:v>34756.39</c:v>
                </c:pt>
                <c:pt idx="146">
                  <c:v>34630.239999999998</c:v>
                </c:pt>
                <c:pt idx="147">
                  <c:v>34599.82</c:v>
                </c:pt>
                <c:pt idx="148">
                  <c:v>34447.14</c:v>
                </c:pt>
                <c:pt idx="149">
                  <c:v>34466.239999999998</c:v>
                </c:pt>
                <c:pt idx="150">
                  <c:v>34479.599999999999</c:v>
                </c:pt>
                <c:pt idx="151">
                  <c:v>34479.599999999999</c:v>
                </c:pt>
                <c:pt idx="152">
                  <c:v>34479.599999999999</c:v>
                </c:pt>
                <c:pt idx="153">
                  <c:v>34393.75</c:v>
                </c:pt>
                <c:pt idx="154">
                  <c:v>34299.33</c:v>
                </c:pt>
                <c:pt idx="155">
                  <c:v>34033.67</c:v>
                </c:pt>
                <c:pt idx="156">
                  <c:v>33823.449999999997</c:v>
                </c:pt>
                <c:pt idx="157">
                  <c:v>33290.080000000002</c:v>
                </c:pt>
                <c:pt idx="158">
                  <c:v>33290.080000000002</c:v>
                </c:pt>
                <c:pt idx="159">
                  <c:v>33290.080000000002</c:v>
                </c:pt>
                <c:pt idx="160">
                  <c:v>33876.97</c:v>
                </c:pt>
                <c:pt idx="161">
                  <c:v>33945.58</c:v>
                </c:pt>
                <c:pt idx="162">
                  <c:v>33874.239999999998</c:v>
                </c:pt>
                <c:pt idx="163">
                  <c:v>34196.82</c:v>
                </c:pt>
                <c:pt idx="164">
                  <c:v>34433.839999999997</c:v>
                </c:pt>
                <c:pt idx="165">
                  <c:v>34433.839999999997</c:v>
                </c:pt>
                <c:pt idx="166">
                  <c:v>34433.839999999997</c:v>
                </c:pt>
                <c:pt idx="167">
                  <c:v>34283.269999999997</c:v>
                </c:pt>
                <c:pt idx="168">
                  <c:v>34292.29</c:v>
                </c:pt>
                <c:pt idx="169">
                  <c:v>34502.51</c:v>
                </c:pt>
                <c:pt idx="170">
                  <c:v>34633.53</c:v>
                </c:pt>
                <c:pt idx="171">
                  <c:v>34786.35</c:v>
                </c:pt>
                <c:pt idx="172">
                  <c:v>34786.35</c:v>
                </c:pt>
                <c:pt idx="173">
                  <c:v>34786.35</c:v>
                </c:pt>
                <c:pt idx="174">
                  <c:v>34786.35</c:v>
                </c:pt>
                <c:pt idx="175">
                  <c:v>34577.370000000003</c:v>
                </c:pt>
                <c:pt idx="176">
                  <c:v>34681.79</c:v>
                </c:pt>
                <c:pt idx="177">
                  <c:v>34421.93</c:v>
                </c:pt>
                <c:pt idx="178">
                  <c:v>34870.160000000003</c:v>
                </c:pt>
                <c:pt idx="179">
                  <c:v>34870.160000000003</c:v>
                </c:pt>
                <c:pt idx="180">
                  <c:v>34870.160000000003</c:v>
                </c:pt>
                <c:pt idx="181">
                  <c:v>34996.18</c:v>
                </c:pt>
                <c:pt idx="182">
                  <c:v>34888.79</c:v>
                </c:pt>
                <c:pt idx="183">
                  <c:v>34933.230000000003</c:v>
                </c:pt>
                <c:pt idx="184">
                  <c:v>34987.019999999997</c:v>
                </c:pt>
                <c:pt idx="185">
                  <c:v>34687.85</c:v>
                </c:pt>
                <c:pt idx="186">
                  <c:v>34687.85</c:v>
                </c:pt>
                <c:pt idx="187">
                  <c:v>34687.85</c:v>
                </c:pt>
                <c:pt idx="188">
                  <c:v>33962.04</c:v>
                </c:pt>
                <c:pt idx="189">
                  <c:v>34511.99</c:v>
                </c:pt>
                <c:pt idx="190">
                  <c:v>34798</c:v>
                </c:pt>
                <c:pt idx="191">
                  <c:v>34823.35</c:v>
                </c:pt>
                <c:pt idx="192">
                  <c:v>35061.550000000003</c:v>
                </c:pt>
                <c:pt idx="193">
                  <c:v>35061.550000000003</c:v>
                </c:pt>
                <c:pt idx="194">
                  <c:v>35061.550000000003</c:v>
                </c:pt>
                <c:pt idx="195">
                  <c:v>35144.31</c:v>
                </c:pt>
                <c:pt idx="196">
                  <c:v>35058.519999999997</c:v>
                </c:pt>
                <c:pt idx="197">
                  <c:v>34930.93</c:v>
                </c:pt>
                <c:pt idx="198">
                  <c:v>35084.53</c:v>
                </c:pt>
                <c:pt idx="199">
                  <c:v>34935.47</c:v>
                </c:pt>
                <c:pt idx="200">
                  <c:v>34935.47</c:v>
                </c:pt>
                <c:pt idx="201">
                  <c:v>34935.47</c:v>
                </c:pt>
                <c:pt idx="202">
                  <c:v>34838.160000000003</c:v>
                </c:pt>
                <c:pt idx="203">
                  <c:v>35116.400000000001</c:v>
                </c:pt>
                <c:pt idx="204">
                  <c:v>34792.67</c:v>
                </c:pt>
                <c:pt idx="205">
                  <c:v>35064.25</c:v>
                </c:pt>
                <c:pt idx="206">
                  <c:v>35208.51</c:v>
                </c:pt>
                <c:pt idx="207">
                  <c:v>35208.51</c:v>
                </c:pt>
                <c:pt idx="208">
                  <c:v>35208.51</c:v>
                </c:pt>
                <c:pt idx="209">
                  <c:v>35101.85</c:v>
                </c:pt>
                <c:pt idx="210">
                  <c:v>35264.67</c:v>
                </c:pt>
                <c:pt idx="211">
                  <c:v>35484.97</c:v>
                </c:pt>
                <c:pt idx="212">
                  <c:v>35499.85</c:v>
                </c:pt>
                <c:pt idx="213">
                  <c:v>35515.379999999997</c:v>
                </c:pt>
                <c:pt idx="214">
                  <c:v>35515.379999999997</c:v>
                </c:pt>
                <c:pt idx="215">
                  <c:v>35515.379999999997</c:v>
                </c:pt>
                <c:pt idx="216">
                  <c:v>35625.4</c:v>
                </c:pt>
                <c:pt idx="217">
                  <c:v>35343.279999999999</c:v>
                </c:pt>
                <c:pt idx="218">
                  <c:v>34960.69</c:v>
                </c:pt>
                <c:pt idx="219">
                  <c:v>34894.120000000003</c:v>
                </c:pt>
                <c:pt idx="220">
                  <c:v>35120.080000000002</c:v>
                </c:pt>
                <c:pt idx="221">
                  <c:v>35120.080000000002</c:v>
                </c:pt>
                <c:pt idx="222">
                  <c:v>35120.080000000002</c:v>
                </c:pt>
                <c:pt idx="223">
                  <c:v>35335.71</c:v>
                </c:pt>
                <c:pt idx="224">
                  <c:v>35366.26</c:v>
                </c:pt>
                <c:pt idx="225">
                  <c:v>35405.5</c:v>
                </c:pt>
                <c:pt idx="226">
                  <c:v>35213.120000000003</c:v>
                </c:pt>
                <c:pt idx="227">
                  <c:v>35455.800000000003</c:v>
                </c:pt>
                <c:pt idx="228">
                  <c:v>35455.800000000003</c:v>
                </c:pt>
                <c:pt idx="229">
                  <c:v>35455.800000000003</c:v>
                </c:pt>
                <c:pt idx="230">
                  <c:v>35399.839999999997</c:v>
                </c:pt>
                <c:pt idx="231">
                  <c:v>35360.730000000003</c:v>
                </c:pt>
                <c:pt idx="232">
                  <c:v>35312.53</c:v>
                </c:pt>
                <c:pt idx="233">
                  <c:v>35443.82</c:v>
                </c:pt>
                <c:pt idx="234">
                  <c:v>35369.089999999997</c:v>
                </c:pt>
                <c:pt idx="235">
                  <c:v>35369.089999999997</c:v>
                </c:pt>
                <c:pt idx="236">
                  <c:v>35369.089999999997</c:v>
                </c:pt>
                <c:pt idx="237">
                  <c:v>35369.089999999997</c:v>
                </c:pt>
                <c:pt idx="238">
                  <c:v>35100</c:v>
                </c:pt>
                <c:pt idx="239">
                  <c:v>35031.07</c:v>
                </c:pt>
                <c:pt idx="240">
                  <c:v>34879.379999999997</c:v>
                </c:pt>
                <c:pt idx="241">
                  <c:v>34607.72</c:v>
                </c:pt>
                <c:pt idx="242">
                  <c:v>34607.72</c:v>
                </c:pt>
                <c:pt idx="243">
                  <c:v>34607.72</c:v>
                </c:pt>
                <c:pt idx="244">
                  <c:v>34869.629999999997</c:v>
                </c:pt>
                <c:pt idx="245">
                  <c:v>34577.57</c:v>
                </c:pt>
                <c:pt idx="246">
                  <c:v>34814.39</c:v>
                </c:pt>
                <c:pt idx="247">
                  <c:v>34751.32</c:v>
                </c:pt>
                <c:pt idx="248">
                  <c:v>34584.879999999997</c:v>
                </c:pt>
                <c:pt idx="249">
                  <c:v>34584.879999999997</c:v>
                </c:pt>
                <c:pt idx="250">
                  <c:v>34584.879999999997</c:v>
                </c:pt>
                <c:pt idx="251">
                  <c:v>33970.47</c:v>
                </c:pt>
                <c:pt idx="252">
                  <c:v>33919.839999999997</c:v>
                </c:pt>
                <c:pt idx="253">
                  <c:v>34258.32</c:v>
                </c:pt>
                <c:pt idx="254">
                  <c:v>34764.82</c:v>
                </c:pt>
                <c:pt idx="255">
                  <c:v>34798</c:v>
                </c:pt>
                <c:pt idx="256">
                  <c:v>34798</c:v>
                </c:pt>
                <c:pt idx="257">
                  <c:v>34798</c:v>
                </c:pt>
                <c:pt idx="258">
                  <c:v>34869.370000000003</c:v>
                </c:pt>
                <c:pt idx="259">
                  <c:v>34299.99</c:v>
                </c:pt>
                <c:pt idx="260">
                  <c:v>34390.720000000001</c:v>
                </c:pt>
                <c:pt idx="261">
                  <c:v>33843.919999999998</c:v>
                </c:pt>
                <c:pt idx="262">
                  <c:v>34326.46</c:v>
                </c:pt>
                <c:pt idx="263">
                  <c:v>34326.46</c:v>
                </c:pt>
                <c:pt idx="264">
                  <c:v>34326.46</c:v>
                </c:pt>
                <c:pt idx="265">
                  <c:v>34002.92</c:v>
                </c:pt>
                <c:pt idx="266">
                  <c:v>34314.67</c:v>
                </c:pt>
                <c:pt idx="267">
                  <c:v>34416.99</c:v>
                </c:pt>
                <c:pt idx="268">
                  <c:v>34754.94</c:v>
                </c:pt>
                <c:pt idx="269">
                  <c:v>34746.25</c:v>
                </c:pt>
                <c:pt idx="270">
                  <c:v>34746.25</c:v>
                </c:pt>
                <c:pt idx="271">
                  <c:v>34746.25</c:v>
                </c:pt>
                <c:pt idx="272">
                  <c:v>34496.06</c:v>
                </c:pt>
                <c:pt idx="273">
                  <c:v>34378.339999999997</c:v>
                </c:pt>
                <c:pt idx="274">
                  <c:v>34377.81</c:v>
                </c:pt>
                <c:pt idx="275">
                  <c:v>34912.559999999998</c:v>
                </c:pt>
                <c:pt idx="276">
                  <c:v>35294.76</c:v>
                </c:pt>
                <c:pt idx="277">
                  <c:v>35294.76</c:v>
                </c:pt>
                <c:pt idx="278">
                  <c:v>35294.76</c:v>
                </c:pt>
                <c:pt idx="279">
                  <c:v>35258.61</c:v>
                </c:pt>
                <c:pt idx="280">
                  <c:v>35457.31</c:v>
                </c:pt>
                <c:pt idx="281">
                  <c:v>35609.339999999997</c:v>
                </c:pt>
                <c:pt idx="282">
                  <c:v>35603.08</c:v>
                </c:pt>
                <c:pt idx="283">
                  <c:v>35677.019999999997</c:v>
                </c:pt>
                <c:pt idx="284">
                  <c:v>35677.019999999997</c:v>
                </c:pt>
                <c:pt idx="285">
                  <c:v>35677.019999999997</c:v>
                </c:pt>
                <c:pt idx="286">
                  <c:v>35741.15</c:v>
                </c:pt>
                <c:pt idx="287">
                  <c:v>35756.879999999997</c:v>
                </c:pt>
                <c:pt idx="288">
                  <c:v>35490.69</c:v>
                </c:pt>
                <c:pt idx="289">
                  <c:v>35730.480000000003</c:v>
                </c:pt>
                <c:pt idx="290">
                  <c:v>35819.56</c:v>
                </c:pt>
                <c:pt idx="291">
                  <c:v>35819.56</c:v>
                </c:pt>
                <c:pt idx="292">
                  <c:v>35819.56</c:v>
                </c:pt>
                <c:pt idx="293">
                  <c:v>35913.839999999997</c:v>
                </c:pt>
                <c:pt idx="294">
                  <c:v>36052.629999999997</c:v>
                </c:pt>
                <c:pt idx="295">
                  <c:v>36157.58</c:v>
                </c:pt>
                <c:pt idx="296">
                  <c:v>36124.230000000003</c:v>
                </c:pt>
                <c:pt idx="297">
                  <c:v>36327.949999999997</c:v>
                </c:pt>
                <c:pt idx="298">
                  <c:v>36327.949999999997</c:v>
                </c:pt>
                <c:pt idx="299">
                  <c:v>36327.949999999997</c:v>
                </c:pt>
                <c:pt idx="300">
                  <c:v>36432.22</c:v>
                </c:pt>
                <c:pt idx="301">
                  <c:v>36319.980000000003</c:v>
                </c:pt>
                <c:pt idx="302">
                  <c:v>36079.94</c:v>
                </c:pt>
                <c:pt idx="303">
                  <c:v>35921.230000000003</c:v>
                </c:pt>
                <c:pt idx="304">
                  <c:v>36100.31</c:v>
                </c:pt>
                <c:pt idx="305">
                  <c:v>36100.31</c:v>
                </c:pt>
                <c:pt idx="306">
                  <c:v>36100.31</c:v>
                </c:pt>
                <c:pt idx="307">
                  <c:v>36087.449999999997</c:v>
                </c:pt>
                <c:pt idx="308">
                  <c:v>36142.22</c:v>
                </c:pt>
                <c:pt idx="309">
                  <c:v>35931.050000000003</c:v>
                </c:pt>
                <c:pt idx="310">
                  <c:v>35870.949999999997</c:v>
                </c:pt>
                <c:pt idx="311">
                  <c:v>35601.980000000003</c:v>
                </c:pt>
                <c:pt idx="312">
                  <c:v>35601.980000000003</c:v>
                </c:pt>
                <c:pt idx="313">
                  <c:v>35601.980000000003</c:v>
                </c:pt>
                <c:pt idx="314">
                  <c:v>35619.25</c:v>
                </c:pt>
                <c:pt idx="315">
                  <c:v>35813.800000000003</c:v>
                </c:pt>
                <c:pt idx="316">
                  <c:v>35804.379999999997</c:v>
                </c:pt>
                <c:pt idx="317">
                  <c:v>35804.379999999997</c:v>
                </c:pt>
                <c:pt idx="318">
                  <c:v>34899.339999999997</c:v>
                </c:pt>
                <c:pt idx="319">
                  <c:v>34899.339999999997</c:v>
                </c:pt>
                <c:pt idx="320">
                  <c:v>34899.339999999997</c:v>
                </c:pt>
                <c:pt idx="321">
                  <c:v>35135.94</c:v>
                </c:pt>
                <c:pt idx="322">
                  <c:v>34483.72</c:v>
                </c:pt>
                <c:pt idx="323">
                  <c:v>34022.04</c:v>
                </c:pt>
                <c:pt idx="324">
                  <c:v>34639.79</c:v>
                </c:pt>
                <c:pt idx="325">
                  <c:v>34580.080000000002</c:v>
                </c:pt>
                <c:pt idx="326">
                  <c:v>34580.080000000002</c:v>
                </c:pt>
                <c:pt idx="327">
                  <c:v>34580.080000000002</c:v>
                </c:pt>
                <c:pt idx="328">
                  <c:v>35227.03</c:v>
                </c:pt>
                <c:pt idx="329">
                  <c:v>35719.43</c:v>
                </c:pt>
                <c:pt idx="330">
                  <c:v>35754.75</c:v>
                </c:pt>
                <c:pt idx="331">
                  <c:v>35754.69</c:v>
                </c:pt>
                <c:pt idx="332">
                  <c:v>35970.99</c:v>
                </c:pt>
                <c:pt idx="333">
                  <c:v>35970.99</c:v>
                </c:pt>
                <c:pt idx="334">
                  <c:v>35970.99</c:v>
                </c:pt>
                <c:pt idx="335">
                  <c:v>35650.949999999997</c:v>
                </c:pt>
                <c:pt idx="336">
                  <c:v>35544.18</c:v>
                </c:pt>
                <c:pt idx="337">
                  <c:v>35927.43</c:v>
                </c:pt>
                <c:pt idx="338">
                  <c:v>35897.64</c:v>
                </c:pt>
                <c:pt idx="339">
                  <c:v>35365.440000000002</c:v>
                </c:pt>
                <c:pt idx="340">
                  <c:v>35365.440000000002</c:v>
                </c:pt>
                <c:pt idx="341">
                  <c:v>35365.440000000002</c:v>
                </c:pt>
                <c:pt idx="342">
                  <c:v>34932.160000000003</c:v>
                </c:pt>
                <c:pt idx="343">
                  <c:v>35492.699999999997</c:v>
                </c:pt>
                <c:pt idx="344">
                  <c:v>35753.89</c:v>
                </c:pt>
                <c:pt idx="345">
                  <c:v>35950.559999999998</c:v>
                </c:pt>
                <c:pt idx="346">
                  <c:v>35950.559999999998</c:v>
                </c:pt>
                <c:pt idx="347">
                  <c:v>35950.559999999998</c:v>
                </c:pt>
                <c:pt idx="348">
                  <c:v>35950.559999999998</c:v>
                </c:pt>
                <c:pt idx="349">
                  <c:v>36302.379999999997</c:v>
                </c:pt>
                <c:pt idx="350">
                  <c:v>36398.21</c:v>
                </c:pt>
                <c:pt idx="351">
                  <c:v>36488.629999999997</c:v>
                </c:pt>
                <c:pt idx="352">
                  <c:v>36398.080000000002</c:v>
                </c:pt>
                <c:pt idx="353">
                  <c:v>36338.300000000003</c:v>
                </c:pt>
                <c:pt idx="354">
                  <c:v>36338.300000000003</c:v>
                </c:pt>
                <c:pt idx="355">
                  <c:v>36338.300000000003</c:v>
                </c:pt>
                <c:pt idx="356">
                  <c:v>36585.06</c:v>
                </c:pt>
                <c:pt idx="357">
                  <c:v>36799.65</c:v>
                </c:pt>
                <c:pt idx="358">
                  <c:v>36407.11</c:v>
                </c:pt>
                <c:pt idx="359">
                  <c:v>36236.47</c:v>
                </c:pt>
                <c:pt idx="360">
                  <c:v>36231.660000000003</c:v>
                </c:pt>
                <c:pt idx="361">
                  <c:v>36231.660000000003</c:v>
                </c:pt>
                <c:pt idx="362">
                  <c:v>36231.660000000003</c:v>
                </c:pt>
                <c:pt idx="363">
                  <c:v>36068.870000000003</c:v>
                </c:pt>
                <c:pt idx="364">
                  <c:v>36252.019999999997</c:v>
                </c:pt>
                <c:pt idx="365">
                  <c:v>36290.32</c:v>
                </c:pt>
                <c:pt idx="366">
                  <c:v>36113.620000000003</c:v>
                </c:pt>
              </c:numCache>
            </c:numRef>
          </c:val>
          <c:smooth val="0"/>
          <c:extLst>
            <c:ext xmlns:c16="http://schemas.microsoft.com/office/drawing/2014/chart" uri="{C3380CC4-5D6E-409C-BE32-E72D297353CC}">
              <c16:uniqueId val="{00000000-6BF9-4888-AF30-32C05B52BC5C}"/>
            </c:ext>
          </c:extLst>
        </c:ser>
        <c:dLbls>
          <c:showLegendKey val="0"/>
          <c:showVal val="0"/>
          <c:showCatName val="0"/>
          <c:showSerName val="0"/>
          <c:showPercent val="0"/>
          <c:showBubbleSize val="0"/>
        </c:dLbls>
        <c:marker val="1"/>
        <c:smooth val="0"/>
        <c:axId val="110229376"/>
        <c:axId val="110230912"/>
      </c:lineChart>
      <c:lineChart>
        <c:grouping val="standard"/>
        <c:varyColors val="0"/>
        <c:ser>
          <c:idx val="1"/>
          <c:order val="1"/>
          <c:tx>
            <c:strRef>
              <c:f>Állandó_ábrák!$G$50</c:f>
              <c:strCache>
                <c:ptCount val="1"/>
                <c:pt idx="0">
                  <c:v>DAX (j.t.)</c:v>
                </c:pt>
              </c:strCache>
            </c:strRef>
          </c:tx>
          <c:spPr>
            <a:ln w="25400">
              <a:solidFill>
                <a:srgbClr val="50B4E1"/>
              </a:solidFill>
              <a:prstDash val="solid"/>
            </a:ln>
          </c:spPr>
          <c:marker>
            <c:symbol val="none"/>
          </c:marker>
          <c:cat>
            <c:numRef>
              <c:f>BB!$A$1:$A$367</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BB!$AO$1:$AO$367</c:f>
              <c:numCache>
                <c:formatCode>0.00</c:formatCode>
                <c:ptCount val="367"/>
                <c:pt idx="0">
                  <c:v>13925.06</c:v>
                </c:pt>
                <c:pt idx="1">
                  <c:v>13939.71</c:v>
                </c:pt>
                <c:pt idx="2">
                  <c:v>13988.7</c:v>
                </c:pt>
                <c:pt idx="3">
                  <c:v>13787.73</c:v>
                </c:pt>
                <c:pt idx="4">
                  <c:v>13787.73</c:v>
                </c:pt>
                <c:pt idx="5">
                  <c:v>13787.73</c:v>
                </c:pt>
                <c:pt idx="6">
                  <c:v>13848.35</c:v>
                </c:pt>
                <c:pt idx="7">
                  <c:v>13815.06</c:v>
                </c:pt>
                <c:pt idx="8">
                  <c:v>13921.37</c:v>
                </c:pt>
                <c:pt idx="9">
                  <c:v>13906.67</c:v>
                </c:pt>
                <c:pt idx="10">
                  <c:v>13873.97</c:v>
                </c:pt>
                <c:pt idx="11">
                  <c:v>13873.97</c:v>
                </c:pt>
                <c:pt idx="12">
                  <c:v>13873.97</c:v>
                </c:pt>
                <c:pt idx="13">
                  <c:v>13643.95</c:v>
                </c:pt>
                <c:pt idx="14">
                  <c:v>13870.99</c:v>
                </c:pt>
                <c:pt idx="15">
                  <c:v>13620.46</c:v>
                </c:pt>
                <c:pt idx="16">
                  <c:v>13665.93</c:v>
                </c:pt>
                <c:pt idx="17">
                  <c:v>13432.87</c:v>
                </c:pt>
                <c:pt idx="18">
                  <c:v>13432.87</c:v>
                </c:pt>
                <c:pt idx="19">
                  <c:v>13432.87</c:v>
                </c:pt>
                <c:pt idx="20">
                  <c:v>13622.02</c:v>
                </c:pt>
                <c:pt idx="21">
                  <c:v>13835.16</c:v>
                </c:pt>
                <c:pt idx="22">
                  <c:v>13933.63</c:v>
                </c:pt>
                <c:pt idx="23">
                  <c:v>14060.29</c:v>
                </c:pt>
                <c:pt idx="24">
                  <c:v>14056.72</c:v>
                </c:pt>
                <c:pt idx="25">
                  <c:v>14056.72</c:v>
                </c:pt>
                <c:pt idx="26">
                  <c:v>14056.72</c:v>
                </c:pt>
                <c:pt idx="27">
                  <c:v>14059.91</c:v>
                </c:pt>
                <c:pt idx="28">
                  <c:v>14011.8</c:v>
                </c:pt>
                <c:pt idx="29">
                  <c:v>13932.97</c:v>
                </c:pt>
                <c:pt idx="30">
                  <c:v>14040.91</c:v>
                </c:pt>
                <c:pt idx="31">
                  <c:v>14049.89</c:v>
                </c:pt>
                <c:pt idx="32">
                  <c:v>14049.89</c:v>
                </c:pt>
                <c:pt idx="33">
                  <c:v>14049.89</c:v>
                </c:pt>
                <c:pt idx="34">
                  <c:v>14109.48</c:v>
                </c:pt>
                <c:pt idx="35">
                  <c:v>14064.6</c:v>
                </c:pt>
                <c:pt idx="36">
                  <c:v>13909.27</c:v>
                </c:pt>
                <c:pt idx="37">
                  <c:v>13886.93</c:v>
                </c:pt>
                <c:pt idx="38">
                  <c:v>13993.23</c:v>
                </c:pt>
                <c:pt idx="39">
                  <c:v>13993.23</c:v>
                </c:pt>
                <c:pt idx="40">
                  <c:v>13993.23</c:v>
                </c:pt>
                <c:pt idx="41">
                  <c:v>13950.04</c:v>
                </c:pt>
                <c:pt idx="42">
                  <c:v>13864.81</c:v>
                </c:pt>
                <c:pt idx="43">
                  <c:v>13976</c:v>
                </c:pt>
                <c:pt idx="44">
                  <c:v>13879.33</c:v>
                </c:pt>
                <c:pt idx="45">
                  <c:v>13786.29</c:v>
                </c:pt>
                <c:pt idx="46">
                  <c:v>13786.29</c:v>
                </c:pt>
                <c:pt idx="47">
                  <c:v>13786.29</c:v>
                </c:pt>
                <c:pt idx="48">
                  <c:v>14012.82</c:v>
                </c:pt>
                <c:pt idx="49">
                  <c:v>14039.8</c:v>
                </c:pt>
                <c:pt idx="50">
                  <c:v>14080.03</c:v>
                </c:pt>
                <c:pt idx="51">
                  <c:v>14056.34</c:v>
                </c:pt>
                <c:pt idx="52">
                  <c:v>13920.69</c:v>
                </c:pt>
                <c:pt idx="53">
                  <c:v>13920.69</c:v>
                </c:pt>
                <c:pt idx="54">
                  <c:v>13920.69</c:v>
                </c:pt>
                <c:pt idx="55">
                  <c:v>14380.91</c:v>
                </c:pt>
                <c:pt idx="56">
                  <c:v>14437.94</c:v>
                </c:pt>
                <c:pt idx="57">
                  <c:v>14540.25</c:v>
                </c:pt>
                <c:pt idx="58">
                  <c:v>14569.39</c:v>
                </c:pt>
                <c:pt idx="59">
                  <c:v>14502.39</c:v>
                </c:pt>
                <c:pt idx="60">
                  <c:v>14502.39</c:v>
                </c:pt>
                <c:pt idx="61">
                  <c:v>14502.39</c:v>
                </c:pt>
                <c:pt idx="62">
                  <c:v>14461.42</c:v>
                </c:pt>
                <c:pt idx="63">
                  <c:v>14557.58</c:v>
                </c:pt>
                <c:pt idx="64">
                  <c:v>14596.61</c:v>
                </c:pt>
                <c:pt idx="65">
                  <c:v>14775.52</c:v>
                </c:pt>
                <c:pt idx="66">
                  <c:v>14621</c:v>
                </c:pt>
                <c:pt idx="67">
                  <c:v>14621</c:v>
                </c:pt>
                <c:pt idx="68">
                  <c:v>14621</c:v>
                </c:pt>
                <c:pt idx="69">
                  <c:v>14657.21</c:v>
                </c:pt>
                <c:pt idx="70">
                  <c:v>14662.02</c:v>
                </c:pt>
                <c:pt idx="71">
                  <c:v>14610.39</c:v>
                </c:pt>
                <c:pt idx="72">
                  <c:v>14621.36</c:v>
                </c:pt>
                <c:pt idx="73">
                  <c:v>14748.94</c:v>
                </c:pt>
                <c:pt idx="74">
                  <c:v>14748.94</c:v>
                </c:pt>
                <c:pt idx="75">
                  <c:v>14748.94</c:v>
                </c:pt>
                <c:pt idx="76">
                  <c:v>14817.72</c:v>
                </c:pt>
                <c:pt idx="77">
                  <c:v>15008.61</c:v>
                </c:pt>
                <c:pt idx="78">
                  <c:v>15008.34</c:v>
                </c:pt>
                <c:pt idx="79">
                  <c:v>15107.17</c:v>
                </c:pt>
                <c:pt idx="80">
                  <c:v>15107.17</c:v>
                </c:pt>
                <c:pt idx="81">
                  <c:v>15107.17</c:v>
                </c:pt>
                <c:pt idx="82">
                  <c:v>15107.17</c:v>
                </c:pt>
                <c:pt idx="83">
                  <c:v>15107.17</c:v>
                </c:pt>
                <c:pt idx="84">
                  <c:v>15212.68</c:v>
                </c:pt>
                <c:pt idx="85">
                  <c:v>15176.36</c:v>
                </c:pt>
                <c:pt idx="86">
                  <c:v>15202.68</c:v>
                </c:pt>
                <c:pt idx="87">
                  <c:v>15234.16</c:v>
                </c:pt>
                <c:pt idx="88">
                  <c:v>15234.16</c:v>
                </c:pt>
                <c:pt idx="89">
                  <c:v>15234.16</c:v>
                </c:pt>
                <c:pt idx="90">
                  <c:v>15215</c:v>
                </c:pt>
                <c:pt idx="91">
                  <c:v>15234.36</c:v>
                </c:pt>
                <c:pt idx="92">
                  <c:v>15209.15</c:v>
                </c:pt>
                <c:pt idx="93">
                  <c:v>15255.33</c:v>
                </c:pt>
                <c:pt idx="94">
                  <c:v>15459.75</c:v>
                </c:pt>
                <c:pt idx="95">
                  <c:v>15459.75</c:v>
                </c:pt>
                <c:pt idx="96">
                  <c:v>15459.75</c:v>
                </c:pt>
                <c:pt idx="97">
                  <c:v>15368.39</c:v>
                </c:pt>
                <c:pt idx="98">
                  <c:v>15129.51</c:v>
                </c:pt>
                <c:pt idx="99">
                  <c:v>15195.97</c:v>
                </c:pt>
                <c:pt idx="100">
                  <c:v>15320.52</c:v>
                </c:pt>
                <c:pt idx="101">
                  <c:v>15279.62</c:v>
                </c:pt>
                <c:pt idx="102">
                  <c:v>15279.62</c:v>
                </c:pt>
                <c:pt idx="103">
                  <c:v>15279.62</c:v>
                </c:pt>
                <c:pt idx="104">
                  <c:v>15296.34</c:v>
                </c:pt>
                <c:pt idx="105">
                  <c:v>15249.27</c:v>
                </c:pt>
                <c:pt idx="106">
                  <c:v>15292.18</c:v>
                </c:pt>
                <c:pt idx="107">
                  <c:v>15154.2</c:v>
                </c:pt>
                <c:pt idx="108">
                  <c:v>15135.91</c:v>
                </c:pt>
                <c:pt idx="109">
                  <c:v>15135.91</c:v>
                </c:pt>
                <c:pt idx="110">
                  <c:v>15135.91</c:v>
                </c:pt>
                <c:pt idx="111">
                  <c:v>15236.47</c:v>
                </c:pt>
                <c:pt idx="112">
                  <c:v>14856.48</c:v>
                </c:pt>
                <c:pt idx="113">
                  <c:v>15170.78</c:v>
                </c:pt>
                <c:pt idx="114">
                  <c:v>15196.74</c:v>
                </c:pt>
                <c:pt idx="115">
                  <c:v>15399.65</c:v>
                </c:pt>
                <c:pt idx="116">
                  <c:v>15399.65</c:v>
                </c:pt>
                <c:pt idx="117">
                  <c:v>15399.65</c:v>
                </c:pt>
                <c:pt idx="118">
                  <c:v>15400.41</c:v>
                </c:pt>
                <c:pt idx="119">
                  <c:v>15119.75</c:v>
                </c:pt>
                <c:pt idx="120">
                  <c:v>15150.22</c:v>
                </c:pt>
                <c:pt idx="121">
                  <c:v>15199.68</c:v>
                </c:pt>
                <c:pt idx="122">
                  <c:v>15416.64</c:v>
                </c:pt>
                <c:pt idx="123">
                  <c:v>15416.64</c:v>
                </c:pt>
                <c:pt idx="124">
                  <c:v>15416.64</c:v>
                </c:pt>
                <c:pt idx="125">
                  <c:v>15396.62</c:v>
                </c:pt>
                <c:pt idx="126">
                  <c:v>15386.58</c:v>
                </c:pt>
                <c:pt idx="127">
                  <c:v>15113.56</c:v>
                </c:pt>
                <c:pt idx="128">
                  <c:v>15370.26</c:v>
                </c:pt>
                <c:pt idx="129">
                  <c:v>15437.51</c:v>
                </c:pt>
                <c:pt idx="130">
                  <c:v>15437.51</c:v>
                </c:pt>
                <c:pt idx="131">
                  <c:v>15437.51</c:v>
                </c:pt>
                <c:pt idx="132">
                  <c:v>15437.51</c:v>
                </c:pt>
                <c:pt idx="133">
                  <c:v>15465.09</c:v>
                </c:pt>
                <c:pt idx="134">
                  <c:v>15450.72</c:v>
                </c:pt>
                <c:pt idx="135">
                  <c:v>15406.73</c:v>
                </c:pt>
                <c:pt idx="136">
                  <c:v>15519.98</c:v>
                </c:pt>
                <c:pt idx="137">
                  <c:v>15519.98</c:v>
                </c:pt>
                <c:pt idx="138">
                  <c:v>15519.98</c:v>
                </c:pt>
                <c:pt idx="139">
                  <c:v>15421.13</c:v>
                </c:pt>
                <c:pt idx="140">
                  <c:v>15567.36</c:v>
                </c:pt>
                <c:pt idx="141">
                  <c:v>15602.71</c:v>
                </c:pt>
                <c:pt idx="142">
                  <c:v>15632.67</c:v>
                </c:pt>
                <c:pt idx="143">
                  <c:v>15692.9</c:v>
                </c:pt>
                <c:pt idx="144">
                  <c:v>15692.9</c:v>
                </c:pt>
                <c:pt idx="145">
                  <c:v>15692.9</c:v>
                </c:pt>
                <c:pt idx="146">
                  <c:v>15677.15</c:v>
                </c:pt>
                <c:pt idx="147">
                  <c:v>15640.6</c:v>
                </c:pt>
                <c:pt idx="148">
                  <c:v>15581.14</c:v>
                </c:pt>
                <c:pt idx="149">
                  <c:v>15571.22</c:v>
                </c:pt>
                <c:pt idx="150">
                  <c:v>15693.27</c:v>
                </c:pt>
                <c:pt idx="151">
                  <c:v>15693.27</c:v>
                </c:pt>
                <c:pt idx="152">
                  <c:v>15693.27</c:v>
                </c:pt>
                <c:pt idx="153">
                  <c:v>15673.64</c:v>
                </c:pt>
                <c:pt idx="154">
                  <c:v>15729.52</c:v>
                </c:pt>
                <c:pt idx="155">
                  <c:v>15710.57</c:v>
                </c:pt>
                <c:pt idx="156">
                  <c:v>15727.67</c:v>
                </c:pt>
                <c:pt idx="157">
                  <c:v>15448.04</c:v>
                </c:pt>
                <c:pt idx="158">
                  <c:v>15448.04</c:v>
                </c:pt>
                <c:pt idx="159">
                  <c:v>15448.04</c:v>
                </c:pt>
                <c:pt idx="160">
                  <c:v>15603.24</c:v>
                </c:pt>
                <c:pt idx="161">
                  <c:v>15636.33</c:v>
                </c:pt>
                <c:pt idx="162">
                  <c:v>15456.39</c:v>
                </c:pt>
                <c:pt idx="163">
                  <c:v>15589.23</c:v>
                </c:pt>
                <c:pt idx="164">
                  <c:v>15607.97</c:v>
                </c:pt>
                <c:pt idx="165">
                  <c:v>15607.97</c:v>
                </c:pt>
                <c:pt idx="166">
                  <c:v>15607.97</c:v>
                </c:pt>
                <c:pt idx="167">
                  <c:v>15554.18</c:v>
                </c:pt>
                <c:pt idx="168">
                  <c:v>15690.59</c:v>
                </c:pt>
                <c:pt idx="169">
                  <c:v>15531.04</c:v>
                </c:pt>
                <c:pt idx="170">
                  <c:v>15603.81</c:v>
                </c:pt>
                <c:pt idx="171">
                  <c:v>15650.09</c:v>
                </c:pt>
                <c:pt idx="172">
                  <c:v>15650.09</c:v>
                </c:pt>
                <c:pt idx="173">
                  <c:v>15650.09</c:v>
                </c:pt>
                <c:pt idx="174">
                  <c:v>15661.97</c:v>
                </c:pt>
                <c:pt idx="175">
                  <c:v>15511.38</c:v>
                </c:pt>
                <c:pt idx="176">
                  <c:v>15692.71</c:v>
                </c:pt>
                <c:pt idx="177">
                  <c:v>15420.64</c:v>
                </c:pt>
                <c:pt idx="178">
                  <c:v>15687.93</c:v>
                </c:pt>
                <c:pt idx="179">
                  <c:v>15687.93</c:v>
                </c:pt>
                <c:pt idx="180">
                  <c:v>15687.93</c:v>
                </c:pt>
                <c:pt idx="181">
                  <c:v>15790.51</c:v>
                </c:pt>
                <c:pt idx="182">
                  <c:v>15789.64</c:v>
                </c:pt>
                <c:pt idx="183">
                  <c:v>15788.98</c:v>
                </c:pt>
                <c:pt idx="184">
                  <c:v>15629.66</c:v>
                </c:pt>
                <c:pt idx="185">
                  <c:v>15540.31</c:v>
                </c:pt>
                <c:pt idx="186">
                  <c:v>15540.31</c:v>
                </c:pt>
                <c:pt idx="187">
                  <c:v>15540.31</c:v>
                </c:pt>
                <c:pt idx="188">
                  <c:v>15133.2</c:v>
                </c:pt>
                <c:pt idx="189">
                  <c:v>15216.27</c:v>
                </c:pt>
                <c:pt idx="190">
                  <c:v>15422.5</c:v>
                </c:pt>
                <c:pt idx="191">
                  <c:v>15514.54</c:v>
                </c:pt>
                <c:pt idx="192">
                  <c:v>15669.29</c:v>
                </c:pt>
                <c:pt idx="193">
                  <c:v>15669.29</c:v>
                </c:pt>
                <c:pt idx="194">
                  <c:v>15669.29</c:v>
                </c:pt>
                <c:pt idx="195">
                  <c:v>15618.98</c:v>
                </c:pt>
                <c:pt idx="196">
                  <c:v>15519.13</c:v>
                </c:pt>
                <c:pt idx="197">
                  <c:v>15570.36</c:v>
                </c:pt>
                <c:pt idx="198">
                  <c:v>15640.47</c:v>
                </c:pt>
                <c:pt idx="199">
                  <c:v>15544.39</c:v>
                </c:pt>
                <c:pt idx="200">
                  <c:v>15544.39</c:v>
                </c:pt>
                <c:pt idx="201">
                  <c:v>15544.39</c:v>
                </c:pt>
                <c:pt idx="202">
                  <c:v>15568.73</c:v>
                </c:pt>
                <c:pt idx="203">
                  <c:v>15555.08</c:v>
                </c:pt>
                <c:pt idx="204">
                  <c:v>15692.13</c:v>
                </c:pt>
                <c:pt idx="205">
                  <c:v>15744.67</c:v>
                </c:pt>
                <c:pt idx="206">
                  <c:v>15761.45</c:v>
                </c:pt>
                <c:pt idx="207">
                  <c:v>15761.45</c:v>
                </c:pt>
                <c:pt idx="208">
                  <c:v>15761.45</c:v>
                </c:pt>
                <c:pt idx="209">
                  <c:v>15745.41</c:v>
                </c:pt>
                <c:pt idx="210">
                  <c:v>15770.71</c:v>
                </c:pt>
                <c:pt idx="211">
                  <c:v>15826.09</c:v>
                </c:pt>
                <c:pt idx="212">
                  <c:v>15937.51</c:v>
                </c:pt>
                <c:pt idx="213">
                  <c:v>15977.44</c:v>
                </c:pt>
                <c:pt idx="214">
                  <c:v>15977.44</c:v>
                </c:pt>
                <c:pt idx="215">
                  <c:v>15977.44</c:v>
                </c:pt>
                <c:pt idx="216">
                  <c:v>15925.73</c:v>
                </c:pt>
                <c:pt idx="217">
                  <c:v>15921.95</c:v>
                </c:pt>
                <c:pt idx="218">
                  <c:v>15965.97</c:v>
                </c:pt>
                <c:pt idx="219">
                  <c:v>15765.81</c:v>
                </c:pt>
                <c:pt idx="220">
                  <c:v>15808.04</c:v>
                </c:pt>
                <c:pt idx="221">
                  <c:v>15808.04</c:v>
                </c:pt>
                <c:pt idx="222">
                  <c:v>15808.04</c:v>
                </c:pt>
                <c:pt idx="223">
                  <c:v>15852.79</c:v>
                </c:pt>
                <c:pt idx="224">
                  <c:v>15905.85</c:v>
                </c:pt>
                <c:pt idx="225">
                  <c:v>15860.66</c:v>
                </c:pt>
                <c:pt idx="226">
                  <c:v>15793.62</c:v>
                </c:pt>
                <c:pt idx="227">
                  <c:v>15851.75</c:v>
                </c:pt>
                <c:pt idx="228">
                  <c:v>15851.75</c:v>
                </c:pt>
                <c:pt idx="229">
                  <c:v>15851.75</c:v>
                </c:pt>
                <c:pt idx="230">
                  <c:v>15887.31</c:v>
                </c:pt>
                <c:pt idx="231">
                  <c:v>15835.09</c:v>
                </c:pt>
                <c:pt idx="232">
                  <c:v>15824.29</c:v>
                </c:pt>
                <c:pt idx="233">
                  <c:v>15840.59</c:v>
                </c:pt>
                <c:pt idx="234">
                  <c:v>15781.2</c:v>
                </c:pt>
                <c:pt idx="235">
                  <c:v>15781.2</c:v>
                </c:pt>
                <c:pt idx="236">
                  <c:v>15781.2</c:v>
                </c:pt>
                <c:pt idx="237">
                  <c:v>15932.12</c:v>
                </c:pt>
                <c:pt idx="238">
                  <c:v>15843.09</c:v>
                </c:pt>
                <c:pt idx="239">
                  <c:v>15610.28</c:v>
                </c:pt>
                <c:pt idx="240">
                  <c:v>15623.15</c:v>
                </c:pt>
                <c:pt idx="241">
                  <c:v>15609.81</c:v>
                </c:pt>
                <c:pt idx="242">
                  <c:v>15609.81</c:v>
                </c:pt>
                <c:pt idx="243">
                  <c:v>15609.81</c:v>
                </c:pt>
                <c:pt idx="244">
                  <c:v>15701.42</c:v>
                </c:pt>
                <c:pt idx="245">
                  <c:v>15722.99</c:v>
                </c:pt>
                <c:pt idx="246">
                  <c:v>15616</c:v>
                </c:pt>
                <c:pt idx="247">
                  <c:v>15651.75</c:v>
                </c:pt>
                <c:pt idx="248">
                  <c:v>15490.17</c:v>
                </c:pt>
                <c:pt idx="249">
                  <c:v>15490.17</c:v>
                </c:pt>
                <c:pt idx="250">
                  <c:v>15490.17</c:v>
                </c:pt>
                <c:pt idx="251">
                  <c:v>15132.06</c:v>
                </c:pt>
                <c:pt idx="252">
                  <c:v>15348.53</c:v>
                </c:pt>
                <c:pt idx="253">
                  <c:v>15506.74</c:v>
                </c:pt>
                <c:pt idx="254">
                  <c:v>15643.97</c:v>
                </c:pt>
                <c:pt idx="255">
                  <c:v>15531.75</c:v>
                </c:pt>
                <c:pt idx="256">
                  <c:v>15531.75</c:v>
                </c:pt>
                <c:pt idx="257">
                  <c:v>15531.75</c:v>
                </c:pt>
                <c:pt idx="258">
                  <c:v>15573.88</c:v>
                </c:pt>
                <c:pt idx="259">
                  <c:v>15248.56</c:v>
                </c:pt>
                <c:pt idx="260">
                  <c:v>15365.27</c:v>
                </c:pt>
                <c:pt idx="261">
                  <c:v>15260.69</c:v>
                </c:pt>
                <c:pt idx="262">
                  <c:v>15156.44</c:v>
                </c:pt>
                <c:pt idx="263">
                  <c:v>15156.44</c:v>
                </c:pt>
                <c:pt idx="264">
                  <c:v>15156.44</c:v>
                </c:pt>
                <c:pt idx="265">
                  <c:v>15036.55</c:v>
                </c:pt>
                <c:pt idx="266">
                  <c:v>15194.49</c:v>
                </c:pt>
                <c:pt idx="267">
                  <c:v>14973.33</c:v>
                </c:pt>
                <c:pt idx="268">
                  <c:v>15250.86</c:v>
                </c:pt>
                <c:pt idx="269">
                  <c:v>15206.13</c:v>
                </c:pt>
                <c:pt idx="270">
                  <c:v>15206.13</c:v>
                </c:pt>
                <c:pt idx="271">
                  <c:v>15206.13</c:v>
                </c:pt>
                <c:pt idx="272">
                  <c:v>15199.14</c:v>
                </c:pt>
                <c:pt idx="273">
                  <c:v>15146.87</c:v>
                </c:pt>
                <c:pt idx="274">
                  <c:v>15249.38</c:v>
                </c:pt>
                <c:pt idx="275">
                  <c:v>15462.72</c:v>
                </c:pt>
                <c:pt idx="276">
                  <c:v>15587.36</c:v>
                </c:pt>
                <c:pt idx="277">
                  <c:v>15587.36</c:v>
                </c:pt>
                <c:pt idx="278">
                  <c:v>15587.36</c:v>
                </c:pt>
                <c:pt idx="279">
                  <c:v>15474.47</c:v>
                </c:pt>
                <c:pt idx="280">
                  <c:v>15515.83</c:v>
                </c:pt>
                <c:pt idx="281">
                  <c:v>15522.92</c:v>
                </c:pt>
                <c:pt idx="282">
                  <c:v>15472.56</c:v>
                </c:pt>
                <c:pt idx="283">
                  <c:v>15542.98</c:v>
                </c:pt>
                <c:pt idx="284">
                  <c:v>15542.98</c:v>
                </c:pt>
                <c:pt idx="285">
                  <c:v>15542.98</c:v>
                </c:pt>
                <c:pt idx="286">
                  <c:v>15599.23</c:v>
                </c:pt>
                <c:pt idx="287">
                  <c:v>15757.06</c:v>
                </c:pt>
                <c:pt idx="288">
                  <c:v>15705.81</c:v>
                </c:pt>
                <c:pt idx="289">
                  <c:v>15696.33</c:v>
                </c:pt>
                <c:pt idx="290">
                  <c:v>15688.77</c:v>
                </c:pt>
                <c:pt idx="291">
                  <c:v>15688.77</c:v>
                </c:pt>
                <c:pt idx="292">
                  <c:v>15688.77</c:v>
                </c:pt>
                <c:pt idx="293">
                  <c:v>15806.29</c:v>
                </c:pt>
                <c:pt idx="294">
                  <c:v>15954.45</c:v>
                </c:pt>
                <c:pt idx="295">
                  <c:v>15959.98</c:v>
                </c:pt>
                <c:pt idx="296">
                  <c:v>16029.65</c:v>
                </c:pt>
                <c:pt idx="297">
                  <c:v>16054.36</c:v>
                </c:pt>
                <c:pt idx="298">
                  <c:v>16054.36</c:v>
                </c:pt>
                <c:pt idx="299">
                  <c:v>16054.36</c:v>
                </c:pt>
                <c:pt idx="300">
                  <c:v>16046.52</c:v>
                </c:pt>
                <c:pt idx="301">
                  <c:v>16040.47</c:v>
                </c:pt>
                <c:pt idx="302">
                  <c:v>16067.83</c:v>
                </c:pt>
                <c:pt idx="303">
                  <c:v>16083.11</c:v>
                </c:pt>
                <c:pt idx="304">
                  <c:v>16094.07</c:v>
                </c:pt>
                <c:pt idx="305">
                  <c:v>16094.07</c:v>
                </c:pt>
                <c:pt idx="306">
                  <c:v>16094.07</c:v>
                </c:pt>
                <c:pt idx="307">
                  <c:v>16148.64</c:v>
                </c:pt>
                <c:pt idx="308">
                  <c:v>16247.86</c:v>
                </c:pt>
                <c:pt idx="309">
                  <c:v>16251.13</c:v>
                </c:pt>
                <c:pt idx="310">
                  <c:v>16221.73</c:v>
                </c:pt>
                <c:pt idx="311">
                  <c:v>16159.97</c:v>
                </c:pt>
                <c:pt idx="312">
                  <c:v>16159.97</c:v>
                </c:pt>
                <c:pt idx="313">
                  <c:v>16159.97</c:v>
                </c:pt>
                <c:pt idx="314">
                  <c:v>16115.69</c:v>
                </c:pt>
                <c:pt idx="315">
                  <c:v>15937</c:v>
                </c:pt>
                <c:pt idx="316">
                  <c:v>15878.39</c:v>
                </c:pt>
                <c:pt idx="317">
                  <c:v>15917.98</c:v>
                </c:pt>
                <c:pt idx="318">
                  <c:v>15257.04</c:v>
                </c:pt>
                <c:pt idx="319">
                  <c:v>15257.04</c:v>
                </c:pt>
                <c:pt idx="320">
                  <c:v>15257.04</c:v>
                </c:pt>
                <c:pt idx="321">
                  <c:v>15280.86</c:v>
                </c:pt>
                <c:pt idx="322">
                  <c:v>15100.13</c:v>
                </c:pt>
                <c:pt idx="323">
                  <c:v>15472.67</c:v>
                </c:pt>
                <c:pt idx="324">
                  <c:v>15263.11</c:v>
                </c:pt>
                <c:pt idx="325">
                  <c:v>15169.98</c:v>
                </c:pt>
                <c:pt idx="326">
                  <c:v>15169.98</c:v>
                </c:pt>
                <c:pt idx="327">
                  <c:v>15169.98</c:v>
                </c:pt>
                <c:pt idx="328">
                  <c:v>15380.79</c:v>
                </c:pt>
                <c:pt idx="329">
                  <c:v>15813.94</c:v>
                </c:pt>
                <c:pt idx="330">
                  <c:v>15687.09</c:v>
                </c:pt>
                <c:pt idx="331">
                  <c:v>15639.26</c:v>
                </c:pt>
                <c:pt idx="332">
                  <c:v>15623.31</c:v>
                </c:pt>
                <c:pt idx="333">
                  <c:v>15623.31</c:v>
                </c:pt>
                <c:pt idx="334">
                  <c:v>15623.31</c:v>
                </c:pt>
                <c:pt idx="335">
                  <c:v>15621.72</c:v>
                </c:pt>
                <c:pt idx="336">
                  <c:v>15453.56</c:v>
                </c:pt>
                <c:pt idx="337">
                  <c:v>15476.35</c:v>
                </c:pt>
                <c:pt idx="338">
                  <c:v>15636.4</c:v>
                </c:pt>
                <c:pt idx="339">
                  <c:v>15531.69</c:v>
                </c:pt>
                <c:pt idx="340">
                  <c:v>15531.69</c:v>
                </c:pt>
                <c:pt idx="341">
                  <c:v>15531.69</c:v>
                </c:pt>
                <c:pt idx="342">
                  <c:v>15239.67</c:v>
                </c:pt>
                <c:pt idx="343">
                  <c:v>15447.44</c:v>
                </c:pt>
                <c:pt idx="344">
                  <c:v>15593.47</c:v>
                </c:pt>
                <c:pt idx="345">
                  <c:v>15756.31</c:v>
                </c:pt>
                <c:pt idx="346">
                  <c:v>15756.31</c:v>
                </c:pt>
                <c:pt idx="347">
                  <c:v>15756.31</c:v>
                </c:pt>
                <c:pt idx="348">
                  <c:v>15756.31</c:v>
                </c:pt>
                <c:pt idx="349">
                  <c:v>15835.25</c:v>
                </c:pt>
                <c:pt idx="350">
                  <c:v>15963.7</c:v>
                </c:pt>
                <c:pt idx="351">
                  <c:v>15852.25</c:v>
                </c:pt>
                <c:pt idx="352">
                  <c:v>15884.86</c:v>
                </c:pt>
                <c:pt idx="353">
                  <c:v>15884.86</c:v>
                </c:pt>
                <c:pt idx="354">
                  <c:v>15884.86</c:v>
                </c:pt>
                <c:pt idx="355">
                  <c:v>15884.86</c:v>
                </c:pt>
                <c:pt idx="356">
                  <c:v>16020.73</c:v>
                </c:pt>
                <c:pt idx="357">
                  <c:v>16152.61</c:v>
                </c:pt>
                <c:pt idx="358">
                  <c:v>16271.75</c:v>
                </c:pt>
                <c:pt idx="359">
                  <c:v>16052.03</c:v>
                </c:pt>
                <c:pt idx="360">
                  <c:v>15947.74</c:v>
                </c:pt>
                <c:pt idx="361">
                  <c:v>15947.74</c:v>
                </c:pt>
                <c:pt idx="362">
                  <c:v>15947.74</c:v>
                </c:pt>
                <c:pt idx="363">
                  <c:v>15768.27</c:v>
                </c:pt>
                <c:pt idx="364">
                  <c:v>15941.81</c:v>
                </c:pt>
                <c:pt idx="365">
                  <c:v>16010.32</c:v>
                </c:pt>
                <c:pt idx="366">
                  <c:v>16031.59</c:v>
                </c:pt>
              </c:numCache>
            </c:numRef>
          </c:val>
          <c:smooth val="0"/>
          <c:extLst>
            <c:ext xmlns:c16="http://schemas.microsoft.com/office/drawing/2014/chart" uri="{C3380CC4-5D6E-409C-BE32-E72D297353CC}">
              <c16:uniqueId val="{00000001-6BF9-4888-AF30-32C05B52BC5C}"/>
            </c:ext>
          </c:extLst>
        </c:ser>
        <c:dLbls>
          <c:showLegendKey val="0"/>
          <c:showVal val="0"/>
          <c:showCatName val="0"/>
          <c:showSerName val="0"/>
          <c:showPercent val="0"/>
          <c:showBubbleSize val="0"/>
        </c:dLbls>
        <c:marker val="1"/>
        <c:smooth val="0"/>
        <c:axId val="109976192"/>
        <c:axId val="109974656"/>
      </c:lineChart>
      <c:dateAx>
        <c:axId val="110229376"/>
        <c:scaling>
          <c:orientation val="minMax"/>
        </c:scaling>
        <c:delete val="0"/>
        <c:axPos val="b"/>
        <c:numFmt formatCode="yy\.mmm" sourceLinked="0"/>
        <c:majorTickMark val="none"/>
        <c:minorTickMark val="none"/>
        <c:tickLblPos val="low"/>
        <c:spPr>
          <a:ln w="3175">
            <a:noFill/>
            <a:prstDash val="solid"/>
          </a:ln>
        </c:spPr>
        <c:txPr>
          <a:bodyPr rot="0" vert="horz"/>
          <a:lstStyle/>
          <a:p>
            <a:pPr>
              <a:defRPr sz="700" b="0" i="0" u="none" strike="noStrike" baseline="0">
                <a:solidFill>
                  <a:srgbClr val="000000"/>
                </a:solidFill>
                <a:latin typeface="Calibri"/>
                <a:ea typeface="Calibri"/>
                <a:cs typeface="Calibri"/>
              </a:defRPr>
            </a:pPr>
            <a:endParaRPr lang="hu-HU"/>
          </a:p>
        </c:txPr>
        <c:crossAx val="110230912"/>
        <c:crosses val="autoZero"/>
        <c:auto val="1"/>
        <c:lblOffset val="100"/>
        <c:baseTimeUnit val="days"/>
        <c:majorUnit val="2"/>
        <c:majorTimeUnit val="months"/>
        <c:minorUnit val="1"/>
        <c:minorTimeUnit val="months"/>
      </c:dateAx>
      <c:valAx>
        <c:axId val="110230912"/>
        <c:scaling>
          <c:orientation val="minMax"/>
          <c:max val="38000"/>
          <c:min val="30000"/>
        </c:scaling>
        <c:delete val="0"/>
        <c:axPos val="l"/>
        <c:majorGridlines>
          <c:spPr>
            <a:ln w="3175">
              <a:solidFill>
                <a:srgbClr val="C0C0C0"/>
              </a:solidFill>
              <a:prstDash val="solid"/>
            </a:ln>
          </c:spPr>
        </c:majorGridlines>
        <c:numFmt formatCode="0" sourceLinked="0"/>
        <c:majorTickMark val="none"/>
        <c:minorTickMark val="none"/>
        <c:tickLblPos val="low"/>
        <c:spPr>
          <a:ln w="3175">
            <a:noFill/>
            <a:prstDash val="solid"/>
          </a:ln>
        </c:spPr>
        <c:txPr>
          <a:bodyPr rot="0" vert="horz"/>
          <a:lstStyle/>
          <a:p>
            <a:pPr>
              <a:defRPr sz="700" b="0" i="0" u="none" strike="noStrike" baseline="0">
                <a:solidFill>
                  <a:srgbClr val="000000"/>
                </a:solidFill>
                <a:latin typeface="Calibri"/>
                <a:ea typeface="Calibri"/>
                <a:cs typeface="Calibri"/>
              </a:defRPr>
            </a:pPr>
            <a:endParaRPr lang="hu-HU"/>
          </a:p>
        </c:txPr>
        <c:crossAx val="110229376"/>
        <c:crosses val="autoZero"/>
        <c:crossBetween val="between"/>
        <c:majorUnit val="2000"/>
      </c:valAx>
      <c:valAx>
        <c:axId val="109974656"/>
        <c:scaling>
          <c:orientation val="minMax"/>
          <c:max val="17000"/>
          <c:min val="12000"/>
        </c:scaling>
        <c:delete val="0"/>
        <c:axPos val="r"/>
        <c:numFmt formatCode="0" sourceLinked="0"/>
        <c:majorTickMark val="out"/>
        <c:minorTickMark val="none"/>
        <c:tickLblPos val="nextTo"/>
        <c:spPr>
          <a:ln>
            <a:noFill/>
          </a:ln>
        </c:spPr>
        <c:crossAx val="109976192"/>
        <c:crosses val="max"/>
        <c:crossBetween val="between"/>
        <c:majorUnit val="1000"/>
      </c:valAx>
      <c:dateAx>
        <c:axId val="109976192"/>
        <c:scaling>
          <c:orientation val="minMax"/>
        </c:scaling>
        <c:delete val="1"/>
        <c:axPos val="b"/>
        <c:numFmt formatCode="m/d/yyyy" sourceLinked="1"/>
        <c:majorTickMark val="out"/>
        <c:minorTickMark val="none"/>
        <c:tickLblPos val="nextTo"/>
        <c:crossAx val="109974656"/>
        <c:crosses val="autoZero"/>
        <c:auto val="1"/>
        <c:lblOffset val="100"/>
        <c:baseTimeUnit val="days"/>
      </c:dateAx>
      <c:spPr>
        <a:solidFill>
          <a:srgbClr val="FFFFFF"/>
        </a:solidFill>
        <a:ln w="25400">
          <a:noFill/>
        </a:ln>
      </c:spPr>
    </c:plotArea>
    <c:legend>
      <c:legendPos val="r"/>
      <c:layout>
        <c:manualLayout>
          <c:xMode val="edge"/>
          <c:yMode val="edge"/>
          <c:x val="0.20881905864197531"/>
          <c:y val="7.1189613526570095E-3"/>
          <c:w val="0.6110868055555555"/>
          <c:h val="5.2482487922705323E-2"/>
        </c:manualLayout>
      </c:layout>
      <c:overlay val="0"/>
      <c:spPr>
        <a:noFill/>
        <a:ln w="25400">
          <a:noFill/>
        </a:ln>
      </c:spPr>
      <c:txPr>
        <a:bodyPr/>
        <a:lstStyle/>
        <a:p>
          <a:pPr>
            <a:defRPr sz="700" b="0" i="0" u="none" strike="noStrike" baseline="0">
              <a:solidFill>
                <a:srgbClr val="000000"/>
              </a:solidFill>
              <a:latin typeface="Calibri"/>
              <a:ea typeface="Calibri"/>
              <a:cs typeface="Calibri"/>
            </a:defRPr>
          </a:pPr>
          <a:endParaRPr lang="hu-HU"/>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Calibri"/>
          <a:ea typeface="Calibri"/>
          <a:cs typeface="Calibri"/>
        </a:defRPr>
      </a:pPr>
      <a:endParaRPr lang="hu-H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34346405228759"/>
          <c:y val="6.8421228467384007E-2"/>
          <c:w val="0.81413366013071897"/>
          <c:h val="0.82071314102564108"/>
        </c:manualLayout>
      </c:layout>
      <c:areaChart>
        <c:grouping val="standard"/>
        <c:varyColors val="0"/>
        <c:ser>
          <c:idx val="2"/>
          <c:order val="3"/>
          <c:tx>
            <c:v>terület</c:v>
          </c:tx>
          <c:spPr>
            <a:gradFill>
              <a:gsLst>
                <a:gs pos="100000">
                  <a:srgbClr val="AEC3E9">
                    <a:alpha val="50000"/>
                  </a:srgbClr>
                </a:gs>
                <a:gs pos="0">
                  <a:schemeClr val="accent1">
                    <a:tint val="66000"/>
                    <a:satMod val="160000"/>
                  </a:schemeClr>
                </a:gs>
                <a:gs pos="50000">
                  <a:schemeClr val="tx2">
                    <a:lumMod val="40000"/>
                    <a:lumOff val="60000"/>
                  </a:schemeClr>
                </a:gs>
                <a:gs pos="100000">
                  <a:schemeClr val="accent1">
                    <a:tint val="23500"/>
                    <a:satMod val="160000"/>
                  </a:schemeClr>
                </a:gs>
              </a:gsLst>
              <a:lin ang="5400000" scaled="0"/>
            </a:gradFill>
          </c:spPr>
          <c:cat>
            <c:numRef>
              <c:f>BB!$A$203:$A$263</c:f>
              <c:numCache>
                <c:formatCode>m/d/yyyy</c:formatCode>
                <c:ptCount val="61"/>
                <c:pt idx="0">
                  <c:v>44491</c:v>
                </c:pt>
                <c:pt idx="1">
                  <c:v>44494</c:v>
                </c:pt>
                <c:pt idx="2">
                  <c:v>44495</c:v>
                </c:pt>
                <c:pt idx="3">
                  <c:v>44496</c:v>
                </c:pt>
                <c:pt idx="4">
                  <c:v>44497</c:v>
                </c:pt>
                <c:pt idx="5">
                  <c:v>44498</c:v>
                </c:pt>
                <c:pt idx="6">
                  <c:v>44501</c:v>
                </c:pt>
                <c:pt idx="7">
                  <c:v>44502</c:v>
                </c:pt>
                <c:pt idx="8">
                  <c:v>44503</c:v>
                </c:pt>
                <c:pt idx="9">
                  <c:v>44504</c:v>
                </c:pt>
                <c:pt idx="10">
                  <c:v>44505</c:v>
                </c:pt>
                <c:pt idx="11">
                  <c:v>44508</c:v>
                </c:pt>
                <c:pt idx="12">
                  <c:v>44509</c:v>
                </c:pt>
                <c:pt idx="13">
                  <c:v>44510</c:v>
                </c:pt>
                <c:pt idx="14">
                  <c:v>44511</c:v>
                </c:pt>
                <c:pt idx="15">
                  <c:v>44512</c:v>
                </c:pt>
                <c:pt idx="16">
                  <c:v>44515</c:v>
                </c:pt>
                <c:pt idx="17">
                  <c:v>44516</c:v>
                </c:pt>
                <c:pt idx="18">
                  <c:v>44517</c:v>
                </c:pt>
                <c:pt idx="19">
                  <c:v>44518</c:v>
                </c:pt>
                <c:pt idx="20">
                  <c:v>44519</c:v>
                </c:pt>
                <c:pt idx="21">
                  <c:v>44522</c:v>
                </c:pt>
                <c:pt idx="22">
                  <c:v>44523</c:v>
                </c:pt>
                <c:pt idx="23">
                  <c:v>44524</c:v>
                </c:pt>
                <c:pt idx="24">
                  <c:v>44525</c:v>
                </c:pt>
                <c:pt idx="25">
                  <c:v>44526</c:v>
                </c:pt>
                <c:pt idx="26">
                  <c:v>44529</c:v>
                </c:pt>
                <c:pt idx="27">
                  <c:v>44530</c:v>
                </c:pt>
                <c:pt idx="28">
                  <c:v>44531</c:v>
                </c:pt>
                <c:pt idx="29">
                  <c:v>44532</c:v>
                </c:pt>
                <c:pt idx="30">
                  <c:v>44533</c:v>
                </c:pt>
                <c:pt idx="31">
                  <c:v>44536</c:v>
                </c:pt>
                <c:pt idx="32">
                  <c:v>44537</c:v>
                </c:pt>
                <c:pt idx="33">
                  <c:v>44538</c:v>
                </c:pt>
                <c:pt idx="34">
                  <c:v>44539</c:v>
                </c:pt>
                <c:pt idx="35">
                  <c:v>44540</c:v>
                </c:pt>
                <c:pt idx="36">
                  <c:v>44543</c:v>
                </c:pt>
                <c:pt idx="37">
                  <c:v>44544</c:v>
                </c:pt>
                <c:pt idx="38">
                  <c:v>44545</c:v>
                </c:pt>
                <c:pt idx="39">
                  <c:v>44546</c:v>
                </c:pt>
                <c:pt idx="40">
                  <c:v>44547</c:v>
                </c:pt>
                <c:pt idx="41">
                  <c:v>44550</c:v>
                </c:pt>
                <c:pt idx="42">
                  <c:v>44551</c:v>
                </c:pt>
                <c:pt idx="43">
                  <c:v>44552</c:v>
                </c:pt>
                <c:pt idx="44">
                  <c:v>44553</c:v>
                </c:pt>
                <c:pt idx="45">
                  <c:v>44554</c:v>
                </c:pt>
                <c:pt idx="46">
                  <c:v>44557</c:v>
                </c:pt>
                <c:pt idx="47">
                  <c:v>44558</c:v>
                </c:pt>
                <c:pt idx="48">
                  <c:v>44559</c:v>
                </c:pt>
                <c:pt idx="49">
                  <c:v>44560</c:v>
                </c:pt>
                <c:pt idx="50">
                  <c:v>44561</c:v>
                </c:pt>
                <c:pt idx="51">
                  <c:v>44564</c:v>
                </c:pt>
                <c:pt idx="52">
                  <c:v>44565</c:v>
                </c:pt>
                <c:pt idx="53">
                  <c:v>44566</c:v>
                </c:pt>
                <c:pt idx="54">
                  <c:v>44567</c:v>
                </c:pt>
                <c:pt idx="55">
                  <c:v>44568</c:v>
                </c:pt>
                <c:pt idx="56">
                  <c:v>44571</c:v>
                </c:pt>
                <c:pt idx="57">
                  <c:v>44572</c:v>
                </c:pt>
                <c:pt idx="58">
                  <c:v>44573</c:v>
                </c:pt>
                <c:pt idx="59">
                  <c:v>44574</c:v>
                </c:pt>
                <c:pt idx="60">
                  <c:v>44575</c:v>
                </c:pt>
              </c:numCache>
            </c:numRef>
          </c:cat>
          <c:val>
            <c:numRef>
              <c:f>BB!$DA$203:$DA$263</c:f>
              <c:numCache>
                <c:formatCode>General</c:formatCode>
                <c:ptCount val="61"/>
                <c:pt idx="0">
                  <c:v>15090.2</c:v>
                </c:pt>
                <c:pt idx="1">
                  <c:v>15226.71</c:v>
                </c:pt>
                <c:pt idx="2">
                  <c:v>15235.71</c:v>
                </c:pt>
                <c:pt idx="3">
                  <c:v>15235.84</c:v>
                </c:pt>
                <c:pt idx="4">
                  <c:v>15448.12</c:v>
                </c:pt>
                <c:pt idx="5">
                  <c:v>15498.39</c:v>
                </c:pt>
                <c:pt idx="6">
                  <c:v>15595.92</c:v>
                </c:pt>
                <c:pt idx="7">
                  <c:v>15649.6</c:v>
                </c:pt>
                <c:pt idx="8">
                  <c:v>15811.58</c:v>
                </c:pt>
                <c:pt idx="9">
                  <c:v>15940.31</c:v>
                </c:pt>
                <c:pt idx="10">
                  <c:v>15971.59</c:v>
                </c:pt>
                <c:pt idx="11">
                  <c:v>15982.36</c:v>
                </c:pt>
                <c:pt idx="12">
                  <c:v>15886.54</c:v>
                </c:pt>
                <c:pt idx="13">
                  <c:v>15622.71</c:v>
                </c:pt>
                <c:pt idx="14">
                  <c:v>15704.28</c:v>
                </c:pt>
                <c:pt idx="15">
                  <c:v>15860.96</c:v>
                </c:pt>
                <c:pt idx="16">
                  <c:v>15853.85</c:v>
                </c:pt>
                <c:pt idx="17">
                  <c:v>15973.86</c:v>
                </c:pt>
                <c:pt idx="18">
                  <c:v>15921.57</c:v>
                </c:pt>
                <c:pt idx="19">
                  <c:v>15993.71</c:v>
                </c:pt>
                <c:pt idx="20">
                  <c:v>16057.44</c:v>
                </c:pt>
                <c:pt idx="21">
                  <c:v>15854.76</c:v>
                </c:pt>
                <c:pt idx="22">
                  <c:v>15775.14</c:v>
                </c:pt>
                <c:pt idx="23">
                  <c:v>15845.23</c:v>
                </c:pt>
                <c:pt idx="24">
                  <c:v>15845.23</c:v>
                </c:pt>
                <c:pt idx="25">
                  <c:v>15491.66</c:v>
                </c:pt>
                <c:pt idx="26">
                  <c:v>15782.83</c:v>
                </c:pt>
                <c:pt idx="27">
                  <c:v>15537.69</c:v>
                </c:pt>
                <c:pt idx="28">
                  <c:v>15254.05</c:v>
                </c:pt>
                <c:pt idx="29">
                  <c:v>15381.32</c:v>
                </c:pt>
                <c:pt idx="30">
                  <c:v>15085.47</c:v>
                </c:pt>
                <c:pt idx="31">
                  <c:v>15225.15</c:v>
                </c:pt>
                <c:pt idx="32">
                  <c:v>15686.92</c:v>
                </c:pt>
                <c:pt idx="33">
                  <c:v>15786.99</c:v>
                </c:pt>
                <c:pt idx="34">
                  <c:v>15517.37</c:v>
                </c:pt>
                <c:pt idx="35">
                  <c:v>15630.6</c:v>
                </c:pt>
                <c:pt idx="36">
                  <c:v>15413.28</c:v>
                </c:pt>
                <c:pt idx="37">
                  <c:v>15237.64</c:v>
                </c:pt>
                <c:pt idx="38">
                  <c:v>15565.58</c:v>
                </c:pt>
                <c:pt idx="39">
                  <c:v>15180.43</c:v>
                </c:pt>
                <c:pt idx="40">
                  <c:v>15169.68</c:v>
                </c:pt>
                <c:pt idx="41">
                  <c:v>14980.94</c:v>
                </c:pt>
                <c:pt idx="42">
                  <c:v>15341.09</c:v>
                </c:pt>
                <c:pt idx="43">
                  <c:v>15521.89</c:v>
                </c:pt>
                <c:pt idx="44">
                  <c:v>15653.37</c:v>
                </c:pt>
                <c:pt idx="45">
                  <c:v>15653.37</c:v>
                </c:pt>
                <c:pt idx="46">
                  <c:v>15871.26</c:v>
                </c:pt>
                <c:pt idx="47">
                  <c:v>15781.72</c:v>
                </c:pt>
                <c:pt idx="48">
                  <c:v>15766.22</c:v>
                </c:pt>
                <c:pt idx="49">
                  <c:v>15741.56</c:v>
                </c:pt>
                <c:pt idx="50">
                  <c:v>15644.97</c:v>
                </c:pt>
                <c:pt idx="51">
                  <c:v>15832.8</c:v>
                </c:pt>
                <c:pt idx="52">
                  <c:v>15622.72</c:v>
                </c:pt>
                <c:pt idx="53">
                  <c:v>15100.17</c:v>
                </c:pt>
                <c:pt idx="54">
                  <c:v>15080.87</c:v>
                </c:pt>
                <c:pt idx="55">
                  <c:v>14935.9</c:v>
                </c:pt>
                <c:pt idx="56">
                  <c:v>14942.83</c:v>
                </c:pt>
                <c:pt idx="57">
                  <c:v>15153.45</c:v>
                </c:pt>
                <c:pt idx="58">
                  <c:v>15188.39</c:v>
                </c:pt>
                <c:pt idx="59">
                  <c:v>14806.81</c:v>
                </c:pt>
                <c:pt idx="60">
                  <c:v>14893.75</c:v>
                </c:pt>
              </c:numCache>
            </c:numRef>
          </c:val>
          <c:extLst>
            <c:ext xmlns:c16="http://schemas.microsoft.com/office/drawing/2014/chart" uri="{C3380CC4-5D6E-409C-BE32-E72D297353CC}">
              <c16:uniqueId val="{00000000-4135-43E8-A198-6BB5500F65A4}"/>
            </c:ext>
          </c:extLst>
        </c:ser>
        <c:dLbls>
          <c:showLegendKey val="0"/>
          <c:showVal val="0"/>
          <c:showCatName val="0"/>
          <c:showSerName val="0"/>
          <c:showPercent val="0"/>
          <c:showBubbleSize val="0"/>
        </c:dLbls>
        <c:axId val="121579776"/>
        <c:axId val="121593856"/>
      </c:areaChart>
      <c:lineChart>
        <c:grouping val="standard"/>
        <c:varyColors val="0"/>
        <c:ser>
          <c:idx val="0"/>
          <c:order val="0"/>
          <c:tx>
            <c:v>szpot</c:v>
          </c:tx>
          <c:spPr>
            <a:ln w="25400">
              <a:solidFill>
                <a:srgbClr val="005A96"/>
              </a:solidFill>
              <a:prstDash val="solid"/>
            </a:ln>
          </c:spPr>
          <c:marker>
            <c:symbol val="none"/>
          </c:marker>
          <c:cat>
            <c:numRef>
              <c:f>BB!$A$203:$A$263</c:f>
              <c:numCache>
                <c:formatCode>m/d/yyyy</c:formatCode>
                <c:ptCount val="61"/>
                <c:pt idx="0">
                  <c:v>44491</c:v>
                </c:pt>
                <c:pt idx="1">
                  <c:v>44494</c:v>
                </c:pt>
                <c:pt idx="2">
                  <c:v>44495</c:v>
                </c:pt>
                <c:pt idx="3">
                  <c:v>44496</c:v>
                </c:pt>
                <c:pt idx="4">
                  <c:v>44497</c:v>
                </c:pt>
                <c:pt idx="5">
                  <c:v>44498</c:v>
                </c:pt>
                <c:pt idx="6">
                  <c:v>44501</c:v>
                </c:pt>
                <c:pt idx="7">
                  <c:v>44502</c:v>
                </c:pt>
                <c:pt idx="8">
                  <c:v>44503</c:v>
                </c:pt>
                <c:pt idx="9">
                  <c:v>44504</c:v>
                </c:pt>
                <c:pt idx="10">
                  <c:v>44505</c:v>
                </c:pt>
                <c:pt idx="11">
                  <c:v>44508</c:v>
                </c:pt>
                <c:pt idx="12">
                  <c:v>44509</c:v>
                </c:pt>
                <c:pt idx="13">
                  <c:v>44510</c:v>
                </c:pt>
                <c:pt idx="14">
                  <c:v>44511</c:v>
                </c:pt>
                <c:pt idx="15">
                  <c:v>44512</c:v>
                </c:pt>
                <c:pt idx="16">
                  <c:v>44515</c:v>
                </c:pt>
                <c:pt idx="17">
                  <c:v>44516</c:v>
                </c:pt>
                <c:pt idx="18">
                  <c:v>44517</c:v>
                </c:pt>
                <c:pt idx="19">
                  <c:v>44518</c:v>
                </c:pt>
                <c:pt idx="20">
                  <c:v>44519</c:v>
                </c:pt>
                <c:pt idx="21">
                  <c:v>44522</c:v>
                </c:pt>
                <c:pt idx="22">
                  <c:v>44523</c:v>
                </c:pt>
                <c:pt idx="23">
                  <c:v>44524</c:v>
                </c:pt>
                <c:pt idx="24">
                  <c:v>44525</c:v>
                </c:pt>
                <c:pt idx="25">
                  <c:v>44526</c:v>
                </c:pt>
                <c:pt idx="26">
                  <c:v>44529</c:v>
                </c:pt>
                <c:pt idx="27">
                  <c:v>44530</c:v>
                </c:pt>
                <c:pt idx="28">
                  <c:v>44531</c:v>
                </c:pt>
                <c:pt idx="29">
                  <c:v>44532</c:v>
                </c:pt>
                <c:pt idx="30">
                  <c:v>44533</c:v>
                </c:pt>
                <c:pt idx="31">
                  <c:v>44536</c:v>
                </c:pt>
                <c:pt idx="32">
                  <c:v>44537</c:v>
                </c:pt>
                <c:pt idx="33">
                  <c:v>44538</c:v>
                </c:pt>
                <c:pt idx="34">
                  <c:v>44539</c:v>
                </c:pt>
                <c:pt idx="35">
                  <c:v>44540</c:v>
                </c:pt>
                <c:pt idx="36">
                  <c:v>44543</c:v>
                </c:pt>
                <c:pt idx="37">
                  <c:v>44544</c:v>
                </c:pt>
                <c:pt idx="38">
                  <c:v>44545</c:v>
                </c:pt>
                <c:pt idx="39">
                  <c:v>44546</c:v>
                </c:pt>
                <c:pt idx="40">
                  <c:v>44547</c:v>
                </c:pt>
                <c:pt idx="41">
                  <c:v>44550</c:v>
                </c:pt>
                <c:pt idx="42">
                  <c:v>44551</c:v>
                </c:pt>
                <c:pt idx="43">
                  <c:v>44552</c:v>
                </c:pt>
                <c:pt idx="44">
                  <c:v>44553</c:v>
                </c:pt>
                <c:pt idx="45">
                  <c:v>44554</c:v>
                </c:pt>
                <c:pt idx="46">
                  <c:v>44557</c:v>
                </c:pt>
                <c:pt idx="47">
                  <c:v>44558</c:v>
                </c:pt>
                <c:pt idx="48">
                  <c:v>44559</c:v>
                </c:pt>
                <c:pt idx="49">
                  <c:v>44560</c:v>
                </c:pt>
                <c:pt idx="50">
                  <c:v>44561</c:v>
                </c:pt>
                <c:pt idx="51">
                  <c:v>44564</c:v>
                </c:pt>
                <c:pt idx="52">
                  <c:v>44565</c:v>
                </c:pt>
                <c:pt idx="53">
                  <c:v>44566</c:v>
                </c:pt>
                <c:pt idx="54">
                  <c:v>44567</c:v>
                </c:pt>
                <c:pt idx="55">
                  <c:v>44568</c:v>
                </c:pt>
                <c:pt idx="56">
                  <c:v>44571</c:v>
                </c:pt>
                <c:pt idx="57">
                  <c:v>44572</c:v>
                </c:pt>
                <c:pt idx="58">
                  <c:v>44573</c:v>
                </c:pt>
                <c:pt idx="59">
                  <c:v>44574</c:v>
                </c:pt>
                <c:pt idx="60">
                  <c:v>44575</c:v>
                </c:pt>
              </c:numCache>
            </c:numRef>
          </c:cat>
          <c:val>
            <c:numRef>
              <c:f>BB!$DA$203:$DA$263</c:f>
              <c:numCache>
                <c:formatCode>General</c:formatCode>
                <c:ptCount val="61"/>
                <c:pt idx="0">
                  <c:v>15090.2</c:v>
                </c:pt>
                <c:pt idx="1">
                  <c:v>15226.71</c:v>
                </c:pt>
                <c:pt idx="2">
                  <c:v>15235.71</c:v>
                </c:pt>
                <c:pt idx="3">
                  <c:v>15235.84</c:v>
                </c:pt>
                <c:pt idx="4">
                  <c:v>15448.12</c:v>
                </c:pt>
                <c:pt idx="5">
                  <c:v>15498.39</c:v>
                </c:pt>
                <c:pt idx="6">
                  <c:v>15595.92</c:v>
                </c:pt>
                <c:pt idx="7">
                  <c:v>15649.6</c:v>
                </c:pt>
                <c:pt idx="8">
                  <c:v>15811.58</c:v>
                </c:pt>
                <c:pt idx="9">
                  <c:v>15940.31</c:v>
                </c:pt>
                <c:pt idx="10">
                  <c:v>15971.59</c:v>
                </c:pt>
                <c:pt idx="11">
                  <c:v>15982.36</c:v>
                </c:pt>
                <c:pt idx="12">
                  <c:v>15886.54</c:v>
                </c:pt>
                <c:pt idx="13">
                  <c:v>15622.71</c:v>
                </c:pt>
                <c:pt idx="14">
                  <c:v>15704.28</c:v>
                </c:pt>
                <c:pt idx="15">
                  <c:v>15860.96</c:v>
                </c:pt>
                <c:pt idx="16">
                  <c:v>15853.85</c:v>
                </c:pt>
                <c:pt idx="17">
                  <c:v>15973.86</c:v>
                </c:pt>
                <c:pt idx="18">
                  <c:v>15921.57</c:v>
                </c:pt>
                <c:pt idx="19">
                  <c:v>15993.71</c:v>
                </c:pt>
                <c:pt idx="20">
                  <c:v>16057.44</c:v>
                </c:pt>
                <c:pt idx="21">
                  <c:v>15854.76</c:v>
                </c:pt>
                <c:pt idx="22">
                  <c:v>15775.14</c:v>
                </c:pt>
                <c:pt idx="23">
                  <c:v>15845.23</c:v>
                </c:pt>
                <c:pt idx="24">
                  <c:v>15845.23</c:v>
                </c:pt>
                <c:pt idx="25">
                  <c:v>15491.66</c:v>
                </c:pt>
                <c:pt idx="26">
                  <c:v>15782.83</c:v>
                </c:pt>
                <c:pt idx="27">
                  <c:v>15537.69</c:v>
                </c:pt>
                <c:pt idx="28">
                  <c:v>15254.05</c:v>
                </c:pt>
                <c:pt idx="29">
                  <c:v>15381.32</c:v>
                </c:pt>
                <c:pt idx="30">
                  <c:v>15085.47</c:v>
                </c:pt>
                <c:pt idx="31">
                  <c:v>15225.15</c:v>
                </c:pt>
                <c:pt idx="32">
                  <c:v>15686.92</c:v>
                </c:pt>
                <c:pt idx="33">
                  <c:v>15786.99</c:v>
                </c:pt>
                <c:pt idx="34">
                  <c:v>15517.37</c:v>
                </c:pt>
                <c:pt idx="35">
                  <c:v>15630.6</c:v>
                </c:pt>
                <c:pt idx="36">
                  <c:v>15413.28</c:v>
                </c:pt>
                <c:pt idx="37">
                  <c:v>15237.64</c:v>
                </c:pt>
                <c:pt idx="38">
                  <c:v>15565.58</c:v>
                </c:pt>
                <c:pt idx="39">
                  <c:v>15180.43</c:v>
                </c:pt>
                <c:pt idx="40">
                  <c:v>15169.68</c:v>
                </c:pt>
                <c:pt idx="41">
                  <c:v>14980.94</c:v>
                </c:pt>
                <c:pt idx="42">
                  <c:v>15341.09</c:v>
                </c:pt>
                <c:pt idx="43">
                  <c:v>15521.89</c:v>
                </c:pt>
                <c:pt idx="44">
                  <c:v>15653.37</c:v>
                </c:pt>
                <c:pt idx="45">
                  <c:v>15653.37</c:v>
                </c:pt>
                <c:pt idx="46">
                  <c:v>15871.26</c:v>
                </c:pt>
                <c:pt idx="47">
                  <c:v>15781.72</c:v>
                </c:pt>
                <c:pt idx="48">
                  <c:v>15766.22</c:v>
                </c:pt>
                <c:pt idx="49">
                  <c:v>15741.56</c:v>
                </c:pt>
                <c:pt idx="50">
                  <c:v>15644.97</c:v>
                </c:pt>
                <c:pt idx="51">
                  <c:v>15832.8</c:v>
                </c:pt>
                <c:pt idx="52">
                  <c:v>15622.72</c:v>
                </c:pt>
                <c:pt idx="53">
                  <c:v>15100.17</c:v>
                </c:pt>
                <c:pt idx="54">
                  <c:v>15080.87</c:v>
                </c:pt>
                <c:pt idx="55">
                  <c:v>14935.9</c:v>
                </c:pt>
                <c:pt idx="56">
                  <c:v>14942.83</c:v>
                </c:pt>
                <c:pt idx="57">
                  <c:v>15153.45</c:v>
                </c:pt>
                <c:pt idx="58">
                  <c:v>15188.39</c:v>
                </c:pt>
                <c:pt idx="59">
                  <c:v>14806.81</c:v>
                </c:pt>
                <c:pt idx="60">
                  <c:v>14893.75</c:v>
                </c:pt>
              </c:numCache>
            </c:numRef>
          </c:val>
          <c:smooth val="0"/>
          <c:extLst>
            <c:ext xmlns:c16="http://schemas.microsoft.com/office/drawing/2014/chart" uri="{C3380CC4-5D6E-409C-BE32-E72D297353CC}">
              <c16:uniqueId val="{00000001-4135-43E8-A198-6BB5500F65A4}"/>
            </c:ext>
          </c:extLst>
        </c:ser>
        <c:ser>
          <c:idx val="1"/>
          <c:order val="1"/>
          <c:tx>
            <c:v>50-napos m.átl.</c:v>
          </c:tx>
          <c:spPr>
            <a:ln w="25400">
              <a:solidFill>
                <a:srgbClr val="83837B"/>
              </a:solidFill>
              <a:prstDash val="solid"/>
            </a:ln>
          </c:spPr>
          <c:marker>
            <c:symbol val="none"/>
          </c:marker>
          <c:cat>
            <c:numRef>
              <c:f>BB!$A$203:$A$263</c:f>
              <c:numCache>
                <c:formatCode>m/d/yyyy</c:formatCode>
                <c:ptCount val="61"/>
                <c:pt idx="0">
                  <c:v>44491</c:v>
                </c:pt>
                <c:pt idx="1">
                  <c:v>44494</c:v>
                </c:pt>
                <c:pt idx="2">
                  <c:v>44495</c:v>
                </c:pt>
                <c:pt idx="3">
                  <c:v>44496</c:v>
                </c:pt>
                <c:pt idx="4">
                  <c:v>44497</c:v>
                </c:pt>
                <c:pt idx="5">
                  <c:v>44498</c:v>
                </c:pt>
                <c:pt idx="6">
                  <c:v>44501</c:v>
                </c:pt>
                <c:pt idx="7">
                  <c:v>44502</c:v>
                </c:pt>
                <c:pt idx="8">
                  <c:v>44503</c:v>
                </c:pt>
                <c:pt idx="9">
                  <c:v>44504</c:v>
                </c:pt>
                <c:pt idx="10">
                  <c:v>44505</c:v>
                </c:pt>
                <c:pt idx="11">
                  <c:v>44508</c:v>
                </c:pt>
                <c:pt idx="12">
                  <c:v>44509</c:v>
                </c:pt>
                <c:pt idx="13">
                  <c:v>44510</c:v>
                </c:pt>
                <c:pt idx="14">
                  <c:v>44511</c:v>
                </c:pt>
                <c:pt idx="15">
                  <c:v>44512</c:v>
                </c:pt>
                <c:pt idx="16">
                  <c:v>44515</c:v>
                </c:pt>
                <c:pt idx="17">
                  <c:v>44516</c:v>
                </c:pt>
                <c:pt idx="18">
                  <c:v>44517</c:v>
                </c:pt>
                <c:pt idx="19">
                  <c:v>44518</c:v>
                </c:pt>
                <c:pt idx="20">
                  <c:v>44519</c:v>
                </c:pt>
                <c:pt idx="21">
                  <c:v>44522</c:v>
                </c:pt>
                <c:pt idx="22">
                  <c:v>44523</c:v>
                </c:pt>
                <c:pt idx="23">
                  <c:v>44524</c:v>
                </c:pt>
                <c:pt idx="24">
                  <c:v>44525</c:v>
                </c:pt>
                <c:pt idx="25">
                  <c:v>44526</c:v>
                </c:pt>
                <c:pt idx="26">
                  <c:v>44529</c:v>
                </c:pt>
                <c:pt idx="27">
                  <c:v>44530</c:v>
                </c:pt>
                <c:pt idx="28">
                  <c:v>44531</c:v>
                </c:pt>
                <c:pt idx="29">
                  <c:v>44532</c:v>
                </c:pt>
                <c:pt idx="30">
                  <c:v>44533</c:v>
                </c:pt>
                <c:pt idx="31">
                  <c:v>44536</c:v>
                </c:pt>
                <c:pt idx="32">
                  <c:v>44537</c:v>
                </c:pt>
                <c:pt idx="33">
                  <c:v>44538</c:v>
                </c:pt>
                <c:pt idx="34">
                  <c:v>44539</c:v>
                </c:pt>
                <c:pt idx="35">
                  <c:v>44540</c:v>
                </c:pt>
                <c:pt idx="36">
                  <c:v>44543</c:v>
                </c:pt>
                <c:pt idx="37">
                  <c:v>44544</c:v>
                </c:pt>
                <c:pt idx="38">
                  <c:v>44545</c:v>
                </c:pt>
                <c:pt idx="39">
                  <c:v>44546</c:v>
                </c:pt>
                <c:pt idx="40">
                  <c:v>44547</c:v>
                </c:pt>
                <c:pt idx="41">
                  <c:v>44550</c:v>
                </c:pt>
                <c:pt idx="42">
                  <c:v>44551</c:v>
                </c:pt>
                <c:pt idx="43">
                  <c:v>44552</c:v>
                </c:pt>
                <c:pt idx="44">
                  <c:v>44553</c:v>
                </c:pt>
                <c:pt idx="45">
                  <c:v>44554</c:v>
                </c:pt>
                <c:pt idx="46">
                  <c:v>44557</c:v>
                </c:pt>
                <c:pt idx="47">
                  <c:v>44558</c:v>
                </c:pt>
                <c:pt idx="48">
                  <c:v>44559</c:v>
                </c:pt>
                <c:pt idx="49">
                  <c:v>44560</c:v>
                </c:pt>
                <c:pt idx="50">
                  <c:v>44561</c:v>
                </c:pt>
                <c:pt idx="51">
                  <c:v>44564</c:v>
                </c:pt>
                <c:pt idx="52">
                  <c:v>44565</c:v>
                </c:pt>
                <c:pt idx="53">
                  <c:v>44566</c:v>
                </c:pt>
                <c:pt idx="54">
                  <c:v>44567</c:v>
                </c:pt>
                <c:pt idx="55">
                  <c:v>44568</c:v>
                </c:pt>
                <c:pt idx="56">
                  <c:v>44571</c:v>
                </c:pt>
                <c:pt idx="57">
                  <c:v>44572</c:v>
                </c:pt>
                <c:pt idx="58">
                  <c:v>44573</c:v>
                </c:pt>
                <c:pt idx="59">
                  <c:v>44574</c:v>
                </c:pt>
                <c:pt idx="60">
                  <c:v>44575</c:v>
                </c:pt>
              </c:numCache>
            </c:numRef>
          </c:cat>
          <c:val>
            <c:numRef>
              <c:f>BB!$DB$203:$DB$263</c:f>
              <c:numCache>
                <c:formatCode>General</c:formatCode>
                <c:ptCount val="61"/>
                <c:pt idx="0">
                  <c:v>14899.37</c:v>
                </c:pt>
                <c:pt idx="1">
                  <c:v>14907.45</c:v>
                </c:pt>
                <c:pt idx="2">
                  <c:v>14916.29</c:v>
                </c:pt>
                <c:pt idx="3">
                  <c:v>14927.88</c:v>
                </c:pt>
                <c:pt idx="4">
                  <c:v>14946.33</c:v>
                </c:pt>
                <c:pt idx="5">
                  <c:v>14965.46</c:v>
                </c:pt>
                <c:pt idx="6">
                  <c:v>14983.08</c:v>
                </c:pt>
                <c:pt idx="7">
                  <c:v>14997.22</c:v>
                </c:pt>
                <c:pt idx="8">
                  <c:v>15013.06</c:v>
                </c:pt>
                <c:pt idx="9">
                  <c:v>15031.03</c:v>
                </c:pt>
                <c:pt idx="10">
                  <c:v>15051.54</c:v>
                </c:pt>
                <c:pt idx="11">
                  <c:v>15068.6</c:v>
                </c:pt>
                <c:pt idx="12">
                  <c:v>15081.01</c:v>
                </c:pt>
                <c:pt idx="13">
                  <c:v>15088.28</c:v>
                </c:pt>
                <c:pt idx="14">
                  <c:v>15096.18</c:v>
                </c:pt>
                <c:pt idx="15">
                  <c:v>15106.78</c:v>
                </c:pt>
                <c:pt idx="16">
                  <c:v>15116.58</c:v>
                </c:pt>
                <c:pt idx="17">
                  <c:v>15128.57</c:v>
                </c:pt>
                <c:pt idx="18">
                  <c:v>15141.27</c:v>
                </c:pt>
                <c:pt idx="19">
                  <c:v>15156.18</c:v>
                </c:pt>
                <c:pt idx="20">
                  <c:v>15175.02</c:v>
                </c:pt>
                <c:pt idx="21">
                  <c:v>15190</c:v>
                </c:pt>
                <c:pt idx="22">
                  <c:v>15204.75</c:v>
                </c:pt>
                <c:pt idx="23">
                  <c:v>15218.43</c:v>
                </c:pt>
                <c:pt idx="24">
                  <c:v>15218.43</c:v>
                </c:pt>
                <c:pt idx="25">
                  <c:v>15224.62</c:v>
                </c:pt>
                <c:pt idx="26">
                  <c:v>15239.4</c:v>
                </c:pt>
                <c:pt idx="27">
                  <c:v>15255.87</c:v>
                </c:pt>
                <c:pt idx="28">
                  <c:v>15266.03</c:v>
                </c:pt>
                <c:pt idx="29">
                  <c:v>15275.72</c:v>
                </c:pt>
                <c:pt idx="30">
                  <c:v>15276.38</c:v>
                </c:pt>
                <c:pt idx="31">
                  <c:v>15279.93</c:v>
                </c:pt>
                <c:pt idx="32">
                  <c:v>15294.27</c:v>
                </c:pt>
                <c:pt idx="33">
                  <c:v>15319.08</c:v>
                </c:pt>
                <c:pt idx="34">
                  <c:v>15339.17</c:v>
                </c:pt>
                <c:pt idx="35">
                  <c:v>15362.81</c:v>
                </c:pt>
                <c:pt idx="36">
                  <c:v>15379.75</c:v>
                </c:pt>
                <c:pt idx="37">
                  <c:v>15399.39</c:v>
                </c:pt>
                <c:pt idx="38">
                  <c:v>15422.02</c:v>
                </c:pt>
                <c:pt idx="39">
                  <c:v>15435.59</c:v>
                </c:pt>
                <c:pt idx="40">
                  <c:v>15445.91</c:v>
                </c:pt>
                <c:pt idx="41">
                  <c:v>15453.94</c:v>
                </c:pt>
                <c:pt idx="42">
                  <c:v>15471.03</c:v>
                </c:pt>
                <c:pt idx="43">
                  <c:v>15492.15</c:v>
                </c:pt>
                <c:pt idx="44">
                  <c:v>15513.79</c:v>
                </c:pt>
                <c:pt idx="45">
                  <c:v>15513.79</c:v>
                </c:pt>
                <c:pt idx="46">
                  <c:v>15534.74</c:v>
                </c:pt>
                <c:pt idx="47">
                  <c:v>15552.43</c:v>
                </c:pt>
                <c:pt idx="48">
                  <c:v>15567.32</c:v>
                </c:pt>
                <c:pt idx="49">
                  <c:v>15579.57</c:v>
                </c:pt>
                <c:pt idx="50">
                  <c:v>15590.04</c:v>
                </c:pt>
                <c:pt idx="51">
                  <c:v>15602.38</c:v>
                </c:pt>
                <c:pt idx="52">
                  <c:v>15613.03</c:v>
                </c:pt>
                <c:pt idx="53">
                  <c:v>15610.5</c:v>
                </c:pt>
                <c:pt idx="54">
                  <c:v>15607.4</c:v>
                </c:pt>
                <c:pt idx="55">
                  <c:v>15601.4</c:v>
                </c:pt>
                <c:pt idx="56">
                  <c:v>15591.3</c:v>
                </c:pt>
                <c:pt idx="57">
                  <c:v>15584.4</c:v>
                </c:pt>
                <c:pt idx="58">
                  <c:v>15576.25</c:v>
                </c:pt>
                <c:pt idx="59">
                  <c:v>15559.39</c:v>
                </c:pt>
                <c:pt idx="60">
                  <c:v>15541.03</c:v>
                </c:pt>
              </c:numCache>
            </c:numRef>
          </c:val>
          <c:smooth val="0"/>
          <c:extLst>
            <c:ext xmlns:c16="http://schemas.microsoft.com/office/drawing/2014/chart" uri="{C3380CC4-5D6E-409C-BE32-E72D297353CC}">
              <c16:uniqueId val="{00000002-4135-43E8-A198-6BB5500F65A4}"/>
            </c:ext>
          </c:extLst>
        </c:ser>
        <c:ser>
          <c:idx val="3"/>
          <c:order val="2"/>
          <c:tx>
            <c:v>200-napos m.átl.</c:v>
          </c:tx>
          <c:spPr>
            <a:ln w="25400">
              <a:solidFill>
                <a:schemeClr val="accent6"/>
              </a:solidFill>
            </a:ln>
          </c:spPr>
          <c:marker>
            <c:symbol val="none"/>
          </c:marker>
          <c:cat>
            <c:numRef>
              <c:f>BB!$A$203:$A$263</c:f>
              <c:numCache>
                <c:formatCode>m/d/yyyy</c:formatCode>
                <c:ptCount val="61"/>
                <c:pt idx="0">
                  <c:v>44491</c:v>
                </c:pt>
                <c:pt idx="1">
                  <c:v>44494</c:v>
                </c:pt>
                <c:pt idx="2">
                  <c:v>44495</c:v>
                </c:pt>
                <c:pt idx="3">
                  <c:v>44496</c:v>
                </c:pt>
                <c:pt idx="4">
                  <c:v>44497</c:v>
                </c:pt>
                <c:pt idx="5">
                  <c:v>44498</c:v>
                </c:pt>
                <c:pt idx="6">
                  <c:v>44501</c:v>
                </c:pt>
                <c:pt idx="7">
                  <c:v>44502</c:v>
                </c:pt>
                <c:pt idx="8">
                  <c:v>44503</c:v>
                </c:pt>
                <c:pt idx="9">
                  <c:v>44504</c:v>
                </c:pt>
                <c:pt idx="10">
                  <c:v>44505</c:v>
                </c:pt>
                <c:pt idx="11">
                  <c:v>44508</c:v>
                </c:pt>
                <c:pt idx="12">
                  <c:v>44509</c:v>
                </c:pt>
                <c:pt idx="13">
                  <c:v>44510</c:v>
                </c:pt>
                <c:pt idx="14">
                  <c:v>44511</c:v>
                </c:pt>
                <c:pt idx="15">
                  <c:v>44512</c:v>
                </c:pt>
                <c:pt idx="16">
                  <c:v>44515</c:v>
                </c:pt>
                <c:pt idx="17">
                  <c:v>44516</c:v>
                </c:pt>
                <c:pt idx="18">
                  <c:v>44517</c:v>
                </c:pt>
                <c:pt idx="19">
                  <c:v>44518</c:v>
                </c:pt>
                <c:pt idx="20">
                  <c:v>44519</c:v>
                </c:pt>
                <c:pt idx="21">
                  <c:v>44522</c:v>
                </c:pt>
                <c:pt idx="22">
                  <c:v>44523</c:v>
                </c:pt>
                <c:pt idx="23">
                  <c:v>44524</c:v>
                </c:pt>
                <c:pt idx="24">
                  <c:v>44525</c:v>
                </c:pt>
                <c:pt idx="25">
                  <c:v>44526</c:v>
                </c:pt>
                <c:pt idx="26">
                  <c:v>44529</c:v>
                </c:pt>
                <c:pt idx="27">
                  <c:v>44530</c:v>
                </c:pt>
                <c:pt idx="28">
                  <c:v>44531</c:v>
                </c:pt>
                <c:pt idx="29">
                  <c:v>44532</c:v>
                </c:pt>
                <c:pt idx="30">
                  <c:v>44533</c:v>
                </c:pt>
                <c:pt idx="31">
                  <c:v>44536</c:v>
                </c:pt>
                <c:pt idx="32">
                  <c:v>44537</c:v>
                </c:pt>
                <c:pt idx="33">
                  <c:v>44538</c:v>
                </c:pt>
                <c:pt idx="34">
                  <c:v>44539</c:v>
                </c:pt>
                <c:pt idx="35">
                  <c:v>44540</c:v>
                </c:pt>
                <c:pt idx="36">
                  <c:v>44543</c:v>
                </c:pt>
                <c:pt idx="37">
                  <c:v>44544</c:v>
                </c:pt>
                <c:pt idx="38">
                  <c:v>44545</c:v>
                </c:pt>
                <c:pt idx="39">
                  <c:v>44546</c:v>
                </c:pt>
                <c:pt idx="40">
                  <c:v>44547</c:v>
                </c:pt>
                <c:pt idx="41">
                  <c:v>44550</c:v>
                </c:pt>
                <c:pt idx="42">
                  <c:v>44551</c:v>
                </c:pt>
                <c:pt idx="43">
                  <c:v>44552</c:v>
                </c:pt>
                <c:pt idx="44">
                  <c:v>44553</c:v>
                </c:pt>
                <c:pt idx="45">
                  <c:v>44554</c:v>
                </c:pt>
                <c:pt idx="46">
                  <c:v>44557</c:v>
                </c:pt>
                <c:pt idx="47">
                  <c:v>44558</c:v>
                </c:pt>
                <c:pt idx="48">
                  <c:v>44559</c:v>
                </c:pt>
                <c:pt idx="49">
                  <c:v>44560</c:v>
                </c:pt>
                <c:pt idx="50">
                  <c:v>44561</c:v>
                </c:pt>
                <c:pt idx="51">
                  <c:v>44564</c:v>
                </c:pt>
                <c:pt idx="52">
                  <c:v>44565</c:v>
                </c:pt>
                <c:pt idx="53">
                  <c:v>44566</c:v>
                </c:pt>
                <c:pt idx="54">
                  <c:v>44567</c:v>
                </c:pt>
                <c:pt idx="55">
                  <c:v>44568</c:v>
                </c:pt>
                <c:pt idx="56">
                  <c:v>44571</c:v>
                </c:pt>
                <c:pt idx="57">
                  <c:v>44572</c:v>
                </c:pt>
                <c:pt idx="58">
                  <c:v>44573</c:v>
                </c:pt>
                <c:pt idx="59">
                  <c:v>44574</c:v>
                </c:pt>
                <c:pt idx="60">
                  <c:v>44575</c:v>
                </c:pt>
              </c:numCache>
            </c:numRef>
          </c:cat>
          <c:val>
            <c:numRef>
              <c:f>BB!$DC$203:$DC$263</c:f>
              <c:numCache>
                <c:formatCode>General</c:formatCode>
                <c:ptCount val="61"/>
                <c:pt idx="0">
                  <c:v>14105.69</c:v>
                </c:pt>
                <c:pt idx="1">
                  <c:v>14115.81</c:v>
                </c:pt>
                <c:pt idx="2">
                  <c:v>14126.81</c:v>
                </c:pt>
                <c:pt idx="3">
                  <c:v>14137.62</c:v>
                </c:pt>
                <c:pt idx="4">
                  <c:v>14149.22</c:v>
                </c:pt>
                <c:pt idx="5">
                  <c:v>14161.15</c:v>
                </c:pt>
                <c:pt idx="6">
                  <c:v>14174.14</c:v>
                </c:pt>
                <c:pt idx="7">
                  <c:v>14186.4</c:v>
                </c:pt>
                <c:pt idx="8">
                  <c:v>14198.17</c:v>
                </c:pt>
                <c:pt idx="9">
                  <c:v>14210.22</c:v>
                </c:pt>
                <c:pt idx="10">
                  <c:v>14222.36</c:v>
                </c:pt>
                <c:pt idx="11">
                  <c:v>14234.09</c:v>
                </c:pt>
                <c:pt idx="12">
                  <c:v>14245.39</c:v>
                </c:pt>
                <c:pt idx="13">
                  <c:v>14257.15</c:v>
                </c:pt>
                <c:pt idx="14">
                  <c:v>14268.99</c:v>
                </c:pt>
                <c:pt idx="15">
                  <c:v>14282.94</c:v>
                </c:pt>
                <c:pt idx="16">
                  <c:v>14295.19</c:v>
                </c:pt>
                <c:pt idx="17">
                  <c:v>14307</c:v>
                </c:pt>
                <c:pt idx="18">
                  <c:v>14318.55</c:v>
                </c:pt>
                <c:pt idx="19">
                  <c:v>14329.63</c:v>
                </c:pt>
                <c:pt idx="20">
                  <c:v>14340.64</c:v>
                </c:pt>
                <c:pt idx="21">
                  <c:v>14349.97</c:v>
                </c:pt>
                <c:pt idx="22">
                  <c:v>14358.81</c:v>
                </c:pt>
                <c:pt idx="23">
                  <c:v>14368.18</c:v>
                </c:pt>
                <c:pt idx="24">
                  <c:v>14368.18</c:v>
                </c:pt>
                <c:pt idx="25">
                  <c:v>14375.51</c:v>
                </c:pt>
                <c:pt idx="26">
                  <c:v>14383.94</c:v>
                </c:pt>
                <c:pt idx="27">
                  <c:v>14391.39</c:v>
                </c:pt>
                <c:pt idx="28">
                  <c:v>14397.84</c:v>
                </c:pt>
                <c:pt idx="29">
                  <c:v>14405.42</c:v>
                </c:pt>
                <c:pt idx="30">
                  <c:v>14411.47</c:v>
                </c:pt>
                <c:pt idx="31">
                  <c:v>14419.93</c:v>
                </c:pt>
                <c:pt idx="32">
                  <c:v>14431.04</c:v>
                </c:pt>
                <c:pt idx="33">
                  <c:v>14441.98</c:v>
                </c:pt>
                <c:pt idx="34">
                  <c:v>14453.97</c:v>
                </c:pt>
                <c:pt idx="35">
                  <c:v>14466.17</c:v>
                </c:pt>
                <c:pt idx="36">
                  <c:v>14475.29</c:v>
                </c:pt>
                <c:pt idx="37">
                  <c:v>14484.68</c:v>
                </c:pt>
                <c:pt idx="38">
                  <c:v>14497.52</c:v>
                </c:pt>
                <c:pt idx="39">
                  <c:v>14509.81</c:v>
                </c:pt>
                <c:pt idx="40">
                  <c:v>14521.05</c:v>
                </c:pt>
                <c:pt idx="41">
                  <c:v>14532.91</c:v>
                </c:pt>
                <c:pt idx="42">
                  <c:v>14544.25</c:v>
                </c:pt>
                <c:pt idx="43">
                  <c:v>14556.51</c:v>
                </c:pt>
                <c:pt idx="44">
                  <c:v>14567.79</c:v>
                </c:pt>
                <c:pt idx="45">
                  <c:v>14567.79</c:v>
                </c:pt>
                <c:pt idx="46">
                  <c:v>14580.54</c:v>
                </c:pt>
                <c:pt idx="47">
                  <c:v>14592.15</c:v>
                </c:pt>
                <c:pt idx="48">
                  <c:v>14603.63</c:v>
                </c:pt>
                <c:pt idx="49">
                  <c:v>14614.71</c:v>
                </c:pt>
                <c:pt idx="50">
                  <c:v>14627.35</c:v>
                </c:pt>
                <c:pt idx="51">
                  <c:v>14640.44</c:v>
                </c:pt>
                <c:pt idx="52">
                  <c:v>14651.67</c:v>
                </c:pt>
                <c:pt idx="53">
                  <c:v>14661.03</c:v>
                </c:pt>
                <c:pt idx="54">
                  <c:v>14671.62</c:v>
                </c:pt>
                <c:pt idx="55">
                  <c:v>14681.42</c:v>
                </c:pt>
                <c:pt idx="56">
                  <c:v>14690.44</c:v>
                </c:pt>
                <c:pt idx="57">
                  <c:v>14700.91</c:v>
                </c:pt>
                <c:pt idx="58">
                  <c:v>14711.62</c:v>
                </c:pt>
                <c:pt idx="59">
                  <c:v>14719.42</c:v>
                </c:pt>
                <c:pt idx="60">
                  <c:v>14726.49</c:v>
                </c:pt>
              </c:numCache>
            </c:numRef>
          </c:val>
          <c:smooth val="0"/>
          <c:extLst>
            <c:ext xmlns:c16="http://schemas.microsoft.com/office/drawing/2014/chart" uri="{C3380CC4-5D6E-409C-BE32-E72D297353CC}">
              <c16:uniqueId val="{00000003-4135-43E8-A198-6BB5500F65A4}"/>
            </c:ext>
          </c:extLst>
        </c:ser>
        <c:dLbls>
          <c:showLegendKey val="0"/>
          <c:showVal val="0"/>
          <c:showCatName val="0"/>
          <c:showSerName val="0"/>
          <c:showPercent val="0"/>
          <c:showBubbleSize val="0"/>
        </c:dLbls>
        <c:marker val="1"/>
        <c:smooth val="0"/>
        <c:axId val="121579776"/>
        <c:axId val="121593856"/>
      </c:lineChart>
      <c:dateAx>
        <c:axId val="121579776"/>
        <c:scaling>
          <c:orientation val="minMax"/>
        </c:scaling>
        <c:delete val="0"/>
        <c:axPos val="b"/>
        <c:numFmt formatCode="mmmdd" sourceLinked="0"/>
        <c:majorTickMark val="none"/>
        <c:minorTickMark val="none"/>
        <c:tickLblPos val="low"/>
        <c:spPr>
          <a:ln w="3175">
            <a:noFill/>
            <a:prstDash val="solid"/>
          </a:ln>
        </c:spPr>
        <c:txPr>
          <a:bodyPr rot="0" vert="horz"/>
          <a:lstStyle/>
          <a:p>
            <a:pPr>
              <a:defRPr sz="800" b="0" i="0" u="none" strike="noStrike" baseline="0">
                <a:solidFill>
                  <a:srgbClr val="000000"/>
                </a:solidFill>
                <a:latin typeface="Calibri"/>
                <a:ea typeface="Calibri"/>
                <a:cs typeface="Calibri"/>
              </a:defRPr>
            </a:pPr>
            <a:endParaRPr lang="hu-HU"/>
          </a:p>
        </c:txPr>
        <c:crossAx val="121593856"/>
        <c:crosses val="autoZero"/>
        <c:auto val="1"/>
        <c:lblOffset val="100"/>
        <c:baseTimeUnit val="days"/>
      </c:dateAx>
      <c:valAx>
        <c:axId val="121593856"/>
        <c:scaling>
          <c:orientation val="minMax"/>
          <c:max val="16500"/>
          <c:min val="14000"/>
        </c:scaling>
        <c:delete val="0"/>
        <c:axPos val="l"/>
        <c:majorGridlines>
          <c:spPr>
            <a:ln w="3175">
              <a:solidFill>
                <a:srgbClr val="C0C0C0"/>
              </a:solidFill>
              <a:prstDash val="solid"/>
            </a:ln>
          </c:spPr>
        </c:majorGridlines>
        <c:numFmt formatCode="0" sourceLinked="0"/>
        <c:majorTickMark val="none"/>
        <c:minorTickMark val="none"/>
        <c:tickLblPos val="low"/>
        <c:spPr>
          <a:ln>
            <a:noFill/>
          </a:ln>
        </c:spPr>
        <c:txPr>
          <a:bodyPr rot="0" vert="horz"/>
          <a:lstStyle/>
          <a:p>
            <a:pPr>
              <a:defRPr sz="800" baseline="0"/>
            </a:pPr>
            <a:endParaRPr lang="hu-HU"/>
          </a:p>
        </c:txPr>
        <c:crossAx val="121579776"/>
        <c:crosses val="autoZero"/>
        <c:crossBetween val="midCat"/>
        <c:majorUnit val="500"/>
      </c:valAx>
      <c:spPr>
        <a:solidFill>
          <a:srgbClr val="FFFFFF"/>
        </a:solidFill>
        <a:ln w="25400">
          <a:noFill/>
        </a:ln>
      </c:spPr>
    </c:plotArea>
    <c:legend>
      <c:legendPos val="r"/>
      <c:legendEntry>
        <c:idx val="0"/>
        <c:delete val="1"/>
      </c:legendEntry>
      <c:legendEntry>
        <c:idx val="1"/>
        <c:delete val="1"/>
      </c:legendEntry>
      <c:layout>
        <c:manualLayout>
          <c:xMode val="edge"/>
          <c:yMode val="edge"/>
          <c:x val="0.11882189542483661"/>
          <c:y val="5.7558760683760731E-3"/>
          <c:w val="0.8230735294117647"/>
          <c:h val="5.3189102564102565E-2"/>
        </c:manualLayout>
      </c:layout>
      <c:overlay val="0"/>
      <c:spPr>
        <a:noFill/>
        <a:ln w="25400">
          <a:noFill/>
        </a:ln>
      </c:spPr>
      <c:txPr>
        <a:bodyPr/>
        <a:lstStyle/>
        <a:p>
          <a:pPr>
            <a:defRPr sz="800" b="0" i="0" u="none" strike="noStrike" baseline="0">
              <a:solidFill>
                <a:srgbClr val="000000"/>
              </a:solidFill>
              <a:latin typeface="Calibri"/>
              <a:ea typeface="Calibri"/>
              <a:cs typeface="Calibri"/>
            </a:defRPr>
          </a:pPr>
          <a:endParaRPr lang="hu-HU"/>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Calibri"/>
          <a:ea typeface="Calibri"/>
          <a:cs typeface="Calibri"/>
        </a:defRPr>
      </a:pPr>
      <a:endParaRPr lang="hu-H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08491969829134"/>
          <c:y val="8.3759661835748789E-2"/>
          <c:w val="0.80643287037037048"/>
          <c:h val="0.77940096618357491"/>
        </c:manualLayout>
      </c:layout>
      <c:lineChart>
        <c:grouping val="standard"/>
        <c:varyColors val="0"/>
        <c:ser>
          <c:idx val="0"/>
          <c:order val="0"/>
          <c:tx>
            <c:strRef>
              <c:f>Állandó_ábrák!$B$49</c:f>
              <c:strCache>
                <c:ptCount val="1"/>
                <c:pt idx="0">
                  <c:v>szpot</c:v>
                </c:pt>
              </c:strCache>
            </c:strRef>
          </c:tx>
          <c:spPr>
            <a:ln w="25400">
              <a:solidFill>
                <a:srgbClr val="005A96"/>
              </a:solidFill>
              <a:prstDash val="solid"/>
            </a:ln>
          </c:spPr>
          <c:marker>
            <c:symbol val="none"/>
          </c:marker>
          <c:cat>
            <c:numRef>
              <c:f>BB!$A$1:$A$367</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BB!$AK$1:$AK$367</c:f>
              <c:numCache>
                <c:formatCode>0.00</c:formatCode>
                <c:ptCount val="367"/>
                <c:pt idx="0">
                  <c:v>44246.559999999998</c:v>
                </c:pt>
                <c:pt idx="1">
                  <c:v>44684.36</c:v>
                </c:pt>
                <c:pt idx="2">
                  <c:v>44876.42</c:v>
                </c:pt>
                <c:pt idx="3">
                  <c:v>44204.45</c:v>
                </c:pt>
                <c:pt idx="4">
                  <c:v>44204.45</c:v>
                </c:pt>
                <c:pt idx="5">
                  <c:v>44204.45</c:v>
                </c:pt>
                <c:pt idx="6">
                  <c:v>44755.59</c:v>
                </c:pt>
                <c:pt idx="7">
                  <c:v>44610</c:v>
                </c:pt>
                <c:pt idx="8">
                  <c:v>44103.4</c:v>
                </c:pt>
                <c:pt idx="9">
                  <c:v>44250.43</c:v>
                </c:pt>
                <c:pt idx="10">
                  <c:v>43630.22</c:v>
                </c:pt>
                <c:pt idx="11">
                  <c:v>43630.22</c:v>
                </c:pt>
                <c:pt idx="12">
                  <c:v>43630.22</c:v>
                </c:pt>
                <c:pt idx="13">
                  <c:v>43188.94</c:v>
                </c:pt>
                <c:pt idx="14">
                  <c:v>43507.13</c:v>
                </c:pt>
                <c:pt idx="15">
                  <c:v>43077.24</c:v>
                </c:pt>
                <c:pt idx="16">
                  <c:v>43552.04</c:v>
                </c:pt>
                <c:pt idx="17">
                  <c:v>43517.120000000003</c:v>
                </c:pt>
                <c:pt idx="18">
                  <c:v>43517.120000000003</c:v>
                </c:pt>
                <c:pt idx="19">
                  <c:v>43517.120000000003</c:v>
                </c:pt>
                <c:pt idx="20">
                  <c:v>43703.87</c:v>
                </c:pt>
                <c:pt idx="21">
                  <c:v>44101.05</c:v>
                </c:pt>
                <c:pt idx="22">
                  <c:v>44016.29</c:v>
                </c:pt>
                <c:pt idx="23">
                  <c:v>44226.34</c:v>
                </c:pt>
                <c:pt idx="24">
                  <c:v>44045.26</c:v>
                </c:pt>
                <c:pt idx="25">
                  <c:v>44045.26</c:v>
                </c:pt>
                <c:pt idx="26">
                  <c:v>44045.26</c:v>
                </c:pt>
                <c:pt idx="27">
                  <c:v>44215.97</c:v>
                </c:pt>
                <c:pt idx="28">
                  <c:v>44511.16</c:v>
                </c:pt>
                <c:pt idx="29">
                  <c:v>43950.78</c:v>
                </c:pt>
                <c:pt idx="30">
                  <c:v>43676.69</c:v>
                </c:pt>
                <c:pt idx="31">
                  <c:v>43389.33</c:v>
                </c:pt>
                <c:pt idx="32">
                  <c:v>43389.33</c:v>
                </c:pt>
                <c:pt idx="33">
                  <c:v>43389.33</c:v>
                </c:pt>
                <c:pt idx="34">
                  <c:v>43823.57</c:v>
                </c:pt>
                <c:pt idx="35">
                  <c:v>44941.65</c:v>
                </c:pt>
                <c:pt idx="36">
                  <c:v>44416.15</c:v>
                </c:pt>
                <c:pt idx="37">
                  <c:v>44046.559999999998</c:v>
                </c:pt>
                <c:pt idx="38">
                  <c:v>44069.31</c:v>
                </c:pt>
                <c:pt idx="39">
                  <c:v>44069.31</c:v>
                </c:pt>
                <c:pt idx="40">
                  <c:v>44069.31</c:v>
                </c:pt>
                <c:pt idx="41">
                  <c:v>43457.15</c:v>
                </c:pt>
                <c:pt idx="42">
                  <c:v>42945.11</c:v>
                </c:pt>
                <c:pt idx="43">
                  <c:v>43183.45</c:v>
                </c:pt>
                <c:pt idx="44">
                  <c:v>43999.47</c:v>
                </c:pt>
                <c:pt idx="45">
                  <c:v>43790.17</c:v>
                </c:pt>
                <c:pt idx="46">
                  <c:v>43790.17</c:v>
                </c:pt>
                <c:pt idx="47">
                  <c:v>43790.17</c:v>
                </c:pt>
                <c:pt idx="48">
                  <c:v>44710.25</c:v>
                </c:pt>
                <c:pt idx="49">
                  <c:v>44402.33</c:v>
                </c:pt>
                <c:pt idx="50">
                  <c:v>43595.22</c:v>
                </c:pt>
                <c:pt idx="51">
                  <c:v>42932.61</c:v>
                </c:pt>
                <c:pt idx="52">
                  <c:v>43269</c:v>
                </c:pt>
                <c:pt idx="53">
                  <c:v>43269</c:v>
                </c:pt>
                <c:pt idx="54">
                  <c:v>43269</c:v>
                </c:pt>
                <c:pt idx="55">
                  <c:v>43540.36</c:v>
                </c:pt>
                <c:pt idx="56">
                  <c:v>43312.66</c:v>
                </c:pt>
                <c:pt idx="57">
                  <c:v>43579.39</c:v>
                </c:pt>
                <c:pt idx="58">
                  <c:v>43784.89</c:v>
                </c:pt>
                <c:pt idx="59">
                  <c:v>43711.839999999997</c:v>
                </c:pt>
                <c:pt idx="60">
                  <c:v>43711.839999999997</c:v>
                </c:pt>
                <c:pt idx="61">
                  <c:v>43711.839999999997</c:v>
                </c:pt>
                <c:pt idx="62">
                  <c:v>43711.839999999997</c:v>
                </c:pt>
                <c:pt idx="63">
                  <c:v>44268.77</c:v>
                </c:pt>
                <c:pt idx="64">
                  <c:v>43504.47</c:v>
                </c:pt>
                <c:pt idx="65">
                  <c:v>44465.75</c:v>
                </c:pt>
                <c:pt idx="66">
                  <c:v>44042.12</c:v>
                </c:pt>
                <c:pt idx="67">
                  <c:v>44042.12</c:v>
                </c:pt>
                <c:pt idx="68">
                  <c:v>44042.12</c:v>
                </c:pt>
                <c:pt idx="69">
                  <c:v>43851.96</c:v>
                </c:pt>
                <c:pt idx="70">
                  <c:v>43603.02</c:v>
                </c:pt>
                <c:pt idx="71">
                  <c:v>44290.239999999998</c:v>
                </c:pt>
                <c:pt idx="72">
                  <c:v>44168.81</c:v>
                </c:pt>
                <c:pt idx="73">
                  <c:v>44201.25</c:v>
                </c:pt>
                <c:pt idx="74">
                  <c:v>44201.25</c:v>
                </c:pt>
                <c:pt idx="75">
                  <c:v>44201.25</c:v>
                </c:pt>
                <c:pt idx="76">
                  <c:v>44617.73</c:v>
                </c:pt>
                <c:pt idx="77">
                  <c:v>44746.76</c:v>
                </c:pt>
                <c:pt idx="78">
                  <c:v>44326.18</c:v>
                </c:pt>
                <c:pt idx="79">
                  <c:v>44242.93</c:v>
                </c:pt>
                <c:pt idx="80">
                  <c:v>44242.93</c:v>
                </c:pt>
                <c:pt idx="81">
                  <c:v>44242.93</c:v>
                </c:pt>
                <c:pt idx="82">
                  <c:v>44242.93</c:v>
                </c:pt>
                <c:pt idx="83">
                  <c:v>44242.93</c:v>
                </c:pt>
                <c:pt idx="84">
                  <c:v>44357.86</c:v>
                </c:pt>
                <c:pt idx="85">
                  <c:v>44357.64</c:v>
                </c:pt>
                <c:pt idx="86">
                  <c:v>44194.16</c:v>
                </c:pt>
                <c:pt idx="87">
                  <c:v>43775.41</c:v>
                </c:pt>
                <c:pt idx="88">
                  <c:v>43775.41</c:v>
                </c:pt>
                <c:pt idx="89">
                  <c:v>43775.41</c:v>
                </c:pt>
                <c:pt idx="90">
                  <c:v>43267.25</c:v>
                </c:pt>
                <c:pt idx="91">
                  <c:v>42865.63</c:v>
                </c:pt>
                <c:pt idx="92">
                  <c:v>42514.94</c:v>
                </c:pt>
                <c:pt idx="93">
                  <c:v>42626.71</c:v>
                </c:pt>
                <c:pt idx="94">
                  <c:v>42997.61</c:v>
                </c:pt>
                <c:pt idx="95">
                  <c:v>42997.61</c:v>
                </c:pt>
                <c:pt idx="96">
                  <c:v>42997.61</c:v>
                </c:pt>
                <c:pt idx="97">
                  <c:v>42388.09</c:v>
                </c:pt>
                <c:pt idx="98">
                  <c:v>42597.26</c:v>
                </c:pt>
                <c:pt idx="99">
                  <c:v>42753.599999999999</c:v>
                </c:pt>
                <c:pt idx="100">
                  <c:v>42906.48</c:v>
                </c:pt>
                <c:pt idx="101">
                  <c:v>42772.95</c:v>
                </c:pt>
                <c:pt idx="102">
                  <c:v>42772.95</c:v>
                </c:pt>
                <c:pt idx="103">
                  <c:v>42772.95</c:v>
                </c:pt>
                <c:pt idx="104">
                  <c:v>43281.61</c:v>
                </c:pt>
                <c:pt idx="105">
                  <c:v>43357.19</c:v>
                </c:pt>
                <c:pt idx="106">
                  <c:v>43549.43</c:v>
                </c:pt>
                <c:pt idx="107">
                  <c:v>43665.42</c:v>
                </c:pt>
                <c:pt idx="108">
                  <c:v>43183.199999999997</c:v>
                </c:pt>
                <c:pt idx="109">
                  <c:v>43183.199999999997</c:v>
                </c:pt>
                <c:pt idx="110">
                  <c:v>43183.199999999997</c:v>
                </c:pt>
                <c:pt idx="111">
                  <c:v>43093.89</c:v>
                </c:pt>
                <c:pt idx="112">
                  <c:v>44036.18</c:v>
                </c:pt>
                <c:pt idx="113">
                  <c:v>44142.7</c:v>
                </c:pt>
                <c:pt idx="114">
                  <c:v>44472.71</c:v>
                </c:pt>
                <c:pt idx="115">
                  <c:v>44164.37</c:v>
                </c:pt>
                <c:pt idx="116">
                  <c:v>44164.37</c:v>
                </c:pt>
                <c:pt idx="117">
                  <c:v>44164.37</c:v>
                </c:pt>
                <c:pt idx="118">
                  <c:v>44587.59</c:v>
                </c:pt>
                <c:pt idx="119">
                  <c:v>44350.67</c:v>
                </c:pt>
                <c:pt idx="120">
                  <c:v>44160.71</c:v>
                </c:pt>
                <c:pt idx="121">
                  <c:v>44974.080000000002</c:v>
                </c:pt>
                <c:pt idx="122">
                  <c:v>45429.120000000003</c:v>
                </c:pt>
                <c:pt idx="123">
                  <c:v>45429.120000000003</c:v>
                </c:pt>
                <c:pt idx="124">
                  <c:v>45429.120000000003</c:v>
                </c:pt>
                <c:pt idx="125">
                  <c:v>45862.01</c:v>
                </c:pt>
                <c:pt idx="126">
                  <c:v>45891.45</c:v>
                </c:pt>
                <c:pt idx="127">
                  <c:v>45128.56</c:v>
                </c:pt>
                <c:pt idx="128">
                  <c:v>46261.37</c:v>
                </c:pt>
                <c:pt idx="129">
                  <c:v>46396.87</c:v>
                </c:pt>
                <c:pt idx="130">
                  <c:v>46396.87</c:v>
                </c:pt>
                <c:pt idx="131">
                  <c:v>46396.87</c:v>
                </c:pt>
                <c:pt idx="132">
                  <c:v>46396.87</c:v>
                </c:pt>
                <c:pt idx="133">
                  <c:v>45765.15</c:v>
                </c:pt>
                <c:pt idx="134">
                  <c:v>46379.32</c:v>
                </c:pt>
                <c:pt idx="135">
                  <c:v>45802.61</c:v>
                </c:pt>
                <c:pt idx="136">
                  <c:v>46233.29</c:v>
                </c:pt>
                <c:pt idx="137">
                  <c:v>46233.29</c:v>
                </c:pt>
                <c:pt idx="138">
                  <c:v>46233.29</c:v>
                </c:pt>
                <c:pt idx="139">
                  <c:v>46371.02</c:v>
                </c:pt>
                <c:pt idx="140">
                  <c:v>46699.74</c:v>
                </c:pt>
                <c:pt idx="141">
                  <c:v>46736.89</c:v>
                </c:pt>
                <c:pt idx="142">
                  <c:v>47422.77</c:v>
                </c:pt>
                <c:pt idx="143">
                  <c:v>48282.14</c:v>
                </c:pt>
                <c:pt idx="144">
                  <c:v>48282.14</c:v>
                </c:pt>
                <c:pt idx="145">
                  <c:v>48282.14</c:v>
                </c:pt>
                <c:pt idx="146">
                  <c:v>48255.9</c:v>
                </c:pt>
                <c:pt idx="147">
                  <c:v>48546.45</c:v>
                </c:pt>
                <c:pt idx="148">
                  <c:v>48206.559999999998</c:v>
                </c:pt>
                <c:pt idx="149">
                  <c:v>48475.07</c:v>
                </c:pt>
                <c:pt idx="150">
                  <c:v>48845.84</c:v>
                </c:pt>
                <c:pt idx="151">
                  <c:v>48845.84</c:v>
                </c:pt>
                <c:pt idx="152">
                  <c:v>48845.84</c:v>
                </c:pt>
                <c:pt idx="153">
                  <c:v>49015.24</c:v>
                </c:pt>
                <c:pt idx="154">
                  <c:v>49299.48</c:v>
                </c:pt>
                <c:pt idx="155">
                  <c:v>48525.74</c:v>
                </c:pt>
                <c:pt idx="156">
                  <c:v>48795.68</c:v>
                </c:pt>
                <c:pt idx="157">
                  <c:v>48117.72</c:v>
                </c:pt>
                <c:pt idx="158">
                  <c:v>48117.72</c:v>
                </c:pt>
                <c:pt idx="159">
                  <c:v>48117.72</c:v>
                </c:pt>
                <c:pt idx="160">
                  <c:v>48379.62</c:v>
                </c:pt>
                <c:pt idx="161">
                  <c:v>48193.16</c:v>
                </c:pt>
                <c:pt idx="162">
                  <c:v>48624.32</c:v>
                </c:pt>
                <c:pt idx="163">
                  <c:v>48610.400000000001</c:v>
                </c:pt>
                <c:pt idx="164">
                  <c:v>48461.47</c:v>
                </c:pt>
                <c:pt idx="165">
                  <c:v>48461.47</c:v>
                </c:pt>
                <c:pt idx="166">
                  <c:v>48461.47</c:v>
                </c:pt>
                <c:pt idx="167">
                  <c:v>48301.62</c:v>
                </c:pt>
                <c:pt idx="168">
                  <c:v>47759.62</c:v>
                </c:pt>
                <c:pt idx="169">
                  <c:v>47238.09</c:v>
                </c:pt>
                <c:pt idx="170">
                  <c:v>47908.81</c:v>
                </c:pt>
                <c:pt idx="171">
                  <c:v>47520.42</c:v>
                </c:pt>
                <c:pt idx="172">
                  <c:v>47520.42</c:v>
                </c:pt>
                <c:pt idx="173">
                  <c:v>47520.42</c:v>
                </c:pt>
                <c:pt idx="174">
                  <c:v>47423.61</c:v>
                </c:pt>
                <c:pt idx="175">
                  <c:v>47592.47</c:v>
                </c:pt>
                <c:pt idx="176">
                  <c:v>47574.37</c:v>
                </c:pt>
                <c:pt idx="177">
                  <c:v>47452.73</c:v>
                </c:pt>
                <c:pt idx="178">
                  <c:v>48157.57</c:v>
                </c:pt>
                <c:pt idx="179">
                  <c:v>48157.57</c:v>
                </c:pt>
                <c:pt idx="180">
                  <c:v>48157.57</c:v>
                </c:pt>
                <c:pt idx="181">
                  <c:v>47804.26</c:v>
                </c:pt>
                <c:pt idx="182">
                  <c:v>47592.34</c:v>
                </c:pt>
                <c:pt idx="183">
                  <c:v>47184.6</c:v>
                </c:pt>
                <c:pt idx="184">
                  <c:v>47677.82</c:v>
                </c:pt>
                <c:pt idx="185">
                  <c:v>48003.25</c:v>
                </c:pt>
                <c:pt idx="186">
                  <c:v>48003.25</c:v>
                </c:pt>
                <c:pt idx="187">
                  <c:v>48003.25</c:v>
                </c:pt>
                <c:pt idx="188">
                  <c:v>47268.49</c:v>
                </c:pt>
                <c:pt idx="189">
                  <c:v>47622.68</c:v>
                </c:pt>
                <c:pt idx="190">
                  <c:v>47882.559999999998</c:v>
                </c:pt>
                <c:pt idx="191">
                  <c:v>47756.88</c:v>
                </c:pt>
                <c:pt idx="192">
                  <c:v>47491.69</c:v>
                </c:pt>
                <c:pt idx="193">
                  <c:v>47491.69</c:v>
                </c:pt>
                <c:pt idx="194">
                  <c:v>47491.69</c:v>
                </c:pt>
                <c:pt idx="195">
                  <c:v>46952.76</c:v>
                </c:pt>
                <c:pt idx="196">
                  <c:v>47002.77</c:v>
                </c:pt>
                <c:pt idx="197">
                  <c:v>47527.53</c:v>
                </c:pt>
                <c:pt idx="198">
                  <c:v>48286.06</c:v>
                </c:pt>
                <c:pt idx="199">
                  <c:v>48610.95</c:v>
                </c:pt>
                <c:pt idx="200">
                  <c:v>48610.95</c:v>
                </c:pt>
                <c:pt idx="201">
                  <c:v>48610.95</c:v>
                </c:pt>
                <c:pt idx="202">
                  <c:v>49041.18</c:v>
                </c:pt>
                <c:pt idx="203">
                  <c:v>49315.61</c:v>
                </c:pt>
                <c:pt idx="204">
                  <c:v>49745.57</c:v>
                </c:pt>
                <c:pt idx="205">
                  <c:v>49830.28</c:v>
                </c:pt>
                <c:pt idx="206">
                  <c:v>50050.879999999997</c:v>
                </c:pt>
                <c:pt idx="207">
                  <c:v>50050.879999999997</c:v>
                </c:pt>
                <c:pt idx="208">
                  <c:v>50050.879999999997</c:v>
                </c:pt>
                <c:pt idx="209">
                  <c:v>49721.84</c:v>
                </c:pt>
                <c:pt idx="210">
                  <c:v>49849.71</c:v>
                </c:pt>
                <c:pt idx="211">
                  <c:v>50317.1</c:v>
                </c:pt>
                <c:pt idx="212">
                  <c:v>50289.64</c:v>
                </c:pt>
                <c:pt idx="213">
                  <c:v>50378.65</c:v>
                </c:pt>
                <c:pt idx="214">
                  <c:v>50378.65</c:v>
                </c:pt>
                <c:pt idx="215">
                  <c:v>50378.65</c:v>
                </c:pt>
                <c:pt idx="216">
                  <c:v>50183.56</c:v>
                </c:pt>
                <c:pt idx="217">
                  <c:v>51626.62</c:v>
                </c:pt>
                <c:pt idx="218">
                  <c:v>52288.87</c:v>
                </c:pt>
                <c:pt idx="219">
                  <c:v>51696.55</c:v>
                </c:pt>
                <c:pt idx="220">
                  <c:v>51696.55</c:v>
                </c:pt>
                <c:pt idx="221">
                  <c:v>51696.55</c:v>
                </c:pt>
                <c:pt idx="222">
                  <c:v>51696.55</c:v>
                </c:pt>
                <c:pt idx="223">
                  <c:v>52023.19</c:v>
                </c:pt>
                <c:pt idx="224">
                  <c:v>51633.85</c:v>
                </c:pt>
                <c:pt idx="225">
                  <c:v>51093.8</c:v>
                </c:pt>
                <c:pt idx="226">
                  <c:v>50640.51</c:v>
                </c:pt>
                <c:pt idx="227">
                  <c:v>51068.800000000003</c:v>
                </c:pt>
                <c:pt idx="228">
                  <c:v>51068.800000000003</c:v>
                </c:pt>
                <c:pt idx="229">
                  <c:v>51068.800000000003</c:v>
                </c:pt>
                <c:pt idx="230">
                  <c:v>51602.58</c:v>
                </c:pt>
                <c:pt idx="231">
                  <c:v>51969.67</c:v>
                </c:pt>
                <c:pt idx="232">
                  <c:v>51946.96</c:v>
                </c:pt>
                <c:pt idx="233">
                  <c:v>51830.239999999998</c:v>
                </c:pt>
                <c:pt idx="234">
                  <c:v>52255.11</c:v>
                </c:pt>
                <c:pt idx="235">
                  <c:v>52255.11</c:v>
                </c:pt>
                <c:pt idx="236">
                  <c:v>52255.11</c:v>
                </c:pt>
                <c:pt idx="237">
                  <c:v>52743.09</c:v>
                </c:pt>
                <c:pt idx="238">
                  <c:v>52623.96</c:v>
                </c:pt>
                <c:pt idx="239">
                  <c:v>52514.94</c:v>
                </c:pt>
                <c:pt idx="240">
                  <c:v>53015.67</c:v>
                </c:pt>
                <c:pt idx="241">
                  <c:v>52755.68</c:v>
                </c:pt>
                <c:pt idx="242">
                  <c:v>52755.68</c:v>
                </c:pt>
                <c:pt idx="243">
                  <c:v>52755.68</c:v>
                </c:pt>
                <c:pt idx="244">
                  <c:v>52922.720000000001</c:v>
                </c:pt>
                <c:pt idx="245">
                  <c:v>52392.39</c:v>
                </c:pt>
                <c:pt idx="246">
                  <c:v>52317.91</c:v>
                </c:pt>
                <c:pt idx="247">
                  <c:v>52331.31</c:v>
                </c:pt>
                <c:pt idx="248">
                  <c:v>52376.91</c:v>
                </c:pt>
                <c:pt idx="249">
                  <c:v>52376.91</c:v>
                </c:pt>
                <c:pt idx="250">
                  <c:v>52376.91</c:v>
                </c:pt>
                <c:pt idx="251">
                  <c:v>50982.15</c:v>
                </c:pt>
                <c:pt idx="252">
                  <c:v>50815.56</c:v>
                </c:pt>
                <c:pt idx="253">
                  <c:v>51298.14</c:v>
                </c:pt>
                <c:pt idx="254">
                  <c:v>51946.86</c:v>
                </c:pt>
                <c:pt idx="255">
                  <c:v>51453.71</c:v>
                </c:pt>
                <c:pt idx="256">
                  <c:v>51453.71</c:v>
                </c:pt>
                <c:pt idx="257">
                  <c:v>51453.71</c:v>
                </c:pt>
                <c:pt idx="258">
                  <c:v>51365.99</c:v>
                </c:pt>
                <c:pt idx="259">
                  <c:v>51446.2</c:v>
                </c:pt>
                <c:pt idx="260">
                  <c:v>52004.6</c:v>
                </c:pt>
                <c:pt idx="261">
                  <c:v>52854.65</c:v>
                </c:pt>
                <c:pt idx="262">
                  <c:v>53589.8</c:v>
                </c:pt>
                <c:pt idx="263">
                  <c:v>53589.8</c:v>
                </c:pt>
                <c:pt idx="264">
                  <c:v>53589.8</c:v>
                </c:pt>
                <c:pt idx="265">
                  <c:v>53234.94</c:v>
                </c:pt>
                <c:pt idx="266">
                  <c:v>53369.78</c:v>
                </c:pt>
                <c:pt idx="267">
                  <c:v>53305.16</c:v>
                </c:pt>
                <c:pt idx="268">
                  <c:v>53844.59</c:v>
                </c:pt>
                <c:pt idx="269">
                  <c:v>53955.85</c:v>
                </c:pt>
                <c:pt idx="270">
                  <c:v>53955.85</c:v>
                </c:pt>
                <c:pt idx="271">
                  <c:v>53955.85</c:v>
                </c:pt>
                <c:pt idx="272">
                  <c:v>54432.56</c:v>
                </c:pt>
                <c:pt idx="273">
                  <c:v>54648.43</c:v>
                </c:pt>
                <c:pt idx="274">
                  <c:v>54733.73</c:v>
                </c:pt>
                <c:pt idx="275">
                  <c:v>55136</c:v>
                </c:pt>
                <c:pt idx="276">
                  <c:v>54764.34</c:v>
                </c:pt>
                <c:pt idx="277">
                  <c:v>54764.34</c:v>
                </c:pt>
                <c:pt idx="278">
                  <c:v>54764.34</c:v>
                </c:pt>
                <c:pt idx="279">
                  <c:v>54637.919999999998</c:v>
                </c:pt>
                <c:pt idx="280">
                  <c:v>54356.89</c:v>
                </c:pt>
                <c:pt idx="281">
                  <c:v>54393.63</c:v>
                </c:pt>
                <c:pt idx="282">
                  <c:v>55121.35</c:v>
                </c:pt>
                <c:pt idx="283">
                  <c:v>55254.39</c:v>
                </c:pt>
                <c:pt idx="284">
                  <c:v>55254.39</c:v>
                </c:pt>
                <c:pt idx="285">
                  <c:v>55254.39</c:v>
                </c:pt>
                <c:pt idx="286">
                  <c:v>54867.62</c:v>
                </c:pt>
                <c:pt idx="287">
                  <c:v>55191.91</c:v>
                </c:pt>
                <c:pt idx="288">
                  <c:v>54780.65</c:v>
                </c:pt>
                <c:pt idx="289">
                  <c:v>53766.44</c:v>
                </c:pt>
                <c:pt idx="290">
                  <c:v>54197.71</c:v>
                </c:pt>
                <c:pt idx="291">
                  <c:v>54197.71</c:v>
                </c:pt>
                <c:pt idx="292">
                  <c:v>54197.71</c:v>
                </c:pt>
                <c:pt idx="293">
                  <c:v>54197.71</c:v>
                </c:pt>
                <c:pt idx="294">
                  <c:v>54548.9</c:v>
                </c:pt>
                <c:pt idx="295">
                  <c:v>54914.54</c:v>
                </c:pt>
                <c:pt idx="296">
                  <c:v>55925.58</c:v>
                </c:pt>
                <c:pt idx="297">
                  <c:v>55099.88</c:v>
                </c:pt>
                <c:pt idx="298">
                  <c:v>55099.88</c:v>
                </c:pt>
                <c:pt idx="299">
                  <c:v>55099.88</c:v>
                </c:pt>
                <c:pt idx="300">
                  <c:v>54132.14</c:v>
                </c:pt>
                <c:pt idx="301">
                  <c:v>54099.27</c:v>
                </c:pt>
                <c:pt idx="302">
                  <c:v>53389.23</c:v>
                </c:pt>
                <c:pt idx="303">
                  <c:v>53073.34</c:v>
                </c:pt>
                <c:pt idx="304">
                  <c:v>52306.67</c:v>
                </c:pt>
                <c:pt idx="305">
                  <c:v>52306.67</c:v>
                </c:pt>
                <c:pt idx="306">
                  <c:v>52306.67</c:v>
                </c:pt>
                <c:pt idx="307">
                  <c:v>51789.8</c:v>
                </c:pt>
                <c:pt idx="308">
                  <c:v>51818.41</c:v>
                </c:pt>
                <c:pt idx="309">
                  <c:v>51549.36</c:v>
                </c:pt>
                <c:pt idx="310">
                  <c:v>51992.3</c:v>
                </c:pt>
                <c:pt idx="311">
                  <c:v>51472.91</c:v>
                </c:pt>
                <c:pt idx="312">
                  <c:v>51472.91</c:v>
                </c:pt>
                <c:pt idx="313">
                  <c:v>51472.91</c:v>
                </c:pt>
                <c:pt idx="314">
                  <c:v>50483.99</c:v>
                </c:pt>
                <c:pt idx="315">
                  <c:v>51424.26</c:v>
                </c:pt>
                <c:pt idx="316">
                  <c:v>52535.97</c:v>
                </c:pt>
                <c:pt idx="317">
                  <c:v>52364.37</c:v>
                </c:pt>
                <c:pt idx="318">
                  <c:v>50961.25</c:v>
                </c:pt>
                <c:pt idx="319">
                  <c:v>50961.25</c:v>
                </c:pt>
                <c:pt idx="320">
                  <c:v>50961.25</c:v>
                </c:pt>
                <c:pt idx="321">
                  <c:v>51579.66</c:v>
                </c:pt>
                <c:pt idx="322">
                  <c:v>51464.6</c:v>
                </c:pt>
                <c:pt idx="323">
                  <c:v>51860.19</c:v>
                </c:pt>
                <c:pt idx="324">
                  <c:v>51420.71</c:v>
                </c:pt>
                <c:pt idx="325">
                  <c:v>50904.91</c:v>
                </c:pt>
                <c:pt idx="326">
                  <c:v>50904.91</c:v>
                </c:pt>
                <c:pt idx="327">
                  <c:v>50904.91</c:v>
                </c:pt>
                <c:pt idx="328">
                  <c:v>50723.42</c:v>
                </c:pt>
                <c:pt idx="329">
                  <c:v>51268.65</c:v>
                </c:pt>
                <c:pt idx="330">
                  <c:v>51261.63</c:v>
                </c:pt>
                <c:pt idx="331">
                  <c:v>51262.82</c:v>
                </c:pt>
                <c:pt idx="332">
                  <c:v>51076.61</c:v>
                </c:pt>
                <c:pt idx="333">
                  <c:v>51076.61</c:v>
                </c:pt>
                <c:pt idx="334">
                  <c:v>51076.61</c:v>
                </c:pt>
                <c:pt idx="335">
                  <c:v>50581.29</c:v>
                </c:pt>
                <c:pt idx="336">
                  <c:v>50153</c:v>
                </c:pt>
                <c:pt idx="337">
                  <c:v>50131.61</c:v>
                </c:pt>
                <c:pt idx="338">
                  <c:v>50672.47</c:v>
                </c:pt>
                <c:pt idx="339">
                  <c:v>50887.3</c:v>
                </c:pt>
                <c:pt idx="340">
                  <c:v>50887.3</c:v>
                </c:pt>
                <c:pt idx="341">
                  <c:v>50887.3</c:v>
                </c:pt>
                <c:pt idx="342">
                  <c:v>50471.14</c:v>
                </c:pt>
                <c:pt idx="343">
                  <c:v>50571.05</c:v>
                </c:pt>
                <c:pt idx="344">
                  <c:v>49083.56</c:v>
                </c:pt>
                <c:pt idx="345">
                  <c:v>49762.239999999998</c:v>
                </c:pt>
                <c:pt idx="346">
                  <c:v>49762.239999999998</c:v>
                </c:pt>
                <c:pt idx="347">
                  <c:v>49762.239999999998</c:v>
                </c:pt>
                <c:pt idx="348">
                  <c:v>49762.239999999998</c:v>
                </c:pt>
                <c:pt idx="349">
                  <c:v>49654.12</c:v>
                </c:pt>
                <c:pt idx="350">
                  <c:v>49718.15</c:v>
                </c:pt>
                <c:pt idx="351">
                  <c:v>50342.57</c:v>
                </c:pt>
                <c:pt idx="352">
                  <c:v>50720.71</c:v>
                </c:pt>
                <c:pt idx="353">
                  <c:v>50720.71</c:v>
                </c:pt>
                <c:pt idx="354">
                  <c:v>50720.71</c:v>
                </c:pt>
                <c:pt idx="355">
                  <c:v>50720.71</c:v>
                </c:pt>
                <c:pt idx="356">
                  <c:v>51924.62</c:v>
                </c:pt>
                <c:pt idx="357">
                  <c:v>51785.29</c:v>
                </c:pt>
                <c:pt idx="358">
                  <c:v>52097.34</c:v>
                </c:pt>
                <c:pt idx="359">
                  <c:v>51668.959999999999</c:v>
                </c:pt>
                <c:pt idx="360">
                  <c:v>51956.74</c:v>
                </c:pt>
                <c:pt idx="361">
                  <c:v>51956.74</c:v>
                </c:pt>
                <c:pt idx="362">
                  <c:v>51956.74</c:v>
                </c:pt>
                <c:pt idx="363">
                  <c:v>52416.01</c:v>
                </c:pt>
                <c:pt idx="364">
                  <c:v>53599.360000000001</c:v>
                </c:pt>
                <c:pt idx="365">
                  <c:v>54405.84</c:v>
                </c:pt>
                <c:pt idx="366">
                  <c:v>53736.160000000003</c:v>
                </c:pt>
              </c:numCache>
            </c:numRef>
          </c:val>
          <c:smooth val="0"/>
          <c:extLst>
            <c:ext xmlns:c16="http://schemas.microsoft.com/office/drawing/2014/chart" uri="{C3380CC4-5D6E-409C-BE32-E72D297353CC}">
              <c16:uniqueId val="{00000000-CAA1-4D04-A5E8-C23B3197C6D9}"/>
            </c:ext>
          </c:extLst>
        </c:ser>
        <c:ser>
          <c:idx val="1"/>
          <c:order val="1"/>
          <c:tx>
            <c:strRef>
              <c:f>Állandó_ábrák!$B$50</c:f>
              <c:strCache>
                <c:ptCount val="1"/>
                <c:pt idx="0">
                  <c:v>200-napos m.átl.</c:v>
                </c:pt>
              </c:strCache>
            </c:strRef>
          </c:tx>
          <c:spPr>
            <a:ln w="25400">
              <a:solidFill>
                <a:srgbClr val="50B4E1"/>
              </a:solidFill>
              <a:prstDash val="solid"/>
            </a:ln>
          </c:spPr>
          <c:marker>
            <c:symbol val="none"/>
          </c:marker>
          <c:cat>
            <c:numRef>
              <c:f>BB!$A$1:$A$367</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BB!$AL$1:$AL$367</c:f>
              <c:numCache>
                <c:formatCode>0.00</c:formatCode>
                <c:ptCount val="367"/>
                <c:pt idx="0">
                  <c:v>35901.39</c:v>
                </c:pt>
                <c:pt idx="1">
                  <c:v>35961.74</c:v>
                </c:pt>
                <c:pt idx="2">
                  <c:v>36022.67</c:v>
                </c:pt>
                <c:pt idx="3">
                  <c:v>36078.720000000001</c:v>
                </c:pt>
                <c:pt idx="4">
                  <c:v>36078.720000000001</c:v>
                </c:pt>
                <c:pt idx="5">
                  <c:v>36078.720000000001</c:v>
                </c:pt>
                <c:pt idx="6">
                  <c:v>36142.17</c:v>
                </c:pt>
                <c:pt idx="7">
                  <c:v>36205.29</c:v>
                </c:pt>
                <c:pt idx="8">
                  <c:v>36260.14</c:v>
                </c:pt>
                <c:pt idx="9">
                  <c:v>36319.58</c:v>
                </c:pt>
                <c:pt idx="10">
                  <c:v>36374.769999999997</c:v>
                </c:pt>
                <c:pt idx="11">
                  <c:v>36374.769999999997</c:v>
                </c:pt>
                <c:pt idx="12">
                  <c:v>36374.769999999997</c:v>
                </c:pt>
                <c:pt idx="13">
                  <c:v>36429.39</c:v>
                </c:pt>
                <c:pt idx="14">
                  <c:v>36482.629999999997</c:v>
                </c:pt>
                <c:pt idx="15">
                  <c:v>36534.44</c:v>
                </c:pt>
                <c:pt idx="16">
                  <c:v>36587.879999999997</c:v>
                </c:pt>
                <c:pt idx="17">
                  <c:v>36636.65</c:v>
                </c:pt>
                <c:pt idx="18">
                  <c:v>36636.65</c:v>
                </c:pt>
                <c:pt idx="19">
                  <c:v>36636.65</c:v>
                </c:pt>
                <c:pt idx="20">
                  <c:v>36685.93</c:v>
                </c:pt>
                <c:pt idx="21">
                  <c:v>36742.879999999997</c:v>
                </c:pt>
                <c:pt idx="22">
                  <c:v>36801.870000000003</c:v>
                </c:pt>
                <c:pt idx="23">
                  <c:v>36857.14</c:v>
                </c:pt>
                <c:pt idx="24">
                  <c:v>36912.730000000003</c:v>
                </c:pt>
                <c:pt idx="25">
                  <c:v>36912.730000000003</c:v>
                </c:pt>
                <c:pt idx="26">
                  <c:v>36912.730000000003</c:v>
                </c:pt>
                <c:pt idx="27">
                  <c:v>36975.89</c:v>
                </c:pt>
                <c:pt idx="28">
                  <c:v>37036.81</c:v>
                </c:pt>
                <c:pt idx="29">
                  <c:v>37092.53</c:v>
                </c:pt>
                <c:pt idx="30">
                  <c:v>37146.089999999997</c:v>
                </c:pt>
                <c:pt idx="31">
                  <c:v>37197.06</c:v>
                </c:pt>
                <c:pt idx="32">
                  <c:v>37197.06</c:v>
                </c:pt>
                <c:pt idx="33">
                  <c:v>37197.06</c:v>
                </c:pt>
                <c:pt idx="34">
                  <c:v>37247.129999999997</c:v>
                </c:pt>
                <c:pt idx="35">
                  <c:v>37297.769999999997</c:v>
                </c:pt>
                <c:pt idx="36">
                  <c:v>37343.94</c:v>
                </c:pt>
                <c:pt idx="37">
                  <c:v>37391.29</c:v>
                </c:pt>
                <c:pt idx="38">
                  <c:v>37438.620000000003</c:v>
                </c:pt>
                <c:pt idx="39">
                  <c:v>37438.620000000003</c:v>
                </c:pt>
                <c:pt idx="40">
                  <c:v>37438.620000000003</c:v>
                </c:pt>
                <c:pt idx="41">
                  <c:v>37483.120000000003</c:v>
                </c:pt>
                <c:pt idx="42">
                  <c:v>37524.769999999997</c:v>
                </c:pt>
                <c:pt idx="43">
                  <c:v>37566.71</c:v>
                </c:pt>
                <c:pt idx="44">
                  <c:v>37612.17</c:v>
                </c:pt>
                <c:pt idx="45">
                  <c:v>37655.4</c:v>
                </c:pt>
                <c:pt idx="46">
                  <c:v>37655.4</c:v>
                </c:pt>
                <c:pt idx="47">
                  <c:v>37655.4</c:v>
                </c:pt>
                <c:pt idx="48">
                  <c:v>37706.36</c:v>
                </c:pt>
                <c:pt idx="49">
                  <c:v>37757.65</c:v>
                </c:pt>
                <c:pt idx="50">
                  <c:v>37805.39</c:v>
                </c:pt>
                <c:pt idx="51">
                  <c:v>37843.519999999997</c:v>
                </c:pt>
                <c:pt idx="52">
                  <c:v>37882.6</c:v>
                </c:pt>
                <c:pt idx="53">
                  <c:v>37882.6</c:v>
                </c:pt>
                <c:pt idx="54">
                  <c:v>37882.6</c:v>
                </c:pt>
                <c:pt idx="55">
                  <c:v>37922.129999999997</c:v>
                </c:pt>
                <c:pt idx="56">
                  <c:v>37961.22</c:v>
                </c:pt>
                <c:pt idx="57">
                  <c:v>38003.86</c:v>
                </c:pt>
                <c:pt idx="58">
                  <c:v>38046.730000000003</c:v>
                </c:pt>
                <c:pt idx="59">
                  <c:v>38084.86</c:v>
                </c:pt>
                <c:pt idx="60">
                  <c:v>38084.86</c:v>
                </c:pt>
                <c:pt idx="61">
                  <c:v>38084.86</c:v>
                </c:pt>
                <c:pt idx="62">
                  <c:v>38084.86</c:v>
                </c:pt>
                <c:pt idx="63">
                  <c:v>38124.480000000003</c:v>
                </c:pt>
                <c:pt idx="64">
                  <c:v>38160.300000000003</c:v>
                </c:pt>
                <c:pt idx="65">
                  <c:v>38203.25</c:v>
                </c:pt>
                <c:pt idx="66">
                  <c:v>38243.620000000003</c:v>
                </c:pt>
                <c:pt idx="67">
                  <c:v>38243.620000000003</c:v>
                </c:pt>
                <c:pt idx="68">
                  <c:v>38243.620000000003</c:v>
                </c:pt>
                <c:pt idx="69">
                  <c:v>38276.29</c:v>
                </c:pt>
                <c:pt idx="70">
                  <c:v>38308.01</c:v>
                </c:pt>
                <c:pt idx="71">
                  <c:v>38339.53</c:v>
                </c:pt>
                <c:pt idx="72">
                  <c:v>38369.39</c:v>
                </c:pt>
                <c:pt idx="73">
                  <c:v>38400.58</c:v>
                </c:pt>
                <c:pt idx="74">
                  <c:v>38400.58</c:v>
                </c:pt>
                <c:pt idx="75">
                  <c:v>38400.58</c:v>
                </c:pt>
                <c:pt idx="76">
                  <c:v>38436.089999999997</c:v>
                </c:pt>
                <c:pt idx="77">
                  <c:v>38476.629999999997</c:v>
                </c:pt>
                <c:pt idx="78">
                  <c:v>38511.24</c:v>
                </c:pt>
                <c:pt idx="79">
                  <c:v>38545.75</c:v>
                </c:pt>
                <c:pt idx="80">
                  <c:v>38545.75</c:v>
                </c:pt>
                <c:pt idx="81">
                  <c:v>38545.75</c:v>
                </c:pt>
                <c:pt idx="82">
                  <c:v>38545.75</c:v>
                </c:pt>
                <c:pt idx="83">
                  <c:v>38545.75</c:v>
                </c:pt>
                <c:pt idx="84">
                  <c:v>38577.230000000003</c:v>
                </c:pt>
                <c:pt idx="85">
                  <c:v>38610.18</c:v>
                </c:pt>
                <c:pt idx="86">
                  <c:v>38643.72</c:v>
                </c:pt>
                <c:pt idx="87">
                  <c:v>38676.199999999997</c:v>
                </c:pt>
                <c:pt idx="88">
                  <c:v>38676.199999999997</c:v>
                </c:pt>
                <c:pt idx="89">
                  <c:v>38676.199999999997</c:v>
                </c:pt>
                <c:pt idx="90">
                  <c:v>38706.57</c:v>
                </c:pt>
                <c:pt idx="91">
                  <c:v>38732.92</c:v>
                </c:pt>
                <c:pt idx="92">
                  <c:v>38759.49</c:v>
                </c:pt>
                <c:pt idx="93">
                  <c:v>38787.620000000003</c:v>
                </c:pt>
                <c:pt idx="94">
                  <c:v>38820.800000000003</c:v>
                </c:pt>
                <c:pt idx="95">
                  <c:v>38820.800000000003</c:v>
                </c:pt>
                <c:pt idx="96">
                  <c:v>38820.800000000003</c:v>
                </c:pt>
                <c:pt idx="97">
                  <c:v>38850.160000000003</c:v>
                </c:pt>
                <c:pt idx="98">
                  <c:v>38884.050000000003</c:v>
                </c:pt>
                <c:pt idx="99">
                  <c:v>38920.85</c:v>
                </c:pt>
                <c:pt idx="100">
                  <c:v>38954.269999999997</c:v>
                </c:pt>
                <c:pt idx="101">
                  <c:v>38988.480000000003</c:v>
                </c:pt>
                <c:pt idx="102">
                  <c:v>38988.480000000003</c:v>
                </c:pt>
                <c:pt idx="103">
                  <c:v>38988.480000000003</c:v>
                </c:pt>
                <c:pt idx="104">
                  <c:v>39022.44</c:v>
                </c:pt>
                <c:pt idx="105">
                  <c:v>39060.480000000003</c:v>
                </c:pt>
                <c:pt idx="106">
                  <c:v>39098.57</c:v>
                </c:pt>
                <c:pt idx="107">
                  <c:v>39137.99</c:v>
                </c:pt>
                <c:pt idx="108">
                  <c:v>39175.96</c:v>
                </c:pt>
                <c:pt idx="109">
                  <c:v>39175.96</c:v>
                </c:pt>
                <c:pt idx="110">
                  <c:v>39175.96</c:v>
                </c:pt>
                <c:pt idx="111">
                  <c:v>39214.75</c:v>
                </c:pt>
                <c:pt idx="112">
                  <c:v>39259.47</c:v>
                </c:pt>
                <c:pt idx="113">
                  <c:v>39303.33</c:v>
                </c:pt>
                <c:pt idx="114">
                  <c:v>39349.550000000003</c:v>
                </c:pt>
                <c:pt idx="115">
                  <c:v>39394.36</c:v>
                </c:pt>
                <c:pt idx="116">
                  <c:v>39394.36</c:v>
                </c:pt>
                <c:pt idx="117">
                  <c:v>39394.36</c:v>
                </c:pt>
                <c:pt idx="118">
                  <c:v>39441.39</c:v>
                </c:pt>
                <c:pt idx="119">
                  <c:v>39485.71</c:v>
                </c:pt>
                <c:pt idx="120">
                  <c:v>39529.33</c:v>
                </c:pt>
                <c:pt idx="121">
                  <c:v>39576.339999999997</c:v>
                </c:pt>
                <c:pt idx="122">
                  <c:v>39627.949999999997</c:v>
                </c:pt>
                <c:pt idx="123">
                  <c:v>39627.949999999997</c:v>
                </c:pt>
                <c:pt idx="124">
                  <c:v>39627.949999999997</c:v>
                </c:pt>
                <c:pt idx="125">
                  <c:v>39682.36</c:v>
                </c:pt>
                <c:pt idx="126">
                  <c:v>39738.050000000003</c:v>
                </c:pt>
                <c:pt idx="127">
                  <c:v>39789.1</c:v>
                </c:pt>
                <c:pt idx="128">
                  <c:v>39846.42</c:v>
                </c:pt>
                <c:pt idx="129">
                  <c:v>39904.949999999997</c:v>
                </c:pt>
                <c:pt idx="130">
                  <c:v>39904.949999999997</c:v>
                </c:pt>
                <c:pt idx="131">
                  <c:v>39904.949999999997</c:v>
                </c:pt>
                <c:pt idx="132">
                  <c:v>39904.949999999997</c:v>
                </c:pt>
                <c:pt idx="133">
                  <c:v>39960.67</c:v>
                </c:pt>
                <c:pt idx="134">
                  <c:v>40020.53</c:v>
                </c:pt>
                <c:pt idx="135">
                  <c:v>40074.03</c:v>
                </c:pt>
                <c:pt idx="136">
                  <c:v>40128.06</c:v>
                </c:pt>
                <c:pt idx="137">
                  <c:v>40128.06</c:v>
                </c:pt>
                <c:pt idx="138">
                  <c:v>40128.06</c:v>
                </c:pt>
                <c:pt idx="139">
                  <c:v>40180.15</c:v>
                </c:pt>
                <c:pt idx="140">
                  <c:v>40232.14</c:v>
                </c:pt>
                <c:pt idx="141">
                  <c:v>40284</c:v>
                </c:pt>
                <c:pt idx="142">
                  <c:v>40337.19</c:v>
                </c:pt>
                <c:pt idx="143">
                  <c:v>40394.81</c:v>
                </c:pt>
                <c:pt idx="144">
                  <c:v>40394.81</c:v>
                </c:pt>
                <c:pt idx="145">
                  <c:v>40394.81</c:v>
                </c:pt>
                <c:pt idx="146">
                  <c:v>40453.14</c:v>
                </c:pt>
                <c:pt idx="147">
                  <c:v>40513.199999999997</c:v>
                </c:pt>
                <c:pt idx="148">
                  <c:v>40573.33</c:v>
                </c:pt>
                <c:pt idx="149">
                  <c:v>40635.49</c:v>
                </c:pt>
                <c:pt idx="150">
                  <c:v>40699.74</c:v>
                </c:pt>
                <c:pt idx="151">
                  <c:v>40699.74</c:v>
                </c:pt>
                <c:pt idx="152">
                  <c:v>40699.74</c:v>
                </c:pt>
                <c:pt idx="153">
                  <c:v>40766.85</c:v>
                </c:pt>
                <c:pt idx="154">
                  <c:v>40833.769999999997</c:v>
                </c:pt>
                <c:pt idx="155">
                  <c:v>40899.040000000001</c:v>
                </c:pt>
                <c:pt idx="156">
                  <c:v>40968.81</c:v>
                </c:pt>
                <c:pt idx="157">
                  <c:v>41035.14</c:v>
                </c:pt>
                <c:pt idx="158">
                  <c:v>41035.14</c:v>
                </c:pt>
                <c:pt idx="159">
                  <c:v>41035.14</c:v>
                </c:pt>
                <c:pt idx="160">
                  <c:v>41104.54</c:v>
                </c:pt>
                <c:pt idx="161">
                  <c:v>41173.39</c:v>
                </c:pt>
                <c:pt idx="162">
                  <c:v>41242.620000000003</c:v>
                </c:pt>
                <c:pt idx="163">
                  <c:v>41311.49</c:v>
                </c:pt>
                <c:pt idx="164">
                  <c:v>41378.550000000003</c:v>
                </c:pt>
                <c:pt idx="165">
                  <c:v>41378.550000000003</c:v>
                </c:pt>
                <c:pt idx="166">
                  <c:v>41378.550000000003</c:v>
                </c:pt>
                <c:pt idx="167">
                  <c:v>41444.870000000003</c:v>
                </c:pt>
                <c:pt idx="168">
                  <c:v>41507.96</c:v>
                </c:pt>
                <c:pt idx="169">
                  <c:v>41569.86</c:v>
                </c:pt>
                <c:pt idx="170">
                  <c:v>41635.21</c:v>
                </c:pt>
                <c:pt idx="171">
                  <c:v>41697.79</c:v>
                </c:pt>
                <c:pt idx="172">
                  <c:v>41697.79</c:v>
                </c:pt>
                <c:pt idx="173">
                  <c:v>41697.79</c:v>
                </c:pt>
                <c:pt idx="174">
                  <c:v>41763.67</c:v>
                </c:pt>
                <c:pt idx="175">
                  <c:v>41830.89</c:v>
                </c:pt>
                <c:pt idx="176">
                  <c:v>41899.33</c:v>
                </c:pt>
                <c:pt idx="177">
                  <c:v>41968.639999999999</c:v>
                </c:pt>
                <c:pt idx="178">
                  <c:v>42048.31</c:v>
                </c:pt>
                <c:pt idx="179">
                  <c:v>42048.31</c:v>
                </c:pt>
                <c:pt idx="180">
                  <c:v>42048.31</c:v>
                </c:pt>
                <c:pt idx="181">
                  <c:v>42125.85</c:v>
                </c:pt>
                <c:pt idx="182">
                  <c:v>42201.23</c:v>
                </c:pt>
                <c:pt idx="183">
                  <c:v>42277.66</c:v>
                </c:pt>
                <c:pt idx="184">
                  <c:v>42356.39</c:v>
                </c:pt>
                <c:pt idx="185">
                  <c:v>42430.65</c:v>
                </c:pt>
                <c:pt idx="186">
                  <c:v>42430.65</c:v>
                </c:pt>
                <c:pt idx="187">
                  <c:v>42430.65</c:v>
                </c:pt>
                <c:pt idx="188">
                  <c:v>42503.61</c:v>
                </c:pt>
                <c:pt idx="189">
                  <c:v>42577.1</c:v>
                </c:pt>
                <c:pt idx="190">
                  <c:v>42648.23</c:v>
                </c:pt>
                <c:pt idx="191">
                  <c:v>42719.76</c:v>
                </c:pt>
                <c:pt idx="192">
                  <c:v>42789.88</c:v>
                </c:pt>
                <c:pt idx="193">
                  <c:v>42789.88</c:v>
                </c:pt>
                <c:pt idx="194">
                  <c:v>42789.88</c:v>
                </c:pt>
                <c:pt idx="195">
                  <c:v>42856.38</c:v>
                </c:pt>
                <c:pt idx="196">
                  <c:v>42923.59</c:v>
                </c:pt>
                <c:pt idx="197">
                  <c:v>42992.74</c:v>
                </c:pt>
                <c:pt idx="198">
                  <c:v>43065.87</c:v>
                </c:pt>
                <c:pt idx="199">
                  <c:v>43143.44</c:v>
                </c:pt>
                <c:pt idx="200">
                  <c:v>43143.44</c:v>
                </c:pt>
                <c:pt idx="201">
                  <c:v>43143.44</c:v>
                </c:pt>
                <c:pt idx="202">
                  <c:v>43222.03</c:v>
                </c:pt>
                <c:pt idx="203">
                  <c:v>43301.13</c:v>
                </c:pt>
                <c:pt idx="204">
                  <c:v>43384.55</c:v>
                </c:pt>
                <c:pt idx="205">
                  <c:v>43467.57</c:v>
                </c:pt>
                <c:pt idx="206">
                  <c:v>43549.84</c:v>
                </c:pt>
                <c:pt idx="207">
                  <c:v>43549.84</c:v>
                </c:pt>
                <c:pt idx="208">
                  <c:v>43549.84</c:v>
                </c:pt>
                <c:pt idx="209">
                  <c:v>43629.95</c:v>
                </c:pt>
                <c:pt idx="210">
                  <c:v>43710.71</c:v>
                </c:pt>
                <c:pt idx="211">
                  <c:v>43794.02</c:v>
                </c:pt>
                <c:pt idx="212">
                  <c:v>43880.41</c:v>
                </c:pt>
                <c:pt idx="213">
                  <c:v>43967.34</c:v>
                </c:pt>
                <c:pt idx="214">
                  <c:v>43967.34</c:v>
                </c:pt>
                <c:pt idx="215">
                  <c:v>43967.34</c:v>
                </c:pt>
                <c:pt idx="216">
                  <c:v>44057.72</c:v>
                </c:pt>
                <c:pt idx="217">
                  <c:v>44155.62</c:v>
                </c:pt>
                <c:pt idx="218">
                  <c:v>44255.67</c:v>
                </c:pt>
                <c:pt idx="219">
                  <c:v>44348.76</c:v>
                </c:pt>
                <c:pt idx="220">
                  <c:v>44348.76</c:v>
                </c:pt>
                <c:pt idx="221">
                  <c:v>44348.76</c:v>
                </c:pt>
                <c:pt idx="222">
                  <c:v>44348.76</c:v>
                </c:pt>
                <c:pt idx="223">
                  <c:v>44439.7</c:v>
                </c:pt>
                <c:pt idx="224">
                  <c:v>44524</c:v>
                </c:pt>
                <c:pt idx="225">
                  <c:v>44603.14</c:v>
                </c:pt>
                <c:pt idx="226">
                  <c:v>44679.39</c:v>
                </c:pt>
                <c:pt idx="227">
                  <c:v>44752.12</c:v>
                </c:pt>
                <c:pt idx="228">
                  <c:v>44752.12</c:v>
                </c:pt>
                <c:pt idx="229">
                  <c:v>44752.12</c:v>
                </c:pt>
                <c:pt idx="230">
                  <c:v>44823.3</c:v>
                </c:pt>
                <c:pt idx="231">
                  <c:v>44892.92</c:v>
                </c:pt>
                <c:pt idx="232">
                  <c:v>44964.09</c:v>
                </c:pt>
                <c:pt idx="233">
                  <c:v>45036.56</c:v>
                </c:pt>
                <c:pt idx="234">
                  <c:v>45110.77</c:v>
                </c:pt>
                <c:pt idx="235">
                  <c:v>45110.77</c:v>
                </c:pt>
                <c:pt idx="236">
                  <c:v>45110.77</c:v>
                </c:pt>
                <c:pt idx="237">
                  <c:v>45187.13</c:v>
                </c:pt>
                <c:pt idx="238">
                  <c:v>45258.44</c:v>
                </c:pt>
                <c:pt idx="239">
                  <c:v>45330.2</c:v>
                </c:pt>
                <c:pt idx="240">
                  <c:v>45404.25</c:v>
                </c:pt>
                <c:pt idx="241">
                  <c:v>45476.43</c:v>
                </c:pt>
                <c:pt idx="242">
                  <c:v>45476.43</c:v>
                </c:pt>
                <c:pt idx="243">
                  <c:v>45476.43</c:v>
                </c:pt>
                <c:pt idx="244">
                  <c:v>45545.82</c:v>
                </c:pt>
                <c:pt idx="245">
                  <c:v>45612.6</c:v>
                </c:pt>
                <c:pt idx="246">
                  <c:v>45679.07</c:v>
                </c:pt>
                <c:pt idx="247">
                  <c:v>45744.19</c:v>
                </c:pt>
                <c:pt idx="248">
                  <c:v>45812.160000000003</c:v>
                </c:pt>
                <c:pt idx="249">
                  <c:v>45812.160000000003</c:v>
                </c:pt>
                <c:pt idx="250">
                  <c:v>45812.160000000003</c:v>
                </c:pt>
                <c:pt idx="251">
                  <c:v>45873.31</c:v>
                </c:pt>
                <c:pt idx="252">
                  <c:v>45931.43</c:v>
                </c:pt>
                <c:pt idx="253">
                  <c:v>45994.400000000001</c:v>
                </c:pt>
                <c:pt idx="254">
                  <c:v>46057.99</c:v>
                </c:pt>
                <c:pt idx="255">
                  <c:v>46119.27</c:v>
                </c:pt>
                <c:pt idx="256">
                  <c:v>46119.27</c:v>
                </c:pt>
                <c:pt idx="257">
                  <c:v>46119.27</c:v>
                </c:pt>
                <c:pt idx="258">
                  <c:v>46177.82</c:v>
                </c:pt>
                <c:pt idx="259">
                  <c:v>46231.67</c:v>
                </c:pt>
                <c:pt idx="260">
                  <c:v>46286.18</c:v>
                </c:pt>
                <c:pt idx="261">
                  <c:v>46344.13</c:v>
                </c:pt>
                <c:pt idx="262">
                  <c:v>46402.239999999998</c:v>
                </c:pt>
                <c:pt idx="263">
                  <c:v>46402.239999999998</c:v>
                </c:pt>
                <c:pt idx="264">
                  <c:v>46402.239999999998</c:v>
                </c:pt>
                <c:pt idx="265">
                  <c:v>46458.95</c:v>
                </c:pt>
                <c:pt idx="266">
                  <c:v>46516.24</c:v>
                </c:pt>
                <c:pt idx="267">
                  <c:v>46572.33</c:v>
                </c:pt>
                <c:pt idx="268">
                  <c:v>46633.48</c:v>
                </c:pt>
                <c:pt idx="269">
                  <c:v>46700.84</c:v>
                </c:pt>
                <c:pt idx="270">
                  <c:v>46700.84</c:v>
                </c:pt>
                <c:pt idx="271">
                  <c:v>46700.84</c:v>
                </c:pt>
                <c:pt idx="272">
                  <c:v>46767.75</c:v>
                </c:pt>
                <c:pt idx="273">
                  <c:v>46835.01</c:v>
                </c:pt>
                <c:pt idx="274">
                  <c:v>46901.04</c:v>
                </c:pt>
                <c:pt idx="275">
                  <c:v>46968.05</c:v>
                </c:pt>
                <c:pt idx="276">
                  <c:v>47031.63</c:v>
                </c:pt>
                <c:pt idx="277">
                  <c:v>47031.63</c:v>
                </c:pt>
                <c:pt idx="278">
                  <c:v>47031.63</c:v>
                </c:pt>
                <c:pt idx="279">
                  <c:v>47093.16</c:v>
                </c:pt>
                <c:pt idx="280">
                  <c:v>47152.77</c:v>
                </c:pt>
                <c:pt idx="281">
                  <c:v>47209.31</c:v>
                </c:pt>
                <c:pt idx="282">
                  <c:v>47265.42</c:v>
                </c:pt>
                <c:pt idx="283">
                  <c:v>47319.72</c:v>
                </c:pt>
                <c:pt idx="284">
                  <c:v>47319.72</c:v>
                </c:pt>
                <c:pt idx="285">
                  <c:v>47319.72</c:v>
                </c:pt>
                <c:pt idx="286">
                  <c:v>47370.48</c:v>
                </c:pt>
                <c:pt idx="287">
                  <c:v>47425.21</c:v>
                </c:pt>
                <c:pt idx="288">
                  <c:v>47475.69</c:v>
                </c:pt>
                <c:pt idx="289">
                  <c:v>47520.14</c:v>
                </c:pt>
                <c:pt idx="290">
                  <c:v>47570.11</c:v>
                </c:pt>
                <c:pt idx="291">
                  <c:v>47570.11</c:v>
                </c:pt>
                <c:pt idx="292">
                  <c:v>47570.11</c:v>
                </c:pt>
                <c:pt idx="293">
                  <c:v>47570.11</c:v>
                </c:pt>
                <c:pt idx="294">
                  <c:v>47619.07</c:v>
                </c:pt>
                <c:pt idx="295">
                  <c:v>47670.59</c:v>
                </c:pt>
                <c:pt idx="296">
                  <c:v>47729.71</c:v>
                </c:pt>
                <c:pt idx="297">
                  <c:v>47783.95</c:v>
                </c:pt>
                <c:pt idx="298">
                  <c:v>47783.95</c:v>
                </c:pt>
                <c:pt idx="299">
                  <c:v>47783.95</c:v>
                </c:pt>
                <c:pt idx="300">
                  <c:v>47836.46</c:v>
                </c:pt>
                <c:pt idx="301">
                  <c:v>47891.01</c:v>
                </c:pt>
                <c:pt idx="302">
                  <c:v>47940.42</c:v>
                </c:pt>
                <c:pt idx="303">
                  <c:v>47990.41</c:v>
                </c:pt>
                <c:pt idx="304">
                  <c:v>48034.18</c:v>
                </c:pt>
                <c:pt idx="305">
                  <c:v>48034.18</c:v>
                </c:pt>
                <c:pt idx="306">
                  <c:v>48034.18</c:v>
                </c:pt>
                <c:pt idx="307">
                  <c:v>48075.54</c:v>
                </c:pt>
                <c:pt idx="308">
                  <c:v>48116.11</c:v>
                </c:pt>
                <c:pt idx="309">
                  <c:v>48153.36</c:v>
                </c:pt>
                <c:pt idx="310">
                  <c:v>48193.24</c:v>
                </c:pt>
                <c:pt idx="311">
                  <c:v>48229.47</c:v>
                </c:pt>
                <c:pt idx="312">
                  <c:v>48229.47</c:v>
                </c:pt>
                <c:pt idx="313">
                  <c:v>48229.47</c:v>
                </c:pt>
                <c:pt idx="314">
                  <c:v>48261.66</c:v>
                </c:pt>
                <c:pt idx="315">
                  <c:v>48297.7</c:v>
                </c:pt>
                <c:pt idx="316">
                  <c:v>48337.83</c:v>
                </c:pt>
                <c:pt idx="317">
                  <c:v>48379.9</c:v>
                </c:pt>
                <c:pt idx="318">
                  <c:v>48416.32</c:v>
                </c:pt>
                <c:pt idx="319">
                  <c:v>48416.32</c:v>
                </c:pt>
                <c:pt idx="320">
                  <c:v>48416.32</c:v>
                </c:pt>
                <c:pt idx="321">
                  <c:v>48457.27</c:v>
                </c:pt>
                <c:pt idx="322">
                  <c:v>48495.48</c:v>
                </c:pt>
                <c:pt idx="323">
                  <c:v>48530.07</c:v>
                </c:pt>
                <c:pt idx="324">
                  <c:v>48565.09</c:v>
                </c:pt>
                <c:pt idx="325">
                  <c:v>48599.38</c:v>
                </c:pt>
                <c:pt idx="326">
                  <c:v>48599.38</c:v>
                </c:pt>
                <c:pt idx="327">
                  <c:v>48599.38</c:v>
                </c:pt>
                <c:pt idx="328">
                  <c:v>48632.65</c:v>
                </c:pt>
                <c:pt idx="329">
                  <c:v>48671.71</c:v>
                </c:pt>
                <c:pt idx="330">
                  <c:v>48713.29</c:v>
                </c:pt>
                <c:pt idx="331">
                  <c:v>48753.69</c:v>
                </c:pt>
                <c:pt idx="332">
                  <c:v>48789.08</c:v>
                </c:pt>
                <c:pt idx="333">
                  <c:v>48789.08</c:v>
                </c:pt>
                <c:pt idx="334">
                  <c:v>48789.08</c:v>
                </c:pt>
                <c:pt idx="335">
                  <c:v>48823.03</c:v>
                </c:pt>
                <c:pt idx="336">
                  <c:v>48850.25</c:v>
                </c:pt>
                <c:pt idx="337">
                  <c:v>48878.89</c:v>
                </c:pt>
                <c:pt idx="338">
                  <c:v>48914.28</c:v>
                </c:pt>
                <c:pt idx="339">
                  <c:v>48954.05</c:v>
                </c:pt>
                <c:pt idx="340">
                  <c:v>48954.05</c:v>
                </c:pt>
                <c:pt idx="341">
                  <c:v>48954.05</c:v>
                </c:pt>
                <c:pt idx="342">
                  <c:v>48990.06</c:v>
                </c:pt>
                <c:pt idx="343">
                  <c:v>49025.22</c:v>
                </c:pt>
                <c:pt idx="344">
                  <c:v>49054.07</c:v>
                </c:pt>
                <c:pt idx="345">
                  <c:v>49084.98</c:v>
                </c:pt>
                <c:pt idx="346">
                  <c:v>49084.98</c:v>
                </c:pt>
                <c:pt idx="347">
                  <c:v>49084.98</c:v>
                </c:pt>
                <c:pt idx="348">
                  <c:v>49084.98</c:v>
                </c:pt>
                <c:pt idx="349">
                  <c:v>49114.33</c:v>
                </c:pt>
                <c:pt idx="350">
                  <c:v>49144.36</c:v>
                </c:pt>
                <c:pt idx="351">
                  <c:v>49174.73</c:v>
                </c:pt>
                <c:pt idx="352">
                  <c:v>49210.81</c:v>
                </c:pt>
                <c:pt idx="353">
                  <c:v>49210.81</c:v>
                </c:pt>
                <c:pt idx="354">
                  <c:v>49210.81</c:v>
                </c:pt>
                <c:pt idx="355">
                  <c:v>49210.81</c:v>
                </c:pt>
                <c:pt idx="356">
                  <c:v>49248.11</c:v>
                </c:pt>
                <c:pt idx="357">
                  <c:v>49286.82</c:v>
                </c:pt>
                <c:pt idx="358">
                  <c:v>49328.05</c:v>
                </c:pt>
                <c:pt idx="359">
                  <c:v>49368.38</c:v>
                </c:pt>
                <c:pt idx="360">
                  <c:v>49406.71</c:v>
                </c:pt>
                <c:pt idx="361">
                  <c:v>49406.71</c:v>
                </c:pt>
                <c:pt idx="362">
                  <c:v>49406.71</c:v>
                </c:pt>
                <c:pt idx="363">
                  <c:v>49447.95</c:v>
                </c:pt>
                <c:pt idx="364">
                  <c:v>49494.94</c:v>
                </c:pt>
                <c:pt idx="365">
                  <c:v>49543.88</c:v>
                </c:pt>
                <c:pt idx="366">
                  <c:v>49588.83</c:v>
                </c:pt>
              </c:numCache>
            </c:numRef>
          </c:val>
          <c:smooth val="0"/>
          <c:extLst>
            <c:ext xmlns:c16="http://schemas.microsoft.com/office/drawing/2014/chart" uri="{C3380CC4-5D6E-409C-BE32-E72D297353CC}">
              <c16:uniqueId val="{00000001-CAA1-4D04-A5E8-C23B3197C6D9}"/>
            </c:ext>
          </c:extLst>
        </c:ser>
        <c:dLbls>
          <c:showLegendKey val="0"/>
          <c:showVal val="0"/>
          <c:showCatName val="0"/>
          <c:showSerName val="0"/>
          <c:showPercent val="0"/>
          <c:showBubbleSize val="0"/>
        </c:dLbls>
        <c:smooth val="0"/>
        <c:axId val="105965440"/>
        <c:axId val="105966976"/>
      </c:lineChart>
      <c:dateAx>
        <c:axId val="105965440"/>
        <c:scaling>
          <c:orientation val="minMax"/>
        </c:scaling>
        <c:delete val="0"/>
        <c:axPos val="b"/>
        <c:numFmt formatCode="yy\.mmm" sourceLinked="0"/>
        <c:majorTickMark val="none"/>
        <c:minorTickMark val="none"/>
        <c:tickLblPos val="low"/>
        <c:spPr>
          <a:ln w="3175">
            <a:noFill/>
            <a:prstDash val="solid"/>
          </a:ln>
        </c:spPr>
        <c:txPr>
          <a:bodyPr rot="0" vert="horz"/>
          <a:lstStyle/>
          <a:p>
            <a:pPr>
              <a:defRPr sz="700" b="0" i="0" u="none" strike="noStrike" baseline="0">
                <a:solidFill>
                  <a:srgbClr val="000000"/>
                </a:solidFill>
                <a:latin typeface="Calibri"/>
                <a:ea typeface="Calibri"/>
                <a:cs typeface="Calibri"/>
              </a:defRPr>
            </a:pPr>
            <a:endParaRPr lang="hu-HU"/>
          </a:p>
        </c:txPr>
        <c:crossAx val="105966976"/>
        <c:crosses val="autoZero"/>
        <c:auto val="1"/>
        <c:lblOffset val="100"/>
        <c:baseTimeUnit val="days"/>
        <c:majorUnit val="2"/>
        <c:majorTimeUnit val="months"/>
        <c:minorUnit val="1"/>
        <c:minorTimeUnit val="months"/>
      </c:dateAx>
      <c:valAx>
        <c:axId val="105966976"/>
        <c:scaling>
          <c:orientation val="minMax"/>
          <c:max val="56000"/>
          <c:min val="38000"/>
        </c:scaling>
        <c:delete val="0"/>
        <c:axPos val="l"/>
        <c:majorGridlines>
          <c:spPr>
            <a:ln w="3175">
              <a:solidFill>
                <a:srgbClr val="C0C0C0"/>
              </a:solidFill>
              <a:prstDash val="solid"/>
            </a:ln>
          </c:spPr>
        </c:majorGridlines>
        <c:numFmt formatCode="0" sourceLinked="0"/>
        <c:majorTickMark val="none"/>
        <c:minorTickMark val="none"/>
        <c:tickLblPos val="low"/>
        <c:spPr>
          <a:ln w="3175">
            <a:noFill/>
            <a:prstDash val="solid"/>
          </a:ln>
        </c:spPr>
        <c:txPr>
          <a:bodyPr rot="0" vert="horz"/>
          <a:lstStyle/>
          <a:p>
            <a:pPr>
              <a:defRPr sz="700" b="0" i="0" u="none" strike="noStrike" baseline="0">
                <a:solidFill>
                  <a:srgbClr val="000000"/>
                </a:solidFill>
                <a:latin typeface="Calibri"/>
                <a:ea typeface="Calibri"/>
                <a:cs typeface="Calibri"/>
              </a:defRPr>
            </a:pPr>
            <a:endParaRPr lang="hu-HU"/>
          </a:p>
        </c:txPr>
        <c:crossAx val="105965440"/>
        <c:crosses val="autoZero"/>
        <c:crossBetween val="between"/>
        <c:majorUnit val="2000"/>
      </c:valAx>
      <c:spPr>
        <a:solidFill>
          <a:srgbClr val="FFFFFF"/>
        </a:solidFill>
        <a:ln w="25400">
          <a:noFill/>
        </a:ln>
      </c:spPr>
    </c:plotArea>
    <c:legend>
      <c:legendPos val="r"/>
      <c:layout>
        <c:manualLayout>
          <c:xMode val="edge"/>
          <c:yMode val="edge"/>
          <c:x val="0.18432060185185184"/>
          <c:y val="7.1189613526570052E-3"/>
          <c:w val="0.6110868055555555"/>
          <c:h val="4.4813405797101448E-2"/>
        </c:manualLayout>
      </c:layout>
      <c:overlay val="0"/>
      <c:spPr>
        <a:noFill/>
        <a:ln w="25400">
          <a:noFill/>
        </a:ln>
      </c:spPr>
      <c:txPr>
        <a:bodyPr/>
        <a:lstStyle/>
        <a:p>
          <a:pPr>
            <a:defRPr sz="700" b="0" i="0" u="none" strike="noStrike" baseline="0">
              <a:solidFill>
                <a:srgbClr val="000000"/>
              </a:solidFill>
              <a:latin typeface="Calibri"/>
              <a:ea typeface="Calibri"/>
              <a:cs typeface="Calibri"/>
            </a:defRPr>
          </a:pPr>
          <a:endParaRPr lang="hu-HU"/>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Calibri"/>
          <a:ea typeface="Calibri"/>
          <a:cs typeface="Calibri"/>
        </a:defRPr>
      </a:pPr>
      <a:endParaRPr lang="hu-H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08491969829134"/>
          <c:y val="6.8421228467384007E-2"/>
          <c:w val="0.80643287037037048"/>
          <c:h val="0.79473888450576813"/>
        </c:manualLayout>
      </c:layout>
      <c:lineChart>
        <c:grouping val="standard"/>
        <c:varyColors val="0"/>
        <c:ser>
          <c:idx val="0"/>
          <c:order val="0"/>
          <c:tx>
            <c:strRef>
              <c:f>Állandó_ábrák!$B$49</c:f>
              <c:strCache>
                <c:ptCount val="1"/>
                <c:pt idx="0">
                  <c:v>szpot</c:v>
                </c:pt>
              </c:strCache>
            </c:strRef>
          </c:tx>
          <c:spPr>
            <a:ln w="25400">
              <a:solidFill>
                <a:srgbClr val="005A96"/>
              </a:solidFill>
              <a:prstDash val="solid"/>
            </a:ln>
          </c:spPr>
          <c:marker>
            <c:symbol val="none"/>
          </c:marker>
          <c:cat>
            <c:numRef>
              <c:f>BB!$A$1:$A$367</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BB!$AP$1:$AP$367</c:f>
              <c:numCache>
                <c:formatCode>0.00</c:formatCode>
                <c:ptCount val="367"/>
                <c:pt idx="0">
                  <c:v>23.33</c:v>
                </c:pt>
                <c:pt idx="1">
                  <c:v>22.21</c:v>
                </c:pt>
                <c:pt idx="2">
                  <c:v>23.25</c:v>
                </c:pt>
                <c:pt idx="3">
                  <c:v>24.34</c:v>
                </c:pt>
                <c:pt idx="4">
                  <c:v>24.34</c:v>
                </c:pt>
                <c:pt idx="5">
                  <c:v>24.34</c:v>
                </c:pt>
                <c:pt idx="6">
                  <c:v>24.34</c:v>
                </c:pt>
                <c:pt idx="7">
                  <c:v>23.24</c:v>
                </c:pt>
                <c:pt idx="8">
                  <c:v>21.58</c:v>
                </c:pt>
                <c:pt idx="9">
                  <c:v>21.32</c:v>
                </c:pt>
                <c:pt idx="10">
                  <c:v>21.91</c:v>
                </c:pt>
                <c:pt idx="11">
                  <c:v>21.91</c:v>
                </c:pt>
                <c:pt idx="12">
                  <c:v>21.91</c:v>
                </c:pt>
                <c:pt idx="13">
                  <c:v>23.19</c:v>
                </c:pt>
                <c:pt idx="14">
                  <c:v>23.02</c:v>
                </c:pt>
                <c:pt idx="15">
                  <c:v>37.21</c:v>
                </c:pt>
                <c:pt idx="16">
                  <c:v>30.21</c:v>
                </c:pt>
                <c:pt idx="17">
                  <c:v>33.090000000000003</c:v>
                </c:pt>
                <c:pt idx="18">
                  <c:v>33.090000000000003</c:v>
                </c:pt>
                <c:pt idx="19">
                  <c:v>33.090000000000003</c:v>
                </c:pt>
                <c:pt idx="20">
                  <c:v>30.24</c:v>
                </c:pt>
                <c:pt idx="21">
                  <c:v>25.56</c:v>
                </c:pt>
                <c:pt idx="22">
                  <c:v>22.91</c:v>
                </c:pt>
                <c:pt idx="23">
                  <c:v>21.77</c:v>
                </c:pt>
                <c:pt idx="24">
                  <c:v>20.87</c:v>
                </c:pt>
                <c:pt idx="25">
                  <c:v>20.87</c:v>
                </c:pt>
                <c:pt idx="26">
                  <c:v>20.87</c:v>
                </c:pt>
                <c:pt idx="27">
                  <c:v>21.24</c:v>
                </c:pt>
                <c:pt idx="28">
                  <c:v>21.63</c:v>
                </c:pt>
                <c:pt idx="29">
                  <c:v>21.99</c:v>
                </c:pt>
                <c:pt idx="30">
                  <c:v>21.25</c:v>
                </c:pt>
                <c:pt idx="31">
                  <c:v>19.97</c:v>
                </c:pt>
                <c:pt idx="32">
                  <c:v>19.97</c:v>
                </c:pt>
                <c:pt idx="33">
                  <c:v>19.97</c:v>
                </c:pt>
                <c:pt idx="34">
                  <c:v>19.97</c:v>
                </c:pt>
                <c:pt idx="35">
                  <c:v>21.46</c:v>
                </c:pt>
                <c:pt idx="36">
                  <c:v>21.5</c:v>
                </c:pt>
                <c:pt idx="37">
                  <c:v>22.49</c:v>
                </c:pt>
                <c:pt idx="38">
                  <c:v>22.05</c:v>
                </c:pt>
                <c:pt idx="39">
                  <c:v>22.05</c:v>
                </c:pt>
                <c:pt idx="40">
                  <c:v>22.05</c:v>
                </c:pt>
                <c:pt idx="41">
                  <c:v>23.45</c:v>
                </c:pt>
                <c:pt idx="42">
                  <c:v>23.11</c:v>
                </c:pt>
                <c:pt idx="43">
                  <c:v>21.34</c:v>
                </c:pt>
                <c:pt idx="44">
                  <c:v>28.89</c:v>
                </c:pt>
                <c:pt idx="45">
                  <c:v>27.95</c:v>
                </c:pt>
                <c:pt idx="46">
                  <c:v>27.95</c:v>
                </c:pt>
                <c:pt idx="47">
                  <c:v>27.95</c:v>
                </c:pt>
                <c:pt idx="48">
                  <c:v>23.35</c:v>
                </c:pt>
                <c:pt idx="49">
                  <c:v>24.1</c:v>
                </c:pt>
                <c:pt idx="50">
                  <c:v>26.67</c:v>
                </c:pt>
                <c:pt idx="51">
                  <c:v>28.57</c:v>
                </c:pt>
                <c:pt idx="52">
                  <c:v>24.66</c:v>
                </c:pt>
                <c:pt idx="53">
                  <c:v>24.66</c:v>
                </c:pt>
                <c:pt idx="54">
                  <c:v>24.66</c:v>
                </c:pt>
                <c:pt idx="55">
                  <c:v>25.47</c:v>
                </c:pt>
                <c:pt idx="56">
                  <c:v>24.03</c:v>
                </c:pt>
                <c:pt idx="57">
                  <c:v>22.56</c:v>
                </c:pt>
                <c:pt idx="58">
                  <c:v>21.91</c:v>
                </c:pt>
                <c:pt idx="59">
                  <c:v>20.69</c:v>
                </c:pt>
                <c:pt idx="60">
                  <c:v>20.69</c:v>
                </c:pt>
                <c:pt idx="61">
                  <c:v>20.69</c:v>
                </c:pt>
                <c:pt idx="62">
                  <c:v>20.03</c:v>
                </c:pt>
                <c:pt idx="63">
                  <c:v>19.79</c:v>
                </c:pt>
                <c:pt idx="64">
                  <c:v>19.23</c:v>
                </c:pt>
                <c:pt idx="65">
                  <c:v>21.58</c:v>
                </c:pt>
                <c:pt idx="66">
                  <c:v>20.95</c:v>
                </c:pt>
                <c:pt idx="67">
                  <c:v>20.95</c:v>
                </c:pt>
                <c:pt idx="68">
                  <c:v>20.95</c:v>
                </c:pt>
                <c:pt idx="69">
                  <c:v>18.88</c:v>
                </c:pt>
                <c:pt idx="70">
                  <c:v>20.3</c:v>
                </c:pt>
                <c:pt idx="71">
                  <c:v>21.2</c:v>
                </c:pt>
                <c:pt idx="72">
                  <c:v>19.809999999999999</c:v>
                </c:pt>
                <c:pt idx="73">
                  <c:v>18.86</c:v>
                </c:pt>
                <c:pt idx="74">
                  <c:v>18.86</c:v>
                </c:pt>
                <c:pt idx="75">
                  <c:v>18.86</c:v>
                </c:pt>
                <c:pt idx="76">
                  <c:v>20.74</c:v>
                </c:pt>
                <c:pt idx="77">
                  <c:v>19.61</c:v>
                </c:pt>
                <c:pt idx="78">
                  <c:v>19.399999999999999</c:v>
                </c:pt>
                <c:pt idx="79">
                  <c:v>17.329999999999998</c:v>
                </c:pt>
                <c:pt idx="80">
                  <c:v>17.329999999999998</c:v>
                </c:pt>
                <c:pt idx="81">
                  <c:v>17.329999999999998</c:v>
                </c:pt>
                <c:pt idx="82">
                  <c:v>17.329999999999998</c:v>
                </c:pt>
                <c:pt idx="83">
                  <c:v>17.91</c:v>
                </c:pt>
                <c:pt idx="84">
                  <c:v>18.12</c:v>
                </c:pt>
                <c:pt idx="85">
                  <c:v>17.16</c:v>
                </c:pt>
                <c:pt idx="86">
                  <c:v>16.95</c:v>
                </c:pt>
                <c:pt idx="87">
                  <c:v>16.690000000000001</c:v>
                </c:pt>
                <c:pt idx="88">
                  <c:v>16.690000000000001</c:v>
                </c:pt>
                <c:pt idx="89">
                  <c:v>16.690000000000001</c:v>
                </c:pt>
                <c:pt idx="90">
                  <c:v>16.91</c:v>
                </c:pt>
                <c:pt idx="91">
                  <c:v>16.649999999999999</c:v>
                </c:pt>
                <c:pt idx="92">
                  <c:v>16.989999999999998</c:v>
                </c:pt>
                <c:pt idx="93">
                  <c:v>16.57</c:v>
                </c:pt>
                <c:pt idx="94">
                  <c:v>16.25</c:v>
                </c:pt>
                <c:pt idx="95">
                  <c:v>16.25</c:v>
                </c:pt>
                <c:pt idx="96">
                  <c:v>16.25</c:v>
                </c:pt>
                <c:pt idx="97">
                  <c:v>17.29</c:v>
                </c:pt>
                <c:pt idx="98">
                  <c:v>18.68</c:v>
                </c:pt>
                <c:pt idx="99">
                  <c:v>17.5</c:v>
                </c:pt>
                <c:pt idx="100">
                  <c:v>18.71</c:v>
                </c:pt>
                <c:pt idx="101">
                  <c:v>17.329999999999998</c:v>
                </c:pt>
                <c:pt idx="102">
                  <c:v>17.329999999999998</c:v>
                </c:pt>
                <c:pt idx="103">
                  <c:v>17.329999999999998</c:v>
                </c:pt>
                <c:pt idx="104">
                  <c:v>17.64</c:v>
                </c:pt>
                <c:pt idx="105">
                  <c:v>17.559999999999999</c:v>
                </c:pt>
                <c:pt idx="106">
                  <c:v>17.28</c:v>
                </c:pt>
                <c:pt idx="107">
                  <c:v>17.61</c:v>
                </c:pt>
                <c:pt idx="108">
                  <c:v>18.61</c:v>
                </c:pt>
                <c:pt idx="109">
                  <c:v>18.61</c:v>
                </c:pt>
                <c:pt idx="110">
                  <c:v>18.61</c:v>
                </c:pt>
                <c:pt idx="111">
                  <c:v>18.309999999999999</c:v>
                </c:pt>
                <c:pt idx="112">
                  <c:v>19.48</c:v>
                </c:pt>
                <c:pt idx="113">
                  <c:v>19.149999999999999</c:v>
                </c:pt>
                <c:pt idx="114">
                  <c:v>18.39</c:v>
                </c:pt>
                <c:pt idx="115">
                  <c:v>16.690000000000001</c:v>
                </c:pt>
                <c:pt idx="116">
                  <c:v>16.690000000000001</c:v>
                </c:pt>
                <c:pt idx="117">
                  <c:v>16.690000000000001</c:v>
                </c:pt>
                <c:pt idx="118">
                  <c:v>19.66</c:v>
                </c:pt>
                <c:pt idx="119">
                  <c:v>21.84</c:v>
                </c:pt>
                <c:pt idx="120">
                  <c:v>27.59</c:v>
                </c:pt>
                <c:pt idx="121">
                  <c:v>23.13</c:v>
                </c:pt>
                <c:pt idx="122">
                  <c:v>18.809999999999999</c:v>
                </c:pt>
                <c:pt idx="123">
                  <c:v>18.809999999999999</c:v>
                </c:pt>
                <c:pt idx="124">
                  <c:v>18.809999999999999</c:v>
                </c:pt>
                <c:pt idx="125">
                  <c:v>19.72</c:v>
                </c:pt>
                <c:pt idx="126">
                  <c:v>21.34</c:v>
                </c:pt>
                <c:pt idx="127">
                  <c:v>22.18</c:v>
                </c:pt>
                <c:pt idx="128">
                  <c:v>20.67</c:v>
                </c:pt>
                <c:pt idx="129">
                  <c:v>20.149999999999999</c:v>
                </c:pt>
                <c:pt idx="130">
                  <c:v>20.149999999999999</c:v>
                </c:pt>
                <c:pt idx="131">
                  <c:v>20.149999999999999</c:v>
                </c:pt>
                <c:pt idx="132">
                  <c:v>18.399999999999999</c:v>
                </c:pt>
                <c:pt idx="133">
                  <c:v>18.84</c:v>
                </c:pt>
                <c:pt idx="134">
                  <c:v>17.36</c:v>
                </c:pt>
                <c:pt idx="135">
                  <c:v>16.739999999999998</c:v>
                </c:pt>
                <c:pt idx="136">
                  <c:v>16.760000000000002</c:v>
                </c:pt>
                <c:pt idx="137">
                  <c:v>16.760000000000002</c:v>
                </c:pt>
                <c:pt idx="138">
                  <c:v>16.760000000000002</c:v>
                </c:pt>
                <c:pt idx="139">
                  <c:v>16.760000000000002</c:v>
                </c:pt>
                <c:pt idx="140">
                  <c:v>17.899999999999999</c:v>
                </c:pt>
                <c:pt idx="141">
                  <c:v>17.48</c:v>
                </c:pt>
                <c:pt idx="142">
                  <c:v>18.04</c:v>
                </c:pt>
                <c:pt idx="143">
                  <c:v>16.420000000000002</c:v>
                </c:pt>
                <c:pt idx="144">
                  <c:v>16.420000000000002</c:v>
                </c:pt>
                <c:pt idx="145">
                  <c:v>16.420000000000002</c:v>
                </c:pt>
                <c:pt idx="146">
                  <c:v>16.420000000000002</c:v>
                </c:pt>
                <c:pt idx="147">
                  <c:v>17.07</c:v>
                </c:pt>
                <c:pt idx="148">
                  <c:v>17.89</c:v>
                </c:pt>
                <c:pt idx="149">
                  <c:v>16.100000000000001</c:v>
                </c:pt>
                <c:pt idx="150">
                  <c:v>15.65</c:v>
                </c:pt>
                <c:pt idx="151">
                  <c:v>15.65</c:v>
                </c:pt>
                <c:pt idx="152">
                  <c:v>15.65</c:v>
                </c:pt>
                <c:pt idx="153">
                  <c:v>16.39</c:v>
                </c:pt>
                <c:pt idx="154">
                  <c:v>17.02</c:v>
                </c:pt>
                <c:pt idx="155">
                  <c:v>18.149999999999999</c:v>
                </c:pt>
                <c:pt idx="156">
                  <c:v>17.75</c:v>
                </c:pt>
                <c:pt idx="157">
                  <c:v>20.7</c:v>
                </c:pt>
                <c:pt idx="158">
                  <c:v>20.7</c:v>
                </c:pt>
                <c:pt idx="159">
                  <c:v>20.7</c:v>
                </c:pt>
                <c:pt idx="160">
                  <c:v>17.89</c:v>
                </c:pt>
                <c:pt idx="161">
                  <c:v>16.66</c:v>
                </c:pt>
                <c:pt idx="162">
                  <c:v>16.32</c:v>
                </c:pt>
                <c:pt idx="163">
                  <c:v>15.97</c:v>
                </c:pt>
                <c:pt idx="164">
                  <c:v>15.62</c:v>
                </c:pt>
                <c:pt idx="165">
                  <c:v>15.62</c:v>
                </c:pt>
                <c:pt idx="166">
                  <c:v>15.62</c:v>
                </c:pt>
                <c:pt idx="167">
                  <c:v>15.76</c:v>
                </c:pt>
                <c:pt idx="168">
                  <c:v>16.02</c:v>
                </c:pt>
                <c:pt idx="169">
                  <c:v>15.83</c:v>
                </c:pt>
                <c:pt idx="170">
                  <c:v>15.48</c:v>
                </c:pt>
                <c:pt idx="171">
                  <c:v>15.07</c:v>
                </c:pt>
                <c:pt idx="172">
                  <c:v>15.07</c:v>
                </c:pt>
                <c:pt idx="173">
                  <c:v>15.07</c:v>
                </c:pt>
                <c:pt idx="174">
                  <c:v>15.07</c:v>
                </c:pt>
                <c:pt idx="175">
                  <c:v>16.440000000000001</c:v>
                </c:pt>
                <c:pt idx="176">
                  <c:v>16.2</c:v>
                </c:pt>
                <c:pt idx="177">
                  <c:v>19</c:v>
                </c:pt>
                <c:pt idx="178">
                  <c:v>16.18</c:v>
                </c:pt>
                <c:pt idx="179">
                  <c:v>16.18</c:v>
                </c:pt>
                <c:pt idx="180">
                  <c:v>16.18</c:v>
                </c:pt>
                <c:pt idx="181">
                  <c:v>16.170000000000002</c:v>
                </c:pt>
                <c:pt idx="182">
                  <c:v>17.12</c:v>
                </c:pt>
                <c:pt idx="183">
                  <c:v>16.329999999999998</c:v>
                </c:pt>
                <c:pt idx="184">
                  <c:v>17.010000000000002</c:v>
                </c:pt>
                <c:pt idx="185">
                  <c:v>18.45</c:v>
                </c:pt>
                <c:pt idx="186">
                  <c:v>18.45</c:v>
                </c:pt>
                <c:pt idx="187">
                  <c:v>18.45</c:v>
                </c:pt>
                <c:pt idx="188">
                  <c:v>22.5</c:v>
                </c:pt>
                <c:pt idx="189">
                  <c:v>19.73</c:v>
                </c:pt>
                <c:pt idx="190">
                  <c:v>17.91</c:v>
                </c:pt>
                <c:pt idx="191">
                  <c:v>17.690000000000001</c:v>
                </c:pt>
                <c:pt idx="192">
                  <c:v>17.2</c:v>
                </c:pt>
                <c:pt idx="193">
                  <c:v>17.2</c:v>
                </c:pt>
                <c:pt idx="194">
                  <c:v>17.2</c:v>
                </c:pt>
                <c:pt idx="195">
                  <c:v>17.579999999999998</c:v>
                </c:pt>
                <c:pt idx="196">
                  <c:v>19.36</c:v>
                </c:pt>
                <c:pt idx="197">
                  <c:v>18.309999999999999</c:v>
                </c:pt>
                <c:pt idx="198">
                  <c:v>17.7</c:v>
                </c:pt>
                <c:pt idx="199">
                  <c:v>18.239999999999998</c:v>
                </c:pt>
                <c:pt idx="200">
                  <c:v>18.239999999999998</c:v>
                </c:pt>
                <c:pt idx="201">
                  <c:v>18.239999999999998</c:v>
                </c:pt>
                <c:pt idx="202">
                  <c:v>19.46</c:v>
                </c:pt>
                <c:pt idx="203">
                  <c:v>18.04</c:v>
                </c:pt>
                <c:pt idx="204">
                  <c:v>17.97</c:v>
                </c:pt>
                <c:pt idx="205">
                  <c:v>17.28</c:v>
                </c:pt>
                <c:pt idx="206">
                  <c:v>16.149999999999999</c:v>
                </c:pt>
                <c:pt idx="207">
                  <c:v>16.149999999999999</c:v>
                </c:pt>
                <c:pt idx="208">
                  <c:v>16.149999999999999</c:v>
                </c:pt>
                <c:pt idx="209">
                  <c:v>16.72</c:v>
                </c:pt>
                <c:pt idx="210">
                  <c:v>16.79</c:v>
                </c:pt>
                <c:pt idx="211">
                  <c:v>16.059999999999999</c:v>
                </c:pt>
                <c:pt idx="212">
                  <c:v>15.59</c:v>
                </c:pt>
                <c:pt idx="213">
                  <c:v>15.45</c:v>
                </c:pt>
                <c:pt idx="214">
                  <c:v>15.45</c:v>
                </c:pt>
                <c:pt idx="215">
                  <c:v>15.45</c:v>
                </c:pt>
                <c:pt idx="216">
                  <c:v>16.12</c:v>
                </c:pt>
                <c:pt idx="217">
                  <c:v>17.91</c:v>
                </c:pt>
                <c:pt idx="218">
                  <c:v>21.57</c:v>
                </c:pt>
                <c:pt idx="219">
                  <c:v>21.67</c:v>
                </c:pt>
                <c:pt idx="220">
                  <c:v>18.559999999999999</c:v>
                </c:pt>
                <c:pt idx="221">
                  <c:v>18.559999999999999</c:v>
                </c:pt>
                <c:pt idx="222">
                  <c:v>18.559999999999999</c:v>
                </c:pt>
                <c:pt idx="223">
                  <c:v>17.149999999999999</c:v>
                </c:pt>
                <c:pt idx="224">
                  <c:v>17.22</c:v>
                </c:pt>
                <c:pt idx="225">
                  <c:v>16.79</c:v>
                </c:pt>
                <c:pt idx="226">
                  <c:v>18.84</c:v>
                </c:pt>
                <c:pt idx="227">
                  <c:v>16.39</c:v>
                </c:pt>
                <c:pt idx="228">
                  <c:v>16.39</c:v>
                </c:pt>
                <c:pt idx="229">
                  <c:v>16.39</c:v>
                </c:pt>
                <c:pt idx="230">
                  <c:v>16.190000000000001</c:v>
                </c:pt>
                <c:pt idx="231">
                  <c:v>16.48</c:v>
                </c:pt>
                <c:pt idx="232">
                  <c:v>16.11</c:v>
                </c:pt>
                <c:pt idx="233">
                  <c:v>16.41</c:v>
                </c:pt>
                <c:pt idx="234">
                  <c:v>16.41</c:v>
                </c:pt>
                <c:pt idx="235">
                  <c:v>16.41</c:v>
                </c:pt>
                <c:pt idx="236">
                  <c:v>16.41</c:v>
                </c:pt>
                <c:pt idx="237">
                  <c:v>16.41</c:v>
                </c:pt>
                <c:pt idx="238">
                  <c:v>18.14</c:v>
                </c:pt>
                <c:pt idx="239">
                  <c:v>17.96</c:v>
                </c:pt>
                <c:pt idx="240">
                  <c:v>18.8</c:v>
                </c:pt>
                <c:pt idx="241">
                  <c:v>20.95</c:v>
                </c:pt>
                <c:pt idx="242">
                  <c:v>20.95</c:v>
                </c:pt>
                <c:pt idx="243">
                  <c:v>20.95</c:v>
                </c:pt>
                <c:pt idx="244">
                  <c:v>19.37</c:v>
                </c:pt>
                <c:pt idx="245">
                  <c:v>19.46</c:v>
                </c:pt>
                <c:pt idx="246">
                  <c:v>18.18</c:v>
                </c:pt>
                <c:pt idx="247">
                  <c:v>18.690000000000001</c:v>
                </c:pt>
                <c:pt idx="248">
                  <c:v>20.81</c:v>
                </c:pt>
                <c:pt idx="249">
                  <c:v>20.81</c:v>
                </c:pt>
                <c:pt idx="250">
                  <c:v>20.81</c:v>
                </c:pt>
                <c:pt idx="251">
                  <c:v>25.71</c:v>
                </c:pt>
                <c:pt idx="252">
                  <c:v>24.36</c:v>
                </c:pt>
                <c:pt idx="253">
                  <c:v>20.87</c:v>
                </c:pt>
                <c:pt idx="254">
                  <c:v>18.63</c:v>
                </c:pt>
                <c:pt idx="255">
                  <c:v>17.75</c:v>
                </c:pt>
                <c:pt idx="256">
                  <c:v>17.75</c:v>
                </c:pt>
                <c:pt idx="257">
                  <c:v>17.75</c:v>
                </c:pt>
                <c:pt idx="258">
                  <c:v>18.760000000000002</c:v>
                </c:pt>
                <c:pt idx="259">
                  <c:v>23.25</c:v>
                </c:pt>
                <c:pt idx="260">
                  <c:v>22.56</c:v>
                </c:pt>
                <c:pt idx="261">
                  <c:v>23.14</c:v>
                </c:pt>
                <c:pt idx="262">
                  <c:v>21.15</c:v>
                </c:pt>
                <c:pt idx="263">
                  <c:v>21.15</c:v>
                </c:pt>
                <c:pt idx="264">
                  <c:v>21.15</c:v>
                </c:pt>
                <c:pt idx="265">
                  <c:v>22.96</c:v>
                </c:pt>
                <c:pt idx="266">
                  <c:v>21.3</c:v>
                </c:pt>
                <c:pt idx="267">
                  <c:v>21</c:v>
                </c:pt>
                <c:pt idx="268">
                  <c:v>19.54</c:v>
                </c:pt>
                <c:pt idx="269">
                  <c:v>18.77</c:v>
                </c:pt>
                <c:pt idx="270">
                  <c:v>18.77</c:v>
                </c:pt>
                <c:pt idx="271">
                  <c:v>18.77</c:v>
                </c:pt>
                <c:pt idx="272">
                  <c:v>20</c:v>
                </c:pt>
                <c:pt idx="273">
                  <c:v>19.850000000000001</c:v>
                </c:pt>
                <c:pt idx="274">
                  <c:v>18.64</c:v>
                </c:pt>
                <c:pt idx="275">
                  <c:v>16.86</c:v>
                </c:pt>
                <c:pt idx="276">
                  <c:v>16.3</c:v>
                </c:pt>
                <c:pt idx="277">
                  <c:v>16.3</c:v>
                </c:pt>
                <c:pt idx="278">
                  <c:v>16.3</c:v>
                </c:pt>
                <c:pt idx="279">
                  <c:v>16.309999999999999</c:v>
                </c:pt>
                <c:pt idx="280">
                  <c:v>15.7</c:v>
                </c:pt>
                <c:pt idx="281">
                  <c:v>15.49</c:v>
                </c:pt>
                <c:pt idx="282">
                  <c:v>15.01</c:v>
                </c:pt>
                <c:pt idx="283">
                  <c:v>15.43</c:v>
                </c:pt>
                <c:pt idx="284">
                  <c:v>15.43</c:v>
                </c:pt>
                <c:pt idx="285">
                  <c:v>15.43</c:v>
                </c:pt>
                <c:pt idx="286">
                  <c:v>15.24</c:v>
                </c:pt>
                <c:pt idx="287">
                  <c:v>15.98</c:v>
                </c:pt>
                <c:pt idx="288">
                  <c:v>16.98</c:v>
                </c:pt>
                <c:pt idx="289">
                  <c:v>16.53</c:v>
                </c:pt>
                <c:pt idx="290">
                  <c:v>16.260000000000002</c:v>
                </c:pt>
                <c:pt idx="291">
                  <c:v>16.260000000000002</c:v>
                </c:pt>
                <c:pt idx="292">
                  <c:v>16.260000000000002</c:v>
                </c:pt>
                <c:pt idx="293">
                  <c:v>16.41</c:v>
                </c:pt>
                <c:pt idx="294">
                  <c:v>16.03</c:v>
                </c:pt>
                <c:pt idx="295">
                  <c:v>15.1</c:v>
                </c:pt>
                <c:pt idx="296">
                  <c:v>15.44</c:v>
                </c:pt>
                <c:pt idx="297">
                  <c:v>16.48</c:v>
                </c:pt>
                <c:pt idx="298">
                  <c:v>16.48</c:v>
                </c:pt>
                <c:pt idx="299">
                  <c:v>16.48</c:v>
                </c:pt>
                <c:pt idx="300">
                  <c:v>17.22</c:v>
                </c:pt>
                <c:pt idx="301">
                  <c:v>17.78</c:v>
                </c:pt>
                <c:pt idx="302">
                  <c:v>18.73</c:v>
                </c:pt>
                <c:pt idx="303">
                  <c:v>17.66</c:v>
                </c:pt>
                <c:pt idx="304">
                  <c:v>16.29</c:v>
                </c:pt>
                <c:pt idx="305">
                  <c:v>16.29</c:v>
                </c:pt>
                <c:pt idx="306">
                  <c:v>16.29</c:v>
                </c:pt>
                <c:pt idx="307">
                  <c:v>16.489999999999998</c:v>
                </c:pt>
                <c:pt idx="308">
                  <c:v>16.37</c:v>
                </c:pt>
                <c:pt idx="309">
                  <c:v>17.11</c:v>
                </c:pt>
                <c:pt idx="310">
                  <c:v>17.59</c:v>
                </c:pt>
                <c:pt idx="311">
                  <c:v>17.91</c:v>
                </c:pt>
                <c:pt idx="312">
                  <c:v>17.91</c:v>
                </c:pt>
                <c:pt idx="313">
                  <c:v>17.91</c:v>
                </c:pt>
                <c:pt idx="314">
                  <c:v>19.170000000000002</c:v>
                </c:pt>
                <c:pt idx="315">
                  <c:v>19.38</c:v>
                </c:pt>
                <c:pt idx="316">
                  <c:v>18.579999999999998</c:v>
                </c:pt>
                <c:pt idx="317">
                  <c:v>18.579999999999998</c:v>
                </c:pt>
                <c:pt idx="318">
                  <c:v>28.62</c:v>
                </c:pt>
                <c:pt idx="319">
                  <c:v>28.62</c:v>
                </c:pt>
                <c:pt idx="320">
                  <c:v>28.62</c:v>
                </c:pt>
                <c:pt idx="321">
                  <c:v>22.96</c:v>
                </c:pt>
                <c:pt idx="322">
                  <c:v>27.19</c:v>
                </c:pt>
                <c:pt idx="323">
                  <c:v>31.12</c:v>
                </c:pt>
                <c:pt idx="324">
                  <c:v>27.95</c:v>
                </c:pt>
                <c:pt idx="325">
                  <c:v>30.67</c:v>
                </c:pt>
                <c:pt idx="326">
                  <c:v>30.67</c:v>
                </c:pt>
                <c:pt idx="327">
                  <c:v>30.67</c:v>
                </c:pt>
                <c:pt idx="328">
                  <c:v>27.18</c:v>
                </c:pt>
                <c:pt idx="329">
                  <c:v>21.89</c:v>
                </c:pt>
                <c:pt idx="330">
                  <c:v>19.899999999999999</c:v>
                </c:pt>
                <c:pt idx="331">
                  <c:v>21.58</c:v>
                </c:pt>
                <c:pt idx="332">
                  <c:v>18.690000000000001</c:v>
                </c:pt>
                <c:pt idx="333">
                  <c:v>18.690000000000001</c:v>
                </c:pt>
                <c:pt idx="334">
                  <c:v>18.690000000000001</c:v>
                </c:pt>
                <c:pt idx="335">
                  <c:v>20.309999999999999</c:v>
                </c:pt>
                <c:pt idx="336">
                  <c:v>21.89</c:v>
                </c:pt>
                <c:pt idx="337">
                  <c:v>19.29</c:v>
                </c:pt>
                <c:pt idx="338">
                  <c:v>20.57</c:v>
                </c:pt>
                <c:pt idx="339">
                  <c:v>21.57</c:v>
                </c:pt>
                <c:pt idx="340">
                  <c:v>21.57</c:v>
                </c:pt>
                <c:pt idx="341">
                  <c:v>21.57</c:v>
                </c:pt>
                <c:pt idx="342">
                  <c:v>22.87</c:v>
                </c:pt>
                <c:pt idx="343">
                  <c:v>21.01</c:v>
                </c:pt>
                <c:pt idx="344">
                  <c:v>18.63</c:v>
                </c:pt>
                <c:pt idx="345">
                  <c:v>17.96</c:v>
                </c:pt>
                <c:pt idx="346">
                  <c:v>17.96</c:v>
                </c:pt>
                <c:pt idx="347">
                  <c:v>17.96</c:v>
                </c:pt>
                <c:pt idx="348">
                  <c:v>17.96</c:v>
                </c:pt>
                <c:pt idx="349">
                  <c:v>17.68</c:v>
                </c:pt>
                <c:pt idx="350">
                  <c:v>17.54</c:v>
                </c:pt>
                <c:pt idx="351">
                  <c:v>16.95</c:v>
                </c:pt>
                <c:pt idx="352">
                  <c:v>17.329999999999998</c:v>
                </c:pt>
                <c:pt idx="353">
                  <c:v>17.22</c:v>
                </c:pt>
                <c:pt idx="354">
                  <c:v>17.22</c:v>
                </c:pt>
                <c:pt idx="355">
                  <c:v>17.22</c:v>
                </c:pt>
                <c:pt idx="356">
                  <c:v>16.600000000000001</c:v>
                </c:pt>
                <c:pt idx="357">
                  <c:v>16.91</c:v>
                </c:pt>
                <c:pt idx="358">
                  <c:v>19.73</c:v>
                </c:pt>
                <c:pt idx="359">
                  <c:v>19.61</c:v>
                </c:pt>
                <c:pt idx="360">
                  <c:v>18.760000000000002</c:v>
                </c:pt>
                <c:pt idx="361">
                  <c:v>18.760000000000002</c:v>
                </c:pt>
                <c:pt idx="362">
                  <c:v>18.760000000000002</c:v>
                </c:pt>
                <c:pt idx="363">
                  <c:v>19.399999999999999</c:v>
                </c:pt>
                <c:pt idx="364">
                  <c:v>18.41</c:v>
                </c:pt>
                <c:pt idx="365">
                  <c:v>17.62</c:v>
                </c:pt>
                <c:pt idx="366">
                  <c:v>20.309999999999999</c:v>
                </c:pt>
              </c:numCache>
            </c:numRef>
          </c:val>
          <c:smooth val="0"/>
          <c:extLst>
            <c:ext xmlns:c16="http://schemas.microsoft.com/office/drawing/2014/chart" uri="{C3380CC4-5D6E-409C-BE32-E72D297353CC}">
              <c16:uniqueId val="{00000000-139E-42A6-B994-455614A64C81}"/>
            </c:ext>
          </c:extLst>
        </c:ser>
        <c:dLbls>
          <c:showLegendKey val="0"/>
          <c:showVal val="0"/>
          <c:showCatName val="0"/>
          <c:showSerName val="0"/>
          <c:showPercent val="0"/>
          <c:showBubbleSize val="0"/>
        </c:dLbls>
        <c:smooth val="0"/>
        <c:axId val="115254016"/>
        <c:axId val="115255552"/>
      </c:lineChart>
      <c:dateAx>
        <c:axId val="115254016"/>
        <c:scaling>
          <c:orientation val="minMax"/>
        </c:scaling>
        <c:delete val="0"/>
        <c:axPos val="b"/>
        <c:numFmt formatCode="yy\.mmm" sourceLinked="0"/>
        <c:majorTickMark val="none"/>
        <c:minorTickMark val="none"/>
        <c:tickLblPos val="low"/>
        <c:spPr>
          <a:ln w="3175">
            <a:noFill/>
            <a:prstDash val="solid"/>
          </a:ln>
        </c:spPr>
        <c:txPr>
          <a:bodyPr rot="0" vert="horz"/>
          <a:lstStyle/>
          <a:p>
            <a:pPr>
              <a:defRPr sz="700" b="0" i="0" u="none" strike="noStrike" baseline="0">
                <a:solidFill>
                  <a:srgbClr val="000000"/>
                </a:solidFill>
                <a:latin typeface="Calibri"/>
                <a:ea typeface="Calibri"/>
                <a:cs typeface="Calibri"/>
              </a:defRPr>
            </a:pPr>
            <a:endParaRPr lang="hu-HU"/>
          </a:p>
        </c:txPr>
        <c:crossAx val="115255552"/>
        <c:crosses val="autoZero"/>
        <c:auto val="1"/>
        <c:lblOffset val="100"/>
        <c:baseTimeUnit val="days"/>
        <c:majorUnit val="2"/>
        <c:majorTimeUnit val="months"/>
        <c:minorUnit val="1"/>
        <c:minorTimeUnit val="months"/>
      </c:dateAx>
      <c:valAx>
        <c:axId val="115255552"/>
        <c:scaling>
          <c:orientation val="minMax"/>
          <c:max val="42"/>
          <c:min val="12"/>
        </c:scaling>
        <c:delete val="0"/>
        <c:axPos val="l"/>
        <c:majorGridlines>
          <c:spPr>
            <a:ln w="3175">
              <a:solidFill>
                <a:srgbClr val="C0C0C0"/>
              </a:solidFill>
              <a:prstDash val="solid"/>
            </a:ln>
          </c:spPr>
        </c:majorGridlines>
        <c:numFmt formatCode="0" sourceLinked="0"/>
        <c:majorTickMark val="none"/>
        <c:minorTickMark val="none"/>
        <c:tickLblPos val="low"/>
        <c:spPr>
          <a:ln w="3175">
            <a:noFill/>
            <a:prstDash val="solid"/>
          </a:ln>
        </c:spPr>
        <c:txPr>
          <a:bodyPr rot="0" vert="horz"/>
          <a:lstStyle/>
          <a:p>
            <a:pPr>
              <a:defRPr sz="700" b="0" i="0" u="none" strike="noStrike" baseline="0">
                <a:solidFill>
                  <a:srgbClr val="000000"/>
                </a:solidFill>
                <a:latin typeface="Calibri"/>
                <a:ea typeface="Calibri"/>
                <a:cs typeface="Calibri"/>
              </a:defRPr>
            </a:pPr>
            <a:endParaRPr lang="hu-HU"/>
          </a:p>
        </c:txPr>
        <c:crossAx val="115254016"/>
        <c:crosses val="autoZero"/>
        <c:crossBetween val="between"/>
        <c:majorUnit val="3"/>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Calibri"/>
          <a:ea typeface="Calibri"/>
          <a:cs typeface="Calibri"/>
        </a:defRPr>
      </a:pPr>
      <a:endParaRPr lang="hu-H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35069444444445E-2"/>
          <c:y val="6.8421497584541066E-2"/>
          <c:w val="0.86134683641975307"/>
          <c:h val="0.82046618357487922"/>
        </c:manualLayout>
      </c:layout>
      <c:lineChart>
        <c:grouping val="standard"/>
        <c:varyColors val="0"/>
        <c:ser>
          <c:idx val="0"/>
          <c:order val="0"/>
          <c:tx>
            <c:strRef>
              <c:f>Állandó_ábrák!$G$5</c:f>
              <c:strCache>
                <c:ptCount val="1"/>
                <c:pt idx="0">
                  <c:v>szpot</c:v>
                </c:pt>
              </c:strCache>
            </c:strRef>
          </c:tx>
          <c:spPr>
            <a:ln w="25400">
              <a:solidFill>
                <a:srgbClr val="005A96"/>
              </a:solidFill>
              <a:prstDash val="solid"/>
            </a:ln>
          </c:spPr>
          <c:marker>
            <c:symbol val="none"/>
          </c:marker>
          <c:cat>
            <c:numRef>
              <c:f>Állandó_ábrák!$AA$37:$AA$403</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Állandó_ábrák!$AI$37:$AI$403</c:f>
              <c:numCache>
                <c:formatCode>General</c:formatCode>
                <c:ptCount val="367"/>
                <c:pt idx="0">
                  <c:v>103.76013762595232</c:v>
                </c:pt>
                <c:pt idx="1">
                  <c:v>103.89076252364893</c:v>
                </c:pt>
                <c:pt idx="2">
                  <c:v>103.80090497737557</c:v>
                </c:pt>
                <c:pt idx="3">
                  <c:v>103.92319152458202</c:v>
                </c:pt>
                <c:pt idx="4">
                  <c:v>103.92319152458202</c:v>
                </c:pt>
                <c:pt idx="5">
                  <c:v>103.92319152458202</c:v>
                </c:pt>
                <c:pt idx="6">
                  <c:v>103.70125031050758</c:v>
                </c:pt>
                <c:pt idx="7">
                  <c:v>103.89974441421386</c:v>
                </c:pt>
                <c:pt idx="8">
                  <c:v>103.54369734016191</c:v>
                </c:pt>
                <c:pt idx="9">
                  <c:v>103.52680039460705</c:v>
                </c:pt>
                <c:pt idx="10">
                  <c:v>103.79590830663051</c:v>
                </c:pt>
                <c:pt idx="11">
                  <c:v>103.79590830663051</c:v>
                </c:pt>
                <c:pt idx="12">
                  <c:v>103.79590830663051</c:v>
                </c:pt>
                <c:pt idx="13">
                  <c:v>103.75648735480682</c:v>
                </c:pt>
                <c:pt idx="14">
                  <c:v>103.61842105263158</c:v>
                </c:pt>
                <c:pt idx="15">
                  <c:v>104.11196432994798</c:v>
                </c:pt>
                <c:pt idx="16">
                  <c:v>104.2319749216301</c:v>
                </c:pt>
                <c:pt idx="17">
                  <c:v>104.75444957152274</c:v>
                </c:pt>
                <c:pt idx="18">
                  <c:v>104.75444957152274</c:v>
                </c:pt>
                <c:pt idx="19">
                  <c:v>104.75444957152274</c:v>
                </c:pt>
                <c:pt idx="20">
                  <c:v>104.93366500829187</c:v>
                </c:pt>
                <c:pt idx="21">
                  <c:v>104.97343075390238</c:v>
                </c:pt>
                <c:pt idx="22">
                  <c:v>105.02658690594882</c:v>
                </c:pt>
                <c:pt idx="23">
                  <c:v>105.52490805750585</c:v>
                </c:pt>
                <c:pt idx="24">
                  <c:v>105.3627760252366</c:v>
                </c:pt>
                <c:pt idx="25">
                  <c:v>105.3627760252366</c:v>
                </c:pt>
                <c:pt idx="26">
                  <c:v>105.3627760252366</c:v>
                </c:pt>
                <c:pt idx="27">
                  <c:v>105.21161825726141</c:v>
                </c:pt>
                <c:pt idx="28">
                  <c:v>104.5960887862035</c:v>
                </c:pt>
                <c:pt idx="29">
                  <c:v>104.60472025086648</c:v>
                </c:pt>
                <c:pt idx="30">
                  <c:v>104.74855729596042</c:v>
                </c:pt>
                <c:pt idx="31">
                  <c:v>104.91749174917491</c:v>
                </c:pt>
                <c:pt idx="32">
                  <c:v>104.91749174917491</c:v>
                </c:pt>
                <c:pt idx="33">
                  <c:v>104.91749174917491</c:v>
                </c:pt>
                <c:pt idx="34">
                  <c:v>105.3673015087806</c:v>
                </c:pt>
                <c:pt idx="35">
                  <c:v>106.03006773500745</c:v>
                </c:pt>
                <c:pt idx="36">
                  <c:v>105.86476158830371</c:v>
                </c:pt>
                <c:pt idx="37">
                  <c:v>105.69798213695005</c:v>
                </c:pt>
                <c:pt idx="38">
                  <c:v>105.44599389388564</c:v>
                </c:pt>
                <c:pt idx="39">
                  <c:v>105.44599389388564</c:v>
                </c:pt>
                <c:pt idx="40">
                  <c:v>105.44599389388564</c:v>
                </c:pt>
                <c:pt idx="41">
                  <c:v>105.07526527926296</c:v>
                </c:pt>
                <c:pt idx="42">
                  <c:v>105.25102880658436</c:v>
                </c:pt>
                <c:pt idx="43">
                  <c:v>105.89347361499262</c:v>
                </c:pt>
                <c:pt idx="44">
                  <c:v>106.21765913757699</c:v>
                </c:pt>
                <c:pt idx="45">
                  <c:v>106.55900621118012</c:v>
                </c:pt>
                <c:pt idx="46">
                  <c:v>106.55900621118012</c:v>
                </c:pt>
                <c:pt idx="47">
                  <c:v>106.55900621118012</c:v>
                </c:pt>
                <c:pt idx="48">
                  <c:v>106.76404680886378</c:v>
                </c:pt>
                <c:pt idx="49">
                  <c:v>106.69919775039284</c:v>
                </c:pt>
                <c:pt idx="50">
                  <c:v>107.01318080079584</c:v>
                </c:pt>
                <c:pt idx="51">
                  <c:v>107.97894560949119</c:v>
                </c:pt>
                <c:pt idx="52">
                  <c:v>108.25010490977758</c:v>
                </c:pt>
                <c:pt idx="53">
                  <c:v>108.25010490977758</c:v>
                </c:pt>
                <c:pt idx="54">
                  <c:v>108.25010490977758</c:v>
                </c:pt>
                <c:pt idx="55">
                  <c:v>108.88832615852114</c:v>
                </c:pt>
                <c:pt idx="56">
                  <c:v>108.47827913620704</c:v>
                </c:pt>
                <c:pt idx="57">
                  <c:v>108.38293234973592</c:v>
                </c:pt>
                <c:pt idx="58">
                  <c:v>108.50992824962455</c:v>
                </c:pt>
                <c:pt idx="59">
                  <c:v>109.00192420312891</c:v>
                </c:pt>
                <c:pt idx="60">
                  <c:v>109.00192420312891</c:v>
                </c:pt>
                <c:pt idx="61">
                  <c:v>109.00192420312891</c:v>
                </c:pt>
                <c:pt idx="62">
                  <c:v>109.12063039651268</c:v>
                </c:pt>
                <c:pt idx="63">
                  <c:v>108.98933042090229</c:v>
                </c:pt>
                <c:pt idx="64">
                  <c:v>108.8404708239419</c:v>
                </c:pt>
                <c:pt idx="65">
                  <c:v>108.89634913973983</c:v>
                </c:pt>
                <c:pt idx="66">
                  <c:v>108.88776881720432</c:v>
                </c:pt>
                <c:pt idx="67">
                  <c:v>108.88776881720432</c:v>
                </c:pt>
                <c:pt idx="68">
                  <c:v>108.88776881720432</c:v>
                </c:pt>
                <c:pt idx="69">
                  <c:v>108.84102907902455</c:v>
                </c:pt>
                <c:pt idx="70">
                  <c:v>108.59144231580723</c:v>
                </c:pt>
                <c:pt idx="71">
                  <c:v>108.7361381528824</c:v>
                </c:pt>
                <c:pt idx="72">
                  <c:v>109.18905134308059</c:v>
                </c:pt>
                <c:pt idx="73">
                  <c:v>109.66593182974394</c:v>
                </c:pt>
                <c:pt idx="74">
                  <c:v>109.66593182974394</c:v>
                </c:pt>
                <c:pt idx="75">
                  <c:v>109.66593182974394</c:v>
                </c:pt>
                <c:pt idx="76">
                  <c:v>109.80025499362516</c:v>
                </c:pt>
                <c:pt idx="77">
                  <c:v>110.35247930357602</c:v>
                </c:pt>
                <c:pt idx="78">
                  <c:v>110.70758738277921</c:v>
                </c:pt>
                <c:pt idx="79">
                  <c:v>110.61390846565341</c:v>
                </c:pt>
                <c:pt idx="80">
                  <c:v>110.69818862148141</c:v>
                </c:pt>
                <c:pt idx="81">
                  <c:v>110.69818862148141</c:v>
                </c:pt>
                <c:pt idx="82">
                  <c:v>110.69818862148141</c:v>
                </c:pt>
                <c:pt idx="83">
                  <c:v>110.16676542791838</c:v>
                </c:pt>
                <c:pt idx="84">
                  <c:v>109.73391714381947</c:v>
                </c:pt>
                <c:pt idx="85">
                  <c:v>109.86686889113581</c:v>
                </c:pt>
                <c:pt idx="86">
                  <c:v>109.26640926640927</c:v>
                </c:pt>
                <c:pt idx="87">
                  <c:v>109.68148583914615</c:v>
                </c:pt>
                <c:pt idx="88">
                  <c:v>109.68148583914615</c:v>
                </c:pt>
                <c:pt idx="89">
                  <c:v>109.68148583914615</c:v>
                </c:pt>
                <c:pt idx="90">
                  <c:v>109.37788598774242</c:v>
                </c:pt>
                <c:pt idx="91">
                  <c:v>109.06427854034148</c:v>
                </c:pt>
                <c:pt idx="92">
                  <c:v>108.92320534223707</c:v>
                </c:pt>
                <c:pt idx="93">
                  <c:v>108.75741622796022</c:v>
                </c:pt>
                <c:pt idx="94">
                  <c:v>108.78744888592175</c:v>
                </c:pt>
                <c:pt idx="95">
                  <c:v>108.78744888592175</c:v>
                </c:pt>
                <c:pt idx="96">
                  <c:v>108.78744888592175</c:v>
                </c:pt>
                <c:pt idx="97">
                  <c:v>108.17479438398273</c:v>
                </c:pt>
                <c:pt idx="98">
                  <c:v>108.10900631439017</c:v>
                </c:pt>
                <c:pt idx="99">
                  <c:v>108.10137100124636</c:v>
                </c:pt>
                <c:pt idx="100">
                  <c:v>107.96504369538077</c:v>
                </c:pt>
                <c:pt idx="101">
                  <c:v>107.86971976523105</c:v>
                </c:pt>
                <c:pt idx="102">
                  <c:v>107.86971976523105</c:v>
                </c:pt>
                <c:pt idx="103">
                  <c:v>107.86971976523105</c:v>
                </c:pt>
                <c:pt idx="104">
                  <c:v>108.09200728115174</c:v>
                </c:pt>
                <c:pt idx="105">
                  <c:v>108.72549830452402</c:v>
                </c:pt>
                <c:pt idx="106">
                  <c:v>108.60959920831272</c:v>
                </c:pt>
                <c:pt idx="107">
                  <c:v>108.93490636086132</c:v>
                </c:pt>
                <c:pt idx="108">
                  <c:v>109.31780366056573</c:v>
                </c:pt>
                <c:pt idx="109">
                  <c:v>109.31780366056573</c:v>
                </c:pt>
                <c:pt idx="110">
                  <c:v>109.31780366056573</c:v>
                </c:pt>
                <c:pt idx="111">
                  <c:v>109.08488063660478</c:v>
                </c:pt>
                <c:pt idx="112">
                  <c:v>109.32245713334443</c:v>
                </c:pt>
                <c:pt idx="113">
                  <c:v>109.21282798833822</c:v>
                </c:pt>
                <c:pt idx="114">
                  <c:v>109.09241607956902</c:v>
                </c:pt>
                <c:pt idx="115">
                  <c:v>108.59773138254153</c:v>
                </c:pt>
                <c:pt idx="116">
                  <c:v>108.59773138254153</c:v>
                </c:pt>
                <c:pt idx="117">
                  <c:v>108.59773138254153</c:v>
                </c:pt>
                <c:pt idx="118">
                  <c:v>108.8135872701789</c:v>
                </c:pt>
                <c:pt idx="119">
                  <c:v>108.61870266710568</c:v>
                </c:pt>
                <c:pt idx="120">
                  <c:v>109.66699801192841</c:v>
                </c:pt>
                <c:pt idx="121">
                  <c:v>109.45285986259415</c:v>
                </c:pt>
                <c:pt idx="122">
                  <c:v>109.36496170002471</c:v>
                </c:pt>
                <c:pt idx="123">
                  <c:v>109.36496170002471</c:v>
                </c:pt>
                <c:pt idx="124">
                  <c:v>109.36496170002471</c:v>
                </c:pt>
                <c:pt idx="125">
                  <c:v>109.24950625411454</c:v>
                </c:pt>
                <c:pt idx="126">
                  <c:v>108.90198003600065</c:v>
                </c:pt>
                <c:pt idx="127">
                  <c:v>109.22381930184804</c:v>
                </c:pt>
                <c:pt idx="128">
                  <c:v>108.7749427543343</c:v>
                </c:pt>
                <c:pt idx="129">
                  <c:v>108.94762764734855</c:v>
                </c:pt>
                <c:pt idx="130">
                  <c:v>108.94762764734855</c:v>
                </c:pt>
                <c:pt idx="131">
                  <c:v>108.94762764734855</c:v>
                </c:pt>
                <c:pt idx="132">
                  <c:v>108.75081859855926</c:v>
                </c:pt>
                <c:pt idx="133">
                  <c:v>108.77551020408163</c:v>
                </c:pt>
                <c:pt idx="134">
                  <c:v>109.15354330708662</c:v>
                </c:pt>
                <c:pt idx="135">
                  <c:v>109.80729807298073</c:v>
                </c:pt>
                <c:pt idx="136">
                  <c:v>109.85072178477691</c:v>
                </c:pt>
                <c:pt idx="137">
                  <c:v>109.85072178477691</c:v>
                </c:pt>
                <c:pt idx="138">
                  <c:v>109.85072178477691</c:v>
                </c:pt>
                <c:pt idx="139">
                  <c:v>109.56898666884764</c:v>
                </c:pt>
                <c:pt idx="140">
                  <c:v>109.48169982805207</c:v>
                </c:pt>
                <c:pt idx="141">
                  <c:v>109.56514617967404</c:v>
                </c:pt>
                <c:pt idx="142">
                  <c:v>110.29933206893709</c:v>
                </c:pt>
                <c:pt idx="143">
                  <c:v>109.48467165283145</c:v>
                </c:pt>
                <c:pt idx="144">
                  <c:v>109.48467165283145</c:v>
                </c:pt>
                <c:pt idx="145">
                  <c:v>109.48467165283145</c:v>
                </c:pt>
                <c:pt idx="146">
                  <c:v>109.24528301886791</c:v>
                </c:pt>
                <c:pt idx="147">
                  <c:v>109.4964265177031</c:v>
                </c:pt>
                <c:pt idx="148">
                  <c:v>109.63054187192118</c:v>
                </c:pt>
                <c:pt idx="149">
                  <c:v>109.36729663105997</c:v>
                </c:pt>
                <c:pt idx="150">
                  <c:v>109.67049302171938</c:v>
                </c:pt>
                <c:pt idx="151">
                  <c:v>109.67049302171938</c:v>
                </c:pt>
                <c:pt idx="152">
                  <c:v>109.67049302171938</c:v>
                </c:pt>
                <c:pt idx="153">
                  <c:v>110.06600660066007</c:v>
                </c:pt>
                <c:pt idx="154">
                  <c:v>110.08576612238167</c:v>
                </c:pt>
                <c:pt idx="155">
                  <c:v>110.70446019174655</c:v>
                </c:pt>
                <c:pt idx="156">
                  <c:v>110.20408163265306</c:v>
                </c:pt>
                <c:pt idx="157">
                  <c:v>110.1989211058665</c:v>
                </c:pt>
                <c:pt idx="158">
                  <c:v>110.1989211058665</c:v>
                </c:pt>
                <c:pt idx="159">
                  <c:v>110.1989211058665</c:v>
                </c:pt>
                <c:pt idx="160">
                  <c:v>110.26092793019548</c:v>
                </c:pt>
                <c:pt idx="161">
                  <c:v>110.6532663316583</c:v>
                </c:pt>
                <c:pt idx="162">
                  <c:v>110.95086365923191</c:v>
                </c:pt>
                <c:pt idx="163">
                  <c:v>110.8615487763996</c:v>
                </c:pt>
                <c:pt idx="164">
                  <c:v>110.80854629241726</c:v>
                </c:pt>
                <c:pt idx="165">
                  <c:v>110.80854629241726</c:v>
                </c:pt>
                <c:pt idx="166">
                  <c:v>110.80854629241726</c:v>
                </c:pt>
                <c:pt idx="167">
                  <c:v>110.65828092243189</c:v>
                </c:pt>
                <c:pt idx="168">
                  <c:v>110.51525594687736</c:v>
                </c:pt>
                <c:pt idx="169">
                  <c:v>111.10642604149098</c:v>
                </c:pt>
                <c:pt idx="170">
                  <c:v>111.52742616033754</c:v>
                </c:pt>
                <c:pt idx="171">
                  <c:v>111.04087652760218</c:v>
                </c:pt>
                <c:pt idx="172">
                  <c:v>111.04087652760218</c:v>
                </c:pt>
                <c:pt idx="173">
                  <c:v>111.04087652760218</c:v>
                </c:pt>
                <c:pt idx="174">
                  <c:v>110.965947403911</c:v>
                </c:pt>
                <c:pt idx="175">
                  <c:v>110.63092016238161</c:v>
                </c:pt>
                <c:pt idx="176">
                  <c:v>110.68702290076335</c:v>
                </c:pt>
                <c:pt idx="177">
                  <c:v>109.70873786407765</c:v>
                </c:pt>
                <c:pt idx="178">
                  <c:v>110.13809363422028</c:v>
                </c:pt>
                <c:pt idx="179">
                  <c:v>110.13809363422028</c:v>
                </c:pt>
                <c:pt idx="180">
                  <c:v>110.13809363422028</c:v>
                </c:pt>
                <c:pt idx="181">
                  <c:v>110.37855155551809</c:v>
                </c:pt>
                <c:pt idx="182">
                  <c:v>110.64028532608695</c:v>
                </c:pt>
                <c:pt idx="183">
                  <c:v>109.96029399341049</c:v>
                </c:pt>
                <c:pt idx="184">
                  <c:v>109.84591940399594</c:v>
                </c:pt>
                <c:pt idx="185">
                  <c:v>110.07115026257833</c:v>
                </c:pt>
                <c:pt idx="186">
                  <c:v>110.07115026257833</c:v>
                </c:pt>
                <c:pt idx="187">
                  <c:v>110.07115026257833</c:v>
                </c:pt>
                <c:pt idx="188">
                  <c:v>109.42372881355934</c:v>
                </c:pt>
                <c:pt idx="189">
                  <c:v>109.85485103132162</c:v>
                </c:pt>
                <c:pt idx="190">
                  <c:v>110.3103272850602</c:v>
                </c:pt>
                <c:pt idx="191">
                  <c:v>110.14357318834423</c:v>
                </c:pt>
                <c:pt idx="192">
                  <c:v>110.53436411519837</c:v>
                </c:pt>
                <c:pt idx="193">
                  <c:v>110.53436411519837</c:v>
                </c:pt>
                <c:pt idx="194">
                  <c:v>110.53436411519837</c:v>
                </c:pt>
                <c:pt idx="195">
                  <c:v>110.38718969753452</c:v>
                </c:pt>
                <c:pt idx="196">
                  <c:v>109.77405432850978</c:v>
                </c:pt>
                <c:pt idx="197">
                  <c:v>109.91135500211058</c:v>
                </c:pt>
                <c:pt idx="198">
                  <c:v>109.4809455707916</c:v>
                </c:pt>
                <c:pt idx="199">
                  <c:v>109.71356360572871</c:v>
                </c:pt>
                <c:pt idx="200">
                  <c:v>109.71356360572871</c:v>
                </c:pt>
                <c:pt idx="201">
                  <c:v>109.71356360572871</c:v>
                </c:pt>
                <c:pt idx="202">
                  <c:v>109.30918281381634</c:v>
                </c:pt>
                <c:pt idx="203">
                  <c:v>109.04416722859071</c:v>
                </c:pt>
                <c:pt idx="204">
                  <c:v>109.48720114893976</c:v>
                </c:pt>
                <c:pt idx="205">
                  <c:v>109.76846374852121</c:v>
                </c:pt>
                <c:pt idx="206">
                  <c:v>110.27036218330215</c:v>
                </c:pt>
                <c:pt idx="207">
                  <c:v>110.27036218330215</c:v>
                </c:pt>
                <c:pt idx="208">
                  <c:v>110.27036218330215</c:v>
                </c:pt>
                <c:pt idx="209">
                  <c:v>110.28371815625799</c:v>
                </c:pt>
                <c:pt idx="210">
                  <c:v>110.56313993174064</c:v>
                </c:pt>
                <c:pt idx="211">
                  <c:v>110.43530113297554</c:v>
                </c:pt>
                <c:pt idx="212">
                  <c:v>110.4006820119352</c:v>
                </c:pt>
                <c:pt idx="213">
                  <c:v>109.60413664490973</c:v>
                </c:pt>
                <c:pt idx="214">
                  <c:v>109.60413664490973</c:v>
                </c:pt>
                <c:pt idx="215">
                  <c:v>109.60413664490973</c:v>
                </c:pt>
                <c:pt idx="216">
                  <c:v>109.24605196128374</c:v>
                </c:pt>
                <c:pt idx="217">
                  <c:v>109.59863364645602</c:v>
                </c:pt>
                <c:pt idx="218">
                  <c:v>109.76005464947484</c:v>
                </c:pt>
                <c:pt idx="219">
                  <c:v>109.75588865096358</c:v>
                </c:pt>
                <c:pt idx="220">
                  <c:v>109.79654641819114</c:v>
                </c:pt>
                <c:pt idx="221">
                  <c:v>109.79654641819114</c:v>
                </c:pt>
                <c:pt idx="222">
                  <c:v>109.79654641819114</c:v>
                </c:pt>
                <c:pt idx="223">
                  <c:v>109.70625798212004</c:v>
                </c:pt>
                <c:pt idx="224">
                  <c:v>109.65464443688329</c:v>
                </c:pt>
                <c:pt idx="225">
                  <c:v>110.01529051987767</c:v>
                </c:pt>
                <c:pt idx="226">
                  <c:v>110.08339006126617</c:v>
                </c:pt>
                <c:pt idx="227">
                  <c:v>109.82619754133107</c:v>
                </c:pt>
                <c:pt idx="228">
                  <c:v>109.82619754133107</c:v>
                </c:pt>
                <c:pt idx="229">
                  <c:v>109.82619754133107</c:v>
                </c:pt>
                <c:pt idx="230">
                  <c:v>109.91777570568787</c:v>
                </c:pt>
                <c:pt idx="231">
                  <c:v>110.01778304682867</c:v>
                </c:pt>
                <c:pt idx="232">
                  <c:v>110.01773798462709</c:v>
                </c:pt>
                <c:pt idx="233">
                  <c:v>109.94526315789474</c:v>
                </c:pt>
                <c:pt idx="234">
                  <c:v>109.68855218855219</c:v>
                </c:pt>
                <c:pt idx="235">
                  <c:v>109.68855218855219</c:v>
                </c:pt>
                <c:pt idx="236">
                  <c:v>109.68855218855219</c:v>
                </c:pt>
                <c:pt idx="237">
                  <c:v>109.84835720303283</c:v>
                </c:pt>
                <c:pt idx="238">
                  <c:v>110.28716216216218</c:v>
                </c:pt>
                <c:pt idx="239">
                  <c:v>110.24881516587679</c:v>
                </c:pt>
                <c:pt idx="240">
                  <c:v>109.71670190274841</c:v>
                </c:pt>
                <c:pt idx="241">
                  <c:v>109.94582698493312</c:v>
                </c:pt>
                <c:pt idx="242">
                  <c:v>109.94582698493312</c:v>
                </c:pt>
                <c:pt idx="243">
                  <c:v>109.94582698493312</c:v>
                </c:pt>
                <c:pt idx="244">
                  <c:v>109.99068664803995</c:v>
                </c:pt>
                <c:pt idx="245">
                  <c:v>109.69245107176143</c:v>
                </c:pt>
                <c:pt idx="246">
                  <c:v>109.36785986290938</c:v>
                </c:pt>
                <c:pt idx="247">
                  <c:v>109.72210418968302</c:v>
                </c:pt>
                <c:pt idx="248">
                  <c:v>109.95309168443495</c:v>
                </c:pt>
                <c:pt idx="249">
                  <c:v>109.95309168443495</c:v>
                </c:pt>
                <c:pt idx="250">
                  <c:v>109.95309168443495</c:v>
                </c:pt>
                <c:pt idx="251">
                  <c:v>109.44908749786798</c:v>
                </c:pt>
                <c:pt idx="252">
                  <c:v>109.22735800784582</c:v>
                </c:pt>
                <c:pt idx="253">
                  <c:v>109.7972105758535</c:v>
                </c:pt>
                <c:pt idx="254">
                  <c:v>110.33307777493826</c:v>
                </c:pt>
                <c:pt idx="255">
                  <c:v>110.72525597269626</c:v>
                </c:pt>
                <c:pt idx="256">
                  <c:v>110.72525597269626</c:v>
                </c:pt>
                <c:pt idx="257">
                  <c:v>110.72525597269626</c:v>
                </c:pt>
                <c:pt idx="258">
                  <c:v>111.01325352714836</c:v>
                </c:pt>
                <c:pt idx="259">
                  <c:v>111.50389454763334</c:v>
                </c:pt>
                <c:pt idx="260">
                  <c:v>111.95895844111054</c:v>
                </c:pt>
                <c:pt idx="261">
                  <c:v>111.29533678756476</c:v>
                </c:pt>
                <c:pt idx="262">
                  <c:v>111.06416005519144</c:v>
                </c:pt>
                <c:pt idx="263">
                  <c:v>111.06416005519144</c:v>
                </c:pt>
                <c:pt idx="264">
                  <c:v>111.06416005519144</c:v>
                </c:pt>
                <c:pt idx="265">
                  <c:v>110.93709663540143</c:v>
                </c:pt>
                <c:pt idx="266">
                  <c:v>111.46749439558545</c:v>
                </c:pt>
                <c:pt idx="267">
                  <c:v>111.40533056420908</c:v>
                </c:pt>
                <c:pt idx="268">
                  <c:v>111.61703601108033</c:v>
                </c:pt>
                <c:pt idx="269">
                  <c:v>112.24824963263896</c:v>
                </c:pt>
                <c:pt idx="270">
                  <c:v>112.24824963263896</c:v>
                </c:pt>
                <c:pt idx="271">
                  <c:v>112.24824963263896</c:v>
                </c:pt>
                <c:pt idx="272">
                  <c:v>113.28774238227147</c:v>
                </c:pt>
                <c:pt idx="273">
                  <c:v>113.60797918473548</c:v>
                </c:pt>
                <c:pt idx="274">
                  <c:v>113.24823184405729</c:v>
                </c:pt>
                <c:pt idx="275">
                  <c:v>113.67595067689922</c:v>
                </c:pt>
                <c:pt idx="276">
                  <c:v>114.23153176450307</c:v>
                </c:pt>
                <c:pt idx="277">
                  <c:v>114.23153176450307</c:v>
                </c:pt>
                <c:pt idx="278">
                  <c:v>114.23153176450307</c:v>
                </c:pt>
                <c:pt idx="279">
                  <c:v>114.32385874246339</c:v>
                </c:pt>
                <c:pt idx="280">
                  <c:v>114.38150090260466</c:v>
                </c:pt>
                <c:pt idx="281">
                  <c:v>114.29061883100162</c:v>
                </c:pt>
                <c:pt idx="282">
                  <c:v>113.98950357050676</c:v>
                </c:pt>
                <c:pt idx="283">
                  <c:v>113.52744138108737</c:v>
                </c:pt>
                <c:pt idx="284">
                  <c:v>113.52744138108737</c:v>
                </c:pt>
                <c:pt idx="285">
                  <c:v>113.52744138108737</c:v>
                </c:pt>
                <c:pt idx="286">
                  <c:v>113.72329427980702</c:v>
                </c:pt>
                <c:pt idx="287">
                  <c:v>114.16005519144532</c:v>
                </c:pt>
                <c:pt idx="288">
                  <c:v>113.83262949237266</c:v>
                </c:pt>
                <c:pt idx="289">
                  <c:v>113.57760465713551</c:v>
                </c:pt>
                <c:pt idx="290">
                  <c:v>114.00761377400936</c:v>
                </c:pt>
                <c:pt idx="291">
                  <c:v>114.00761377400936</c:v>
                </c:pt>
                <c:pt idx="292">
                  <c:v>114.00761377400936</c:v>
                </c:pt>
                <c:pt idx="293">
                  <c:v>114.00137859727727</c:v>
                </c:pt>
                <c:pt idx="294">
                  <c:v>113.96493652301582</c:v>
                </c:pt>
                <c:pt idx="295">
                  <c:v>114.00275576989321</c:v>
                </c:pt>
                <c:pt idx="296">
                  <c:v>113.76146788990826</c:v>
                </c:pt>
                <c:pt idx="297">
                  <c:v>113.41748076424309</c:v>
                </c:pt>
                <c:pt idx="298">
                  <c:v>113.41748076424309</c:v>
                </c:pt>
                <c:pt idx="299">
                  <c:v>113.41748076424309</c:v>
                </c:pt>
                <c:pt idx="300">
                  <c:v>113.23034435142831</c:v>
                </c:pt>
                <c:pt idx="301">
                  <c:v>112.87846114034332</c:v>
                </c:pt>
                <c:pt idx="302">
                  <c:v>113.90365014374075</c:v>
                </c:pt>
                <c:pt idx="303">
                  <c:v>114.05990743166537</c:v>
                </c:pt>
                <c:pt idx="304">
                  <c:v>113.87505460899956</c:v>
                </c:pt>
                <c:pt idx="305">
                  <c:v>113.87505460899956</c:v>
                </c:pt>
                <c:pt idx="306">
                  <c:v>113.87505460899956</c:v>
                </c:pt>
                <c:pt idx="307">
                  <c:v>114.12737508796623</c:v>
                </c:pt>
                <c:pt idx="308">
                  <c:v>114.82332155477032</c:v>
                </c:pt>
                <c:pt idx="309">
                  <c:v>114.0913508260447</c:v>
                </c:pt>
                <c:pt idx="310">
                  <c:v>114.26435669686045</c:v>
                </c:pt>
                <c:pt idx="311">
                  <c:v>114.00354295837025</c:v>
                </c:pt>
                <c:pt idx="312">
                  <c:v>114.00354295837025</c:v>
                </c:pt>
                <c:pt idx="313">
                  <c:v>114.00354295837025</c:v>
                </c:pt>
                <c:pt idx="314">
                  <c:v>114.87051704191512</c:v>
                </c:pt>
                <c:pt idx="315">
                  <c:v>115.14046941678519</c:v>
                </c:pt>
                <c:pt idx="316">
                  <c:v>115.43887847129209</c:v>
                </c:pt>
                <c:pt idx="317">
                  <c:v>115.36265500936747</c:v>
                </c:pt>
                <c:pt idx="318">
                  <c:v>113.41344879384997</c:v>
                </c:pt>
                <c:pt idx="319">
                  <c:v>113.41344879384997</c:v>
                </c:pt>
                <c:pt idx="320">
                  <c:v>113.41344879384997</c:v>
                </c:pt>
                <c:pt idx="321">
                  <c:v>113.53290231157558</c:v>
                </c:pt>
                <c:pt idx="322">
                  <c:v>113.17692714764509</c:v>
                </c:pt>
                <c:pt idx="323">
                  <c:v>112.78268551236751</c:v>
                </c:pt>
                <c:pt idx="324">
                  <c:v>113.12273250154853</c:v>
                </c:pt>
                <c:pt idx="325">
                  <c:v>112.80600972160849</c:v>
                </c:pt>
                <c:pt idx="326">
                  <c:v>112.80600972160849</c:v>
                </c:pt>
                <c:pt idx="327">
                  <c:v>112.80600972160849</c:v>
                </c:pt>
                <c:pt idx="328">
                  <c:v>113.47806823216659</c:v>
                </c:pt>
                <c:pt idx="329">
                  <c:v>113.56172894293069</c:v>
                </c:pt>
                <c:pt idx="330">
                  <c:v>113.65599929471919</c:v>
                </c:pt>
                <c:pt idx="331">
                  <c:v>113.49508545116443</c:v>
                </c:pt>
                <c:pt idx="332">
                  <c:v>113.42703084946521</c:v>
                </c:pt>
                <c:pt idx="333">
                  <c:v>113.42703084946521</c:v>
                </c:pt>
                <c:pt idx="334">
                  <c:v>113.42703084946521</c:v>
                </c:pt>
                <c:pt idx="335">
                  <c:v>113.55902162353773</c:v>
                </c:pt>
                <c:pt idx="336">
                  <c:v>113.68682831512568</c:v>
                </c:pt>
                <c:pt idx="337">
                  <c:v>114.03135795907519</c:v>
                </c:pt>
                <c:pt idx="338">
                  <c:v>113.66284201235658</c:v>
                </c:pt>
                <c:pt idx="339">
                  <c:v>113.72775800711743</c:v>
                </c:pt>
                <c:pt idx="340">
                  <c:v>113.72775800711743</c:v>
                </c:pt>
                <c:pt idx="341">
                  <c:v>113.72775800711743</c:v>
                </c:pt>
                <c:pt idx="342">
                  <c:v>113.61822856636228</c:v>
                </c:pt>
                <c:pt idx="343">
                  <c:v>114.08063801506425</c:v>
                </c:pt>
                <c:pt idx="344">
                  <c:v>114.10912943669433</c:v>
                </c:pt>
                <c:pt idx="345">
                  <c:v>114.40805155822372</c:v>
                </c:pt>
                <c:pt idx="346">
                  <c:v>114.40056542097361</c:v>
                </c:pt>
                <c:pt idx="347">
                  <c:v>114.40056542097361</c:v>
                </c:pt>
                <c:pt idx="348">
                  <c:v>114.40056542097361</c:v>
                </c:pt>
                <c:pt idx="349">
                  <c:v>114.86581920903954</c:v>
                </c:pt>
                <c:pt idx="350">
                  <c:v>114.81874447391689</c:v>
                </c:pt>
                <c:pt idx="351">
                  <c:v>114.9792933298088</c:v>
                </c:pt>
                <c:pt idx="352">
                  <c:v>115.0551876379691</c:v>
                </c:pt>
                <c:pt idx="353">
                  <c:v>115.12752858399297</c:v>
                </c:pt>
                <c:pt idx="354">
                  <c:v>115.12752858399297</c:v>
                </c:pt>
                <c:pt idx="355">
                  <c:v>115.12752858399297</c:v>
                </c:pt>
                <c:pt idx="356">
                  <c:v>115.3226520315128</c:v>
                </c:pt>
                <c:pt idx="357">
                  <c:v>116.15132453264818</c:v>
                </c:pt>
                <c:pt idx="358">
                  <c:v>116.11278062577338</c:v>
                </c:pt>
                <c:pt idx="359">
                  <c:v>115.80065504116138</c:v>
                </c:pt>
                <c:pt idx="360">
                  <c:v>115.57218309859155</c:v>
                </c:pt>
                <c:pt idx="361">
                  <c:v>115.57218309859155</c:v>
                </c:pt>
                <c:pt idx="362">
                  <c:v>115.57218309859155</c:v>
                </c:pt>
                <c:pt idx="363">
                  <c:v>115.18629701571605</c:v>
                </c:pt>
                <c:pt idx="364">
                  <c:v>115.3074689891792</c:v>
                </c:pt>
                <c:pt idx="365">
                  <c:v>114.63030938647088</c:v>
                </c:pt>
                <c:pt idx="366">
                  <c:v>114.18594500218246</c:v>
                </c:pt>
              </c:numCache>
            </c:numRef>
          </c:val>
          <c:smooth val="0"/>
          <c:extLst>
            <c:ext xmlns:c16="http://schemas.microsoft.com/office/drawing/2014/chart" uri="{C3380CC4-5D6E-409C-BE32-E72D297353CC}">
              <c16:uniqueId val="{00000000-AE41-4F5B-8BC8-434AE4333EB9}"/>
            </c:ext>
          </c:extLst>
        </c:ser>
        <c:ser>
          <c:idx val="1"/>
          <c:order val="1"/>
          <c:tx>
            <c:strRef>
              <c:f>Állandó_ábrák!$G$6</c:f>
              <c:strCache>
                <c:ptCount val="1"/>
                <c:pt idx="0">
                  <c:v>200-napos m.átl.</c:v>
                </c:pt>
              </c:strCache>
            </c:strRef>
          </c:tx>
          <c:spPr>
            <a:ln w="25400">
              <a:solidFill>
                <a:srgbClr val="50B4E1"/>
              </a:solidFill>
              <a:prstDash val="solid"/>
            </a:ln>
          </c:spPr>
          <c:marker>
            <c:symbol val="none"/>
          </c:marker>
          <c:cat>
            <c:numRef>
              <c:f>Állandó_ábrák!$AA$37:$AA$403</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Állandó_ábrák!$AJ$37:$AJ$403</c:f>
              <c:numCache>
                <c:formatCode>General</c:formatCode>
                <c:ptCount val="367"/>
                <c:pt idx="0">
                  <c:v>105.83110497714138</c:v>
                </c:pt>
                <c:pt idx="1">
                  <c:v>105.81084576256575</c:v>
                </c:pt>
                <c:pt idx="2">
                  <c:v>105.79060749676863</c:v>
                </c:pt>
                <c:pt idx="3">
                  <c:v>105.76177762466627</c:v>
                </c:pt>
                <c:pt idx="4">
                  <c:v>105.76177762466627</c:v>
                </c:pt>
                <c:pt idx="5">
                  <c:v>105.76177762466627</c:v>
                </c:pt>
                <c:pt idx="6">
                  <c:v>105.74158560729965</c:v>
                </c:pt>
                <c:pt idx="7">
                  <c:v>105.72141443689236</c:v>
                </c:pt>
                <c:pt idx="8">
                  <c:v>105.70126408117636</c:v>
                </c:pt>
                <c:pt idx="9">
                  <c:v>105.68972926514826</c:v>
                </c:pt>
                <c:pt idx="10">
                  <c:v>105.66912901563306</c:v>
                </c:pt>
                <c:pt idx="11">
                  <c:v>105.66912901563306</c:v>
                </c:pt>
                <c:pt idx="12">
                  <c:v>105.66912901563306</c:v>
                </c:pt>
                <c:pt idx="13">
                  <c:v>105.64903846153845</c:v>
                </c:pt>
                <c:pt idx="14">
                  <c:v>105.62848562848563</c:v>
                </c:pt>
                <c:pt idx="15">
                  <c:v>105.60843838435812</c:v>
                </c:pt>
                <c:pt idx="16">
                  <c:v>105.58793280767912</c:v>
                </c:pt>
                <c:pt idx="17">
                  <c:v>105.58506081891383</c:v>
                </c:pt>
                <c:pt idx="18">
                  <c:v>105.58506081891383</c:v>
                </c:pt>
                <c:pt idx="19">
                  <c:v>105.58506081891383</c:v>
                </c:pt>
                <c:pt idx="20">
                  <c:v>105.57363013698631</c:v>
                </c:pt>
                <c:pt idx="21">
                  <c:v>105.55317874561477</c:v>
                </c:pt>
                <c:pt idx="22">
                  <c:v>105.55935682517961</c:v>
                </c:pt>
                <c:pt idx="23">
                  <c:v>105.54843122168077</c:v>
                </c:pt>
                <c:pt idx="24">
                  <c:v>105.53704178415792</c:v>
                </c:pt>
                <c:pt idx="25">
                  <c:v>105.53704178415792</c:v>
                </c:pt>
                <c:pt idx="26">
                  <c:v>105.53704178415792</c:v>
                </c:pt>
                <c:pt idx="27">
                  <c:v>105.53467714383328</c:v>
                </c:pt>
                <c:pt idx="28">
                  <c:v>105.5228339735382</c:v>
                </c:pt>
                <c:pt idx="29">
                  <c:v>105.52000682535621</c:v>
                </c:pt>
                <c:pt idx="30">
                  <c:v>105.50818553888129</c:v>
                </c:pt>
                <c:pt idx="31">
                  <c:v>105.50536901312425</c:v>
                </c:pt>
                <c:pt idx="32">
                  <c:v>105.50536901312425</c:v>
                </c:pt>
                <c:pt idx="33">
                  <c:v>105.50536901312425</c:v>
                </c:pt>
                <c:pt idx="34">
                  <c:v>105.4850523805468</c:v>
                </c:pt>
                <c:pt idx="35">
                  <c:v>105.48225078743508</c:v>
                </c:pt>
                <c:pt idx="36">
                  <c:v>105.47945205479452</c:v>
                </c:pt>
                <c:pt idx="37">
                  <c:v>105.46768707482994</c:v>
                </c:pt>
                <c:pt idx="38">
                  <c:v>105.46489886112528</c:v>
                </c:pt>
                <c:pt idx="39">
                  <c:v>105.46489886112528</c:v>
                </c:pt>
                <c:pt idx="40">
                  <c:v>105.46489886112528</c:v>
                </c:pt>
                <c:pt idx="41">
                  <c:v>105.45361875637104</c:v>
                </c:pt>
                <c:pt idx="42">
                  <c:v>105.43339842091859</c:v>
                </c:pt>
                <c:pt idx="43">
                  <c:v>105.43063215952481</c:v>
                </c:pt>
                <c:pt idx="44">
                  <c:v>105.41938766856076</c:v>
                </c:pt>
                <c:pt idx="45">
                  <c:v>105.41663134695261</c:v>
                </c:pt>
                <c:pt idx="46">
                  <c:v>105.41663134695261</c:v>
                </c:pt>
                <c:pt idx="47">
                  <c:v>105.41663134695261</c:v>
                </c:pt>
                <c:pt idx="48">
                  <c:v>105.42280969327234</c:v>
                </c:pt>
                <c:pt idx="49">
                  <c:v>105.41158536585365</c:v>
                </c:pt>
                <c:pt idx="50">
                  <c:v>105.4177600948108</c:v>
                </c:pt>
                <c:pt idx="51">
                  <c:v>105.41546793027585</c:v>
                </c:pt>
                <c:pt idx="52">
                  <c:v>105.41363559465404</c:v>
                </c:pt>
                <c:pt idx="53">
                  <c:v>105.41363559465404</c:v>
                </c:pt>
                <c:pt idx="54">
                  <c:v>105.41363559465404</c:v>
                </c:pt>
                <c:pt idx="55">
                  <c:v>105.42917547568709</c:v>
                </c:pt>
                <c:pt idx="56">
                  <c:v>105.4273395891453</c:v>
                </c:pt>
                <c:pt idx="57">
                  <c:v>105.42596348884381</c:v>
                </c:pt>
                <c:pt idx="58">
                  <c:v>105.41568097330179</c:v>
                </c:pt>
                <c:pt idx="59">
                  <c:v>105.42275530027875</c:v>
                </c:pt>
                <c:pt idx="60">
                  <c:v>105.42275530027875</c:v>
                </c:pt>
                <c:pt idx="61">
                  <c:v>105.42275530027875</c:v>
                </c:pt>
                <c:pt idx="62">
                  <c:v>105.42138152339133</c:v>
                </c:pt>
                <c:pt idx="63">
                  <c:v>105.42845082313211</c:v>
                </c:pt>
                <c:pt idx="64">
                  <c:v>105.43551654287643</c:v>
                </c:pt>
                <c:pt idx="65">
                  <c:v>105.4510167918319</c:v>
                </c:pt>
                <c:pt idx="66">
                  <c:v>105.45807322422812</c:v>
                </c:pt>
                <c:pt idx="67">
                  <c:v>105.45807322422812</c:v>
                </c:pt>
                <c:pt idx="68">
                  <c:v>105.45807322422812</c:v>
                </c:pt>
                <c:pt idx="69">
                  <c:v>105.46512608585645</c:v>
                </c:pt>
                <c:pt idx="70">
                  <c:v>105.47217537942666</c:v>
                </c:pt>
                <c:pt idx="71">
                  <c:v>105.47922110764563</c:v>
                </c:pt>
                <c:pt idx="72">
                  <c:v>105.4946907129614</c:v>
                </c:pt>
                <c:pt idx="73">
                  <c:v>105.5101524981043</c:v>
                </c:pt>
                <c:pt idx="74">
                  <c:v>105.5101524981043</c:v>
                </c:pt>
                <c:pt idx="75">
                  <c:v>105.5101524981043</c:v>
                </c:pt>
                <c:pt idx="76">
                  <c:v>105.52607194002189</c:v>
                </c:pt>
                <c:pt idx="77">
                  <c:v>105.54198601869788</c:v>
                </c:pt>
                <c:pt idx="78">
                  <c:v>105.55742674301112</c:v>
                </c:pt>
                <c:pt idx="79">
                  <c:v>105.57285966832225</c:v>
                </c:pt>
                <c:pt idx="80">
                  <c:v>105.59717195522262</c:v>
                </c:pt>
                <c:pt idx="81">
                  <c:v>105.59717195522262</c:v>
                </c:pt>
                <c:pt idx="82">
                  <c:v>105.59717195522262</c:v>
                </c:pt>
                <c:pt idx="83">
                  <c:v>105.61258835408954</c:v>
                </c:pt>
                <c:pt idx="84">
                  <c:v>105.61958441995456</c:v>
                </c:pt>
                <c:pt idx="85">
                  <c:v>105.62610377596501</c:v>
                </c:pt>
                <c:pt idx="86">
                  <c:v>105.641499915924</c:v>
                </c:pt>
                <c:pt idx="87">
                  <c:v>105.64848281079264</c:v>
                </c:pt>
                <c:pt idx="88">
                  <c:v>105.64848281079264</c:v>
                </c:pt>
                <c:pt idx="89">
                  <c:v>105.64848281079264</c:v>
                </c:pt>
                <c:pt idx="90">
                  <c:v>105.66386554621849</c:v>
                </c:pt>
                <c:pt idx="91">
                  <c:v>105.66196236559141</c:v>
                </c:pt>
                <c:pt idx="92">
                  <c:v>105.67733266145963</c:v>
                </c:pt>
                <c:pt idx="93">
                  <c:v>105.69269521410578</c:v>
                </c:pt>
                <c:pt idx="94">
                  <c:v>105.69078395165351</c:v>
                </c:pt>
                <c:pt idx="95">
                  <c:v>105.69078395165351</c:v>
                </c:pt>
                <c:pt idx="96">
                  <c:v>105.69078395165351</c:v>
                </c:pt>
                <c:pt idx="97">
                  <c:v>105.70613409415121</c:v>
                </c:pt>
                <c:pt idx="98">
                  <c:v>105.70469798657719</c:v>
                </c:pt>
                <c:pt idx="99">
                  <c:v>105.71164975257906</c:v>
                </c:pt>
                <c:pt idx="100">
                  <c:v>105.7097342164836</c:v>
                </c:pt>
                <c:pt idx="101">
                  <c:v>105.71668063704945</c:v>
                </c:pt>
                <c:pt idx="102">
                  <c:v>105.71668063704945</c:v>
                </c:pt>
                <c:pt idx="103">
                  <c:v>105.71668063704945</c:v>
                </c:pt>
                <c:pt idx="104">
                  <c:v>105.72362356490405</c:v>
                </c:pt>
                <c:pt idx="105">
                  <c:v>105.73056300268097</c:v>
                </c:pt>
                <c:pt idx="106">
                  <c:v>105.73749895301114</c:v>
                </c:pt>
                <c:pt idx="107">
                  <c:v>105.75328699438909</c:v>
                </c:pt>
                <c:pt idx="108">
                  <c:v>105.76906974796952</c:v>
                </c:pt>
                <c:pt idx="109">
                  <c:v>105.76906974796952</c:v>
                </c:pt>
                <c:pt idx="110">
                  <c:v>105.76906974796952</c:v>
                </c:pt>
                <c:pt idx="111">
                  <c:v>105.78484721640855</c:v>
                </c:pt>
                <c:pt idx="112">
                  <c:v>105.80947597522183</c:v>
                </c:pt>
                <c:pt idx="113">
                  <c:v>105.83410061103204</c:v>
                </c:pt>
                <c:pt idx="114">
                  <c:v>105.85872112487445</c:v>
                </c:pt>
                <c:pt idx="115">
                  <c:v>105.86610878661088</c:v>
                </c:pt>
                <c:pt idx="116">
                  <c:v>105.86610878661088</c:v>
                </c:pt>
                <c:pt idx="117">
                  <c:v>105.86610878661088</c:v>
                </c:pt>
                <c:pt idx="118">
                  <c:v>105.88186077643908</c:v>
                </c:pt>
                <c:pt idx="119">
                  <c:v>105.89760749539903</c:v>
                </c:pt>
                <c:pt idx="120">
                  <c:v>105.91384358009202</c:v>
                </c:pt>
                <c:pt idx="121">
                  <c:v>105.93844095015055</c:v>
                </c:pt>
                <c:pt idx="122">
                  <c:v>105.9541729386185</c:v>
                </c:pt>
                <c:pt idx="123">
                  <c:v>105.9541729386185</c:v>
                </c:pt>
                <c:pt idx="124">
                  <c:v>105.9541729386185</c:v>
                </c:pt>
                <c:pt idx="125">
                  <c:v>105.96989966555184</c:v>
                </c:pt>
                <c:pt idx="126">
                  <c:v>105.9856211335897</c:v>
                </c:pt>
                <c:pt idx="127">
                  <c:v>105.99297893681045</c:v>
                </c:pt>
                <c:pt idx="128">
                  <c:v>106.00869129199397</c:v>
                </c:pt>
                <c:pt idx="129">
                  <c:v>106.01604278074865</c:v>
                </c:pt>
                <c:pt idx="130">
                  <c:v>106.01604278074865</c:v>
                </c:pt>
                <c:pt idx="131">
                  <c:v>106.01604278074865</c:v>
                </c:pt>
                <c:pt idx="132">
                  <c:v>106.02339181286548</c:v>
                </c:pt>
                <c:pt idx="133">
                  <c:v>106.04794921059226</c:v>
                </c:pt>
                <c:pt idx="134">
                  <c:v>106.06364319719368</c:v>
                </c:pt>
                <c:pt idx="135">
                  <c:v>106.07933194154488</c:v>
                </c:pt>
                <c:pt idx="136">
                  <c:v>106.1033647824998</c:v>
                </c:pt>
                <c:pt idx="137">
                  <c:v>106.1033647824998</c:v>
                </c:pt>
                <c:pt idx="138">
                  <c:v>106.1033647824998</c:v>
                </c:pt>
                <c:pt idx="139">
                  <c:v>106.11904165623174</c:v>
                </c:pt>
                <c:pt idx="140">
                  <c:v>106.13471329605208</c:v>
                </c:pt>
                <c:pt idx="141">
                  <c:v>106.1503797045815</c:v>
                </c:pt>
                <c:pt idx="142">
                  <c:v>106.17489986648866</c:v>
                </c:pt>
                <c:pt idx="143">
                  <c:v>106.19941593658741</c:v>
                </c:pt>
                <c:pt idx="144">
                  <c:v>106.19941593658741</c:v>
                </c:pt>
                <c:pt idx="145">
                  <c:v>106.19941593658741</c:v>
                </c:pt>
                <c:pt idx="146">
                  <c:v>106.20672395094685</c:v>
                </c:pt>
                <c:pt idx="147">
                  <c:v>106.23123123123122</c:v>
                </c:pt>
                <c:pt idx="148">
                  <c:v>106.24687239366138</c:v>
                </c:pt>
                <c:pt idx="149">
                  <c:v>106.26303060628804</c:v>
                </c:pt>
                <c:pt idx="150">
                  <c:v>106.278662553156</c:v>
                </c:pt>
                <c:pt idx="151">
                  <c:v>106.278662553156</c:v>
                </c:pt>
                <c:pt idx="152">
                  <c:v>106.278662553156</c:v>
                </c:pt>
                <c:pt idx="153">
                  <c:v>106.30315157578789</c:v>
                </c:pt>
                <c:pt idx="154">
                  <c:v>106.31877292430811</c:v>
                </c:pt>
                <c:pt idx="155">
                  <c:v>106.34325247978661</c:v>
                </c:pt>
                <c:pt idx="156">
                  <c:v>106.3682587313495</c:v>
                </c:pt>
                <c:pt idx="157">
                  <c:v>106.38492956572476</c:v>
                </c:pt>
                <c:pt idx="158">
                  <c:v>106.38492956572476</c:v>
                </c:pt>
                <c:pt idx="159">
                  <c:v>106.38492956572476</c:v>
                </c:pt>
                <c:pt idx="160">
                  <c:v>106.40106684447407</c:v>
                </c:pt>
                <c:pt idx="161">
                  <c:v>106.43440573428906</c:v>
                </c:pt>
                <c:pt idx="162">
                  <c:v>106.45887157263105</c:v>
                </c:pt>
                <c:pt idx="163">
                  <c:v>106.49220768397367</c:v>
                </c:pt>
                <c:pt idx="164">
                  <c:v>106.52554379531627</c:v>
                </c:pt>
                <c:pt idx="165">
                  <c:v>106.52554379531627</c:v>
                </c:pt>
                <c:pt idx="166">
                  <c:v>106.52554379531627</c:v>
                </c:pt>
                <c:pt idx="167">
                  <c:v>106.55833333333334</c:v>
                </c:pt>
                <c:pt idx="168">
                  <c:v>106.582784767936</c:v>
                </c:pt>
                <c:pt idx="169">
                  <c:v>106.61556407265456</c:v>
                </c:pt>
                <c:pt idx="170">
                  <c:v>106.64000666500043</c:v>
                </c:pt>
                <c:pt idx="171">
                  <c:v>106.67277574141954</c:v>
                </c:pt>
                <c:pt idx="172">
                  <c:v>106.67277574141954</c:v>
                </c:pt>
                <c:pt idx="173">
                  <c:v>106.67277574141954</c:v>
                </c:pt>
                <c:pt idx="174">
                  <c:v>106.69720949604333</c:v>
                </c:pt>
                <c:pt idx="175">
                  <c:v>106.71331001166085</c:v>
                </c:pt>
                <c:pt idx="176">
                  <c:v>106.74662668665668</c:v>
                </c:pt>
                <c:pt idx="177">
                  <c:v>106.77161419290356</c:v>
                </c:pt>
                <c:pt idx="178">
                  <c:v>106.78770717081701</c:v>
                </c:pt>
                <c:pt idx="179">
                  <c:v>106.78770717081701</c:v>
                </c:pt>
                <c:pt idx="180">
                  <c:v>106.78770717081701</c:v>
                </c:pt>
                <c:pt idx="181">
                  <c:v>106.80379746835442</c:v>
                </c:pt>
                <c:pt idx="182">
                  <c:v>106.83710859427048</c:v>
                </c:pt>
                <c:pt idx="183">
                  <c:v>106.85376415722851</c:v>
                </c:pt>
                <c:pt idx="184">
                  <c:v>106.86984761428928</c:v>
                </c:pt>
                <c:pt idx="185">
                  <c:v>106.89540306462359</c:v>
                </c:pt>
                <c:pt idx="186">
                  <c:v>106.89540306462359</c:v>
                </c:pt>
                <c:pt idx="187">
                  <c:v>106.89540306462359</c:v>
                </c:pt>
                <c:pt idx="188">
                  <c:v>106.92038640906061</c:v>
                </c:pt>
                <c:pt idx="189">
                  <c:v>106.93646431842782</c:v>
                </c:pt>
                <c:pt idx="190">
                  <c:v>106.9614455824798</c:v>
                </c:pt>
                <c:pt idx="191">
                  <c:v>106.98642684653176</c:v>
                </c:pt>
                <c:pt idx="192">
                  <c:v>107.01140811058372</c:v>
                </c:pt>
                <c:pt idx="193">
                  <c:v>107.01140811058372</c:v>
                </c:pt>
                <c:pt idx="194">
                  <c:v>107.01140811058372</c:v>
                </c:pt>
                <c:pt idx="195">
                  <c:v>107.02747710241464</c:v>
                </c:pt>
                <c:pt idx="196">
                  <c:v>107.06137063868763</c:v>
                </c:pt>
                <c:pt idx="197">
                  <c:v>107.08635190273959</c:v>
                </c:pt>
                <c:pt idx="198">
                  <c:v>107.10241465445461</c:v>
                </c:pt>
                <c:pt idx="199">
                  <c:v>107.12739383846794</c:v>
                </c:pt>
                <c:pt idx="200">
                  <c:v>107.12739383846794</c:v>
                </c:pt>
                <c:pt idx="201">
                  <c:v>107.12739383846794</c:v>
                </c:pt>
                <c:pt idx="202">
                  <c:v>107.15237302248126</c:v>
                </c:pt>
                <c:pt idx="203">
                  <c:v>107.17735220649458</c:v>
                </c:pt>
                <c:pt idx="204">
                  <c:v>107.20173174589958</c:v>
                </c:pt>
                <c:pt idx="205">
                  <c:v>107.22610722610723</c:v>
                </c:pt>
                <c:pt idx="206">
                  <c:v>107.25108225108225</c:v>
                </c:pt>
                <c:pt idx="207">
                  <c:v>107.25108225108225</c:v>
                </c:pt>
                <c:pt idx="208">
                  <c:v>107.25108225108225</c:v>
                </c:pt>
                <c:pt idx="209">
                  <c:v>107.27545159410639</c:v>
                </c:pt>
                <c:pt idx="210">
                  <c:v>107.30874885540663</c:v>
                </c:pt>
                <c:pt idx="211">
                  <c:v>107.33372180138183</c:v>
                </c:pt>
                <c:pt idx="212">
                  <c:v>107.37595737595737</c:v>
                </c:pt>
                <c:pt idx="213">
                  <c:v>107.40093240093239</c:v>
                </c:pt>
                <c:pt idx="214">
                  <c:v>107.40093240093239</c:v>
                </c:pt>
                <c:pt idx="215">
                  <c:v>107.40093240093239</c:v>
                </c:pt>
                <c:pt idx="216">
                  <c:v>107.41758241758241</c:v>
                </c:pt>
                <c:pt idx="217">
                  <c:v>107.44317708766964</c:v>
                </c:pt>
                <c:pt idx="218">
                  <c:v>107.45982849055032</c:v>
                </c:pt>
                <c:pt idx="219">
                  <c:v>107.48542880932555</c:v>
                </c:pt>
                <c:pt idx="220">
                  <c:v>107.51040799333889</c:v>
                </c:pt>
                <c:pt idx="221">
                  <c:v>107.51040799333889</c:v>
                </c:pt>
                <c:pt idx="222">
                  <c:v>107.51040799333889</c:v>
                </c:pt>
                <c:pt idx="223">
                  <c:v>107.53601465567489</c:v>
                </c:pt>
                <c:pt idx="224">
                  <c:v>107.56099591972685</c:v>
                </c:pt>
                <c:pt idx="225">
                  <c:v>107.59493670886074</c:v>
                </c:pt>
                <c:pt idx="226">
                  <c:v>107.61992005329779</c:v>
                </c:pt>
                <c:pt idx="227">
                  <c:v>107.6538685766636</c:v>
                </c:pt>
                <c:pt idx="228">
                  <c:v>107.6538685766636</c:v>
                </c:pt>
                <c:pt idx="229">
                  <c:v>107.6538685766636</c:v>
                </c:pt>
                <c:pt idx="230">
                  <c:v>107.67885400183225</c:v>
                </c:pt>
                <c:pt idx="231">
                  <c:v>107.7038394270009</c:v>
                </c:pt>
                <c:pt idx="232">
                  <c:v>107.73779776778278</c:v>
                </c:pt>
                <c:pt idx="233">
                  <c:v>107.76278527402965</c:v>
                </c:pt>
                <c:pt idx="234">
                  <c:v>107.78777278027654</c:v>
                </c:pt>
                <c:pt idx="235">
                  <c:v>107.78777278027654</c:v>
                </c:pt>
                <c:pt idx="236">
                  <c:v>107.78777278027654</c:v>
                </c:pt>
                <c:pt idx="237">
                  <c:v>107.82174094127447</c:v>
                </c:pt>
                <c:pt idx="238">
                  <c:v>107.84738420526493</c:v>
                </c:pt>
                <c:pt idx="239">
                  <c:v>107.87303174206448</c:v>
                </c:pt>
                <c:pt idx="240">
                  <c:v>107.90767436046997</c:v>
                </c:pt>
                <c:pt idx="241">
                  <c:v>107.93333333333335</c:v>
                </c:pt>
                <c:pt idx="242">
                  <c:v>107.93333333333335</c:v>
                </c:pt>
                <c:pt idx="243">
                  <c:v>107.93333333333335</c:v>
                </c:pt>
                <c:pt idx="244">
                  <c:v>107.96799466577762</c:v>
                </c:pt>
                <c:pt idx="245">
                  <c:v>107.9936650829374</c:v>
                </c:pt>
                <c:pt idx="246">
                  <c:v>108.020008336807</c:v>
                </c:pt>
                <c:pt idx="247">
                  <c:v>108.04636037688653</c:v>
                </c:pt>
                <c:pt idx="248">
                  <c:v>108.08106079559668</c:v>
                </c:pt>
                <c:pt idx="249">
                  <c:v>108.08106079559668</c:v>
                </c:pt>
                <c:pt idx="250">
                  <c:v>108.08106079559668</c:v>
                </c:pt>
                <c:pt idx="251">
                  <c:v>108.1074318124948</c:v>
                </c:pt>
                <c:pt idx="252">
                  <c:v>108.13381162926503</c:v>
                </c:pt>
                <c:pt idx="253">
                  <c:v>108.1602002503129</c:v>
                </c:pt>
                <c:pt idx="254">
                  <c:v>108.20397262560509</c:v>
                </c:pt>
                <c:pt idx="255">
                  <c:v>108.23941898322063</c:v>
                </c:pt>
                <c:pt idx="256">
                  <c:v>108.23941898322063</c:v>
                </c:pt>
                <c:pt idx="257">
                  <c:v>108.23941898322063</c:v>
                </c:pt>
                <c:pt idx="258">
                  <c:v>108.27419220171997</c:v>
                </c:pt>
                <c:pt idx="259">
                  <c:v>108.31802238182728</c:v>
                </c:pt>
                <c:pt idx="260">
                  <c:v>108.36187453011443</c:v>
                </c:pt>
                <c:pt idx="261">
                  <c:v>108.39739304812832</c:v>
                </c:pt>
                <c:pt idx="262">
                  <c:v>108.43292937735062</c:v>
                </c:pt>
                <c:pt idx="263">
                  <c:v>108.43292937735062</c:v>
                </c:pt>
                <c:pt idx="264">
                  <c:v>108.43292937735062</c:v>
                </c:pt>
                <c:pt idx="265">
                  <c:v>108.46848353118209</c:v>
                </c:pt>
                <c:pt idx="266">
                  <c:v>108.50405552303704</c:v>
                </c:pt>
                <c:pt idx="267">
                  <c:v>108.54872438310331</c:v>
                </c:pt>
                <c:pt idx="268">
                  <c:v>108.59270414993306</c:v>
                </c:pt>
                <c:pt idx="269">
                  <c:v>108.63670600050213</c:v>
                </c:pt>
                <c:pt idx="270">
                  <c:v>108.63670600050213</c:v>
                </c:pt>
                <c:pt idx="271">
                  <c:v>108.63670600050213</c:v>
                </c:pt>
                <c:pt idx="272">
                  <c:v>108.68982838007537</c:v>
                </c:pt>
                <c:pt idx="273">
                  <c:v>108.74298634955197</c:v>
                </c:pt>
                <c:pt idx="274">
                  <c:v>108.78706651030323</c:v>
                </c:pt>
                <c:pt idx="275">
                  <c:v>108.84866767219708</c:v>
                </c:pt>
                <c:pt idx="276">
                  <c:v>108.89280026820886</c:v>
                </c:pt>
                <c:pt idx="277">
                  <c:v>108.89280026820886</c:v>
                </c:pt>
                <c:pt idx="278">
                  <c:v>108.89280026820886</c:v>
                </c:pt>
                <c:pt idx="279">
                  <c:v>108.93620588481849</c:v>
                </c:pt>
                <c:pt idx="280">
                  <c:v>108.98876404494381</c:v>
                </c:pt>
                <c:pt idx="281">
                  <c:v>109.04973580474714</c:v>
                </c:pt>
                <c:pt idx="282">
                  <c:v>109.1023489932886</c:v>
                </c:pt>
                <c:pt idx="283">
                  <c:v>109.14582983722103</c:v>
                </c:pt>
                <c:pt idx="284">
                  <c:v>109.14582983722103</c:v>
                </c:pt>
                <c:pt idx="285">
                  <c:v>109.14582983722103</c:v>
                </c:pt>
                <c:pt idx="286">
                  <c:v>109.19771735481706</c:v>
                </c:pt>
                <c:pt idx="287">
                  <c:v>109.25039872408294</c:v>
                </c:pt>
                <c:pt idx="288">
                  <c:v>109.29392998069012</c:v>
                </c:pt>
                <c:pt idx="289">
                  <c:v>109.35505542492442</c:v>
                </c:pt>
                <c:pt idx="290">
                  <c:v>109.39941201175978</c:v>
                </c:pt>
                <c:pt idx="291">
                  <c:v>109.39941201175978</c:v>
                </c:pt>
                <c:pt idx="292">
                  <c:v>109.39941201175978</c:v>
                </c:pt>
                <c:pt idx="293">
                  <c:v>109.45139880702345</c:v>
                </c:pt>
                <c:pt idx="294">
                  <c:v>109.50420168067228</c:v>
                </c:pt>
                <c:pt idx="295">
                  <c:v>109.55703118433219</c:v>
                </c:pt>
                <c:pt idx="296">
                  <c:v>109.60147973768288</c:v>
                </c:pt>
                <c:pt idx="297">
                  <c:v>109.63673057517659</c:v>
                </c:pt>
                <c:pt idx="298">
                  <c:v>109.63673057517659</c:v>
                </c:pt>
                <c:pt idx="299">
                  <c:v>109.63673057517659</c:v>
                </c:pt>
                <c:pt idx="300">
                  <c:v>109.6896290688872</c:v>
                </c:pt>
                <c:pt idx="301">
                  <c:v>109.72490956507109</c:v>
                </c:pt>
                <c:pt idx="302">
                  <c:v>109.76943789969707</c:v>
                </c:pt>
                <c:pt idx="303">
                  <c:v>109.80474667564384</c:v>
                </c:pt>
                <c:pt idx="304">
                  <c:v>109.84931391531275</c:v>
                </c:pt>
                <c:pt idx="305">
                  <c:v>109.84931391531275</c:v>
                </c:pt>
                <c:pt idx="306">
                  <c:v>109.84931391531275</c:v>
                </c:pt>
                <c:pt idx="307">
                  <c:v>109.89473684210526</c:v>
                </c:pt>
                <c:pt idx="308">
                  <c:v>109.94861427006992</c:v>
                </c:pt>
                <c:pt idx="309">
                  <c:v>109.99410128928962</c:v>
                </c:pt>
                <c:pt idx="310">
                  <c:v>110.0480485543286</c:v>
                </c:pt>
                <c:pt idx="311">
                  <c:v>110.08516738342189</c:v>
                </c:pt>
                <c:pt idx="312">
                  <c:v>110.08516738342189</c:v>
                </c:pt>
                <c:pt idx="313">
                  <c:v>110.08516738342189</c:v>
                </c:pt>
                <c:pt idx="314">
                  <c:v>110.1307465204555</c:v>
                </c:pt>
                <c:pt idx="315">
                  <c:v>110.1856540084388</c:v>
                </c:pt>
                <c:pt idx="316">
                  <c:v>110.23130170521695</c:v>
                </c:pt>
                <c:pt idx="317">
                  <c:v>110.26853572031753</c:v>
                </c:pt>
                <c:pt idx="318">
                  <c:v>110.31424227065384</c:v>
                </c:pt>
                <c:pt idx="319">
                  <c:v>110.31424227065384</c:v>
                </c:pt>
                <c:pt idx="320">
                  <c:v>110.31424227065384</c:v>
                </c:pt>
                <c:pt idx="321">
                  <c:v>110.35152949129626</c:v>
                </c:pt>
                <c:pt idx="322">
                  <c:v>110.39817397920365</c:v>
                </c:pt>
                <c:pt idx="323">
                  <c:v>110.42706131078224</c:v>
                </c:pt>
                <c:pt idx="324">
                  <c:v>110.46442771339144</c:v>
                </c:pt>
                <c:pt idx="325">
                  <c:v>110.49335702801049</c:v>
                </c:pt>
                <c:pt idx="326">
                  <c:v>110.49335702801049</c:v>
                </c:pt>
                <c:pt idx="327">
                  <c:v>110.49335702801049</c:v>
                </c:pt>
                <c:pt idx="328">
                  <c:v>110.53077118428848</c:v>
                </c:pt>
                <c:pt idx="329">
                  <c:v>110.55974256922686</c:v>
                </c:pt>
                <c:pt idx="330">
                  <c:v>110.58783669320684</c:v>
                </c:pt>
                <c:pt idx="331">
                  <c:v>110.62531774275547</c:v>
                </c:pt>
                <c:pt idx="332">
                  <c:v>110.64496991270448</c:v>
                </c:pt>
                <c:pt idx="333">
                  <c:v>110.64496991270448</c:v>
                </c:pt>
                <c:pt idx="334">
                  <c:v>110.64496991270448</c:v>
                </c:pt>
                <c:pt idx="335">
                  <c:v>110.6731095286538</c:v>
                </c:pt>
                <c:pt idx="336">
                  <c:v>110.69278385482913</c:v>
                </c:pt>
                <c:pt idx="337">
                  <c:v>110.72094995759117</c:v>
                </c:pt>
                <c:pt idx="338">
                  <c:v>110.74064647493</c:v>
                </c:pt>
                <c:pt idx="339">
                  <c:v>110.76975303403209</c:v>
                </c:pt>
                <c:pt idx="340">
                  <c:v>110.76975303403209</c:v>
                </c:pt>
                <c:pt idx="341">
                  <c:v>110.76975303403209</c:v>
                </c:pt>
                <c:pt idx="342">
                  <c:v>110.78947368421052</c:v>
                </c:pt>
                <c:pt idx="343">
                  <c:v>110.81769550819394</c:v>
                </c:pt>
                <c:pt idx="344">
                  <c:v>110.84685296865709</c:v>
                </c:pt>
                <c:pt idx="345">
                  <c:v>110.86568685753122</c:v>
                </c:pt>
                <c:pt idx="346">
                  <c:v>110.89394969408565</c:v>
                </c:pt>
                <c:pt idx="347">
                  <c:v>110.89394969408565</c:v>
                </c:pt>
                <c:pt idx="348">
                  <c:v>110.89394969408565</c:v>
                </c:pt>
                <c:pt idx="349">
                  <c:v>110.92222694432638</c:v>
                </c:pt>
                <c:pt idx="350">
                  <c:v>110.95902057473219</c:v>
                </c:pt>
                <c:pt idx="351">
                  <c:v>110.98639455782315</c:v>
                </c:pt>
                <c:pt idx="352">
                  <c:v>111.02322020923705</c:v>
                </c:pt>
                <c:pt idx="353">
                  <c:v>111.04210974053595</c:v>
                </c:pt>
                <c:pt idx="354">
                  <c:v>111.04210974053595</c:v>
                </c:pt>
                <c:pt idx="355">
                  <c:v>111.04210974053595</c:v>
                </c:pt>
                <c:pt idx="356">
                  <c:v>111.06951416659575</c:v>
                </c:pt>
                <c:pt idx="357">
                  <c:v>111.096927921028</c:v>
                </c:pt>
                <c:pt idx="358">
                  <c:v>111.12435100859648</c:v>
                </c:pt>
                <c:pt idx="359">
                  <c:v>111.15273284522389</c:v>
                </c:pt>
                <c:pt idx="360">
                  <c:v>111.1801771117166</c:v>
                </c:pt>
                <c:pt idx="361">
                  <c:v>111.1801771117166</c:v>
                </c:pt>
                <c:pt idx="362">
                  <c:v>111.1801771117166</c:v>
                </c:pt>
                <c:pt idx="363">
                  <c:v>111.19911429058082</c:v>
                </c:pt>
                <c:pt idx="364">
                  <c:v>111.22753215776471</c:v>
                </c:pt>
                <c:pt idx="365">
                  <c:v>111.2464854732896</c:v>
                </c:pt>
                <c:pt idx="366">
                  <c:v>111.27396676608437</c:v>
                </c:pt>
              </c:numCache>
            </c:numRef>
          </c:val>
          <c:smooth val="0"/>
          <c:extLst>
            <c:ext xmlns:c16="http://schemas.microsoft.com/office/drawing/2014/chart" uri="{C3380CC4-5D6E-409C-BE32-E72D297353CC}">
              <c16:uniqueId val="{00000001-AE41-4F5B-8BC8-434AE4333EB9}"/>
            </c:ext>
          </c:extLst>
        </c:ser>
        <c:dLbls>
          <c:showLegendKey val="0"/>
          <c:showVal val="0"/>
          <c:showCatName val="0"/>
          <c:showSerName val="0"/>
          <c:showPercent val="0"/>
          <c:showBubbleSize val="0"/>
        </c:dLbls>
        <c:smooth val="0"/>
        <c:axId val="115118848"/>
        <c:axId val="115120384"/>
      </c:lineChart>
      <c:dateAx>
        <c:axId val="115118848"/>
        <c:scaling>
          <c:orientation val="minMax"/>
        </c:scaling>
        <c:delete val="0"/>
        <c:axPos val="b"/>
        <c:numFmt formatCode="yy/mmm" sourceLinked="0"/>
        <c:majorTickMark val="none"/>
        <c:minorTickMark val="none"/>
        <c:tickLblPos val="low"/>
        <c:spPr>
          <a:ln w="3175">
            <a:noFill/>
            <a:prstDash val="solid"/>
          </a:ln>
        </c:spPr>
        <c:txPr>
          <a:bodyPr rot="0" vert="horz"/>
          <a:lstStyle/>
          <a:p>
            <a:pPr>
              <a:defRPr/>
            </a:pPr>
            <a:endParaRPr lang="hu-HU"/>
          </a:p>
        </c:txPr>
        <c:crossAx val="115120384"/>
        <c:crosses val="autoZero"/>
        <c:auto val="1"/>
        <c:lblOffset val="100"/>
        <c:baseTimeUnit val="days"/>
        <c:majorUnit val="2"/>
        <c:majorTimeUnit val="months"/>
        <c:minorUnit val="1"/>
        <c:minorTimeUnit val="months"/>
      </c:dateAx>
      <c:valAx>
        <c:axId val="115120384"/>
        <c:scaling>
          <c:orientation val="minMax"/>
          <c:max val="116"/>
          <c:min val="102"/>
        </c:scaling>
        <c:delete val="0"/>
        <c:axPos val="l"/>
        <c:majorGridlines>
          <c:spPr>
            <a:ln w="3175">
              <a:solidFill>
                <a:srgbClr val="C0C0C0"/>
              </a:solidFill>
              <a:prstDash val="solid"/>
            </a:ln>
          </c:spPr>
        </c:majorGridlines>
        <c:numFmt formatCode="0" sourceLinked="0"/>
        <c:majorTickMark val="none"/>
        <c:minorTickMark val="none"/>
        <c:tickLblPos val="low"/>
        <c:spPr>
          <a:ln w="3175">
            <a:noFill/>
            <a:prstDash val="solid"/>
          </a:ln>
        </c:spPr>
        <c:txPr>
          <a:bodyPr rot="0" vert="horz"/>
          <a:lstStyle/>
          <a:p>
            <a:pPr>
              <a:defRPr/>
            </a:pPr>
            <a:endParaRPr lang="hu-HU"/>
          </a:p>
        </c:txPr>
        <c:crossAx val="115118848"/>
        <c:crosses val="autoZero"/>
        <c:crossBetween val="between"/>
        <c:majorUnit val="1"/>
      </c:valAx>
      <c:spPr>
        <a:solidFill>
          <a:srgbClr val="FFFFFF"/>
        </a:solidFill>
        <a:ln w="25400">
          <a:noFill/>
        </a:ln>
      </c:spPr>
    </c:plotArea>
    <c:legend>
      <c:legendPos val="r"/>
      <c:layout>
        <c:manualLayout>
          <c:xMode val="edge"/>
          <c:yMode val="edge"/>
          <c:x val="0"/>
          <c:y val="7.1189613526570095E-3"/>
          <c:w val="1"/>
          <c:h val="3.7144323671497601E-2"/>
        </c:manualLayout>
      </c:layout>
      <c:overlay val="0"/>
      <c:spPr>
        <a:noFill/>
        <a:ln w="25400">
          <a:noFill/>
        </a:ln>
      </c:spPr>
    </c:legend>
    <c:plotVisOnly val="1"/>
    <c:dispBlanksAs val="gap"/>
    <c:showDLblsOverMax val="0"/>
  </c:chart>
  <c:spPr>
    <a:solidFill>
      <a:srgbClr val="FFFFFF"/>
    </a:solidFill>
    <a:ln w="9525">
      <a:noFill/>
    </a:ln>
  </c:spPr>
  <c:txPr>
    <a:bodyPr/>
    <a:lstStyle/>
    <a:p>
      <a:pPr algn="ctr">
        <a:defRPr lang="hu-HU" sz="700" b="0" i="0" u="none" strike="noStrike" kern="1200" baseline="0">
          <a:solidFill>
            <a:sysClr val="windowText" lastClr="000000"/>
          </a:solidFill>
          <a:latin typeface="Calibri"/>
          <a:ea typeface="Calibri"/>
          <a:cs typeface="Calibri"/>
        </a:defRPr>
      </a:pPr>
      <a:endParaRPr lang="hu-H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35069444444445E-2"/>
          <c:y val="6.8421228467384007E-2"/>
          <c:w val="0.85920177469135806"/>
          <c:h val="0.82046618357487922"/>
        </c:manualLayout>
      </c:layout>
      <c:lineChart>
        <c:grouping val="standard"/>
        <c:varyColors val="0"/>
        <c:ser>
          <c:idx val="0"/>
          <c:order val="0"/>
          <c:tx>
            <c:strRef>
              <c:f>Állandó_ábrák!$B$16</c:f>
              <c:strCache>
                <c:ptCount val="1"/>
                <c:pt idx="0">
                  <c:v>szpot</c:v>
                </c:pt>
              </c:strCache>
            </c:strRef>
          </c:tx>
          <c:spPr>
            <a:ln w="25400">
              <a:solidFill>
                <a:srgbClr val="005A96"/>
              </a:solidFill>
              <a:prstDash val="solid"/>
            </a:ln>
          </c:spPr>
          <c:marker>
            <c:symbol val="none"/>
          </c:marker>
          <c:cat>
            <c:numRef>
              <c:f>BB!$A$1:$A$367</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BB!$B$1:$B$367</c:f>
              <c:numCache>
                <c:formatCode>0.00</c:formatCode>
                <c:ptCount val="367"/>
                <c:pt idx="0">
                  <c:v>359.08</c:v>
                </c:pt>
                <c:pt idx="1">
                  <c:v>360.53</c:v>
                </c:pt>
                <c:pt idx="2">
                  <c:v>359.39</c:v>
                </c:pt>
                <c:pt idx="3">
                  <c:v>360.42</c:v>
                </c:pt>
                <c:pt idx="4">
                  <c:v>360.42</c:v>
                </c:pt>
                <c:pt idx="5">
                  <c:v>360.42</c:v>
                </c:pt>
                <c:pt idx="6">
                  <c:v>359.71</c:v>
                </c:pt>
                <c:pt idx="7">
                  <c:v>357.91</c:v>
                </c:pt>
                <c:pt idx="8">
                  <c:v>357.16</c:v>
                </c:pt>
                <c:pt idx="9">
                  <c:v>356.8</c:v>
                </c:pt>
                <c:pt idx="10">
                  <c:v>357.6</c:v>
                </c:pt>
                <c:pt idx="11">
                  <c:v>357.6</c:v>
                </c:pt>
                <c:pt idx="12">
                  <c:v>357.6</c:v>
                </c:pt>
                <c:pt idx="13">
                  <c:v>357.64</c:v>
                </c:pt>
                <c:pt idx="14">
                  <c:v>359.41</c:v>
                </c:pt>
                <c:pt idx="15">
                  <c:v>360.64</c:v>
                </c:pt>
                <c:pt idx="16">
                  <c:v>358.9</c:v>
                </c:pt>
                <c:pt idx="17">
                  <c:v>357.41</c:v>
                </c:pt>
                <c:pt idx="18">
                  <c:v>357.41</c:v>
                </c:pt>
                <c:pt idx="19">
                  <c:v>357.41</c:v>
                </c:pt>
                <c:pt idx="20">
                  <c:v>355.95</c:v>
                </c:pt>
                <c:pt idx="21">
                  <c:v>355.4</c:v>
                </c:pt>
                <c:pt idx="22">
                  <c:v>355.24</c:v>
                </c:pt>
                <c:pt idx="23">
                  <c:v>355.73</c:v>
                </c:pt>
                <c:pt idx="24">
                  <c:v>357.03</c:v>
                </c:pt>
                <c:pt idx="25">
                  <c:v>357.03</c:v>
                </c:pt>
                <c:pt idx="26">
                  <c:v>357.03</c:v>
                </c:pt>
                <c:pt idx="27">
                  <c:v>358.51</c:v>
                </c:pt>
                <c:pt idx="28">
                  <c:v>358.03</c:v>
                </c:pt>
                <c:pt idx="29">
                  <c:v>356.92</c:v>
                </c:pt>
                <c:pt idx="30">
                  <c:v>358.09</c:v>
                </c:pt>
                <c:pt idx="31">
                  <c:v>358.47</c:v>
                </c:pt>
                <c:pt idx="32">
                  <c:v>358.47</c:v>
                </c:pt>
                <c:pt idx="33">
                  <c:v>358.47</c:v>
                </c:pt>
                <c:pt idx="34">
                  <c:v>357.42</c:v>
                </c:pt>
                <c:pt idx="35">
                  <c:v>358.79</c:v>
                </c:pt>
                <c:pt idx="36">
                  <c:v>358.47</c:v>
                </c:pt>
                <c:pt idx="37">
                  <c:v>358.57</c:v>
                </c:pt>
                <c:pt idx="38">
                  <c:v>358.57</c:v>
                </c:pt>
                <c:pt idx="39">
                  <c:v>358.57</c:v>
                </c:pt>
                <c:pt idx="40">
                  <c:v>358.57</c:v>
                </c:pt>
                <c:pt idx="41">
                  <c:v>359.12</c:v>
                </c:pt>
                <c:pt idx="42">
                  <c:v>358.63</c:v>
                </c:pt>
                <c:pt idx="43">
                  <c:v>359.6</c:v>
                </c:pt>
                <c:pt idx="44">
                  <c:v>361.87</c:v>
                </c:pt>
                <c:pt idx="45">
                  <c:v>362.18</c:v>
                </c:pt>
                <c:pt idx="46">
                  <c:v>362.18</c:v>
                </c:pt>
                <c:pt idx="47">
                  <c:v>362.18</c:v>
                </c:pt>
                <c:pt idx="48">
                  <c:v>363.9</c:v>
                </c:pt>
                <c:pt idx="49">
                  <c:v>364.35</c:v>
                </c:pt>
                <c:pt idx="50">
                  <c:v>364.34</c:v>
                </c:pt>
                <c:pt idx="51">
                  <c:v>364.81</c:v>
                </c:pt>
                <c:pt idx="52">
                  <c:v>367.25</c:v>
                </c:pt>
                <c:pt idx="53">
                  <c:v>367.25</c:v>
                </c:pt>
                <c:pt idx="54">
                  <c:v>367.25</c:v>
                </c:pt>
                <c:pt idx="55">
                  <c:v>367.7</c:v>
                </c:pt>
                <c:pt idx="56">
                  <c:v>366.63</c:v>
                </c:pt>
                <c:pt idx="57">
                  <c:v>367</c:v>
                </c:pt>
                <c:pt idx="58">
                  <c:v>365.02</c:v>
                </c:pt>
                <c:pt idx="59">
                  <c:v>367.1</c:v>
                </c:pt>
                <c:pt idx="60">
                  <c:v>367.1</c:v>
                </c:pt>
                <c:pt idx="61">
                  <c:v>367.1</c:v>
                </c:pt>
                <c:pt idx="62">
                  <c:v>367.26</c:v>
                </c:pt>
                <c:pt idx="63">
                  <c:v>367.5</c:v>
                </c:pt>
                <c:pt idx="64">
                  <c:v>366.66</c:v>
                </c:pt>
                <c:pt idx="65">
                  <c:v>368.73</c:v>
                </c:pt>
                <c:pt idx="66">
                  <c:v>367.51</c:v>
                </c:pt>
                <c:pt idx="67">
                  <c:v>367.51</c:v>
                </c:pt>
                <c:pt idx="68">
                  <c:v>367.51</c:v>
                </c:pt>
                <c:pt idx="69">
                  <c:v>366.21</c:v>
                </c:pt>
                <c:pt idx="70">
                  <c:v>366.23</c:v>
                </c:pt>
                <c:pt idx="71">
                  <c:v>364.75</c:v>
                </c:pt>
                <c:pt idx="72">
                  <c:v>364.32</c:v>
                </c:pt>
                <c:pt idx="73">
                  <c:v>362.61</c:v>
                </c:pt>
                <c:pt idx="74">
                  <c:v>362.61</c:v>
                </c:pt>
                <c:pt idx="75">
                  <c:v>362.61</c:v>
                </c:pt>
                <c:pt idx="76">
                  <c:v>362.79</c:v>
                </c:pt>
                <c:pt idx="77">
                  <c:v>363.44</c:v>
                </c:pt>
                <c:pt idx="78">
                  <c:v>362.06</c:v>
                </c:pt>
                <c:pt idx="79">
                  <c:v>361.2</c:v>
                </c:pt>
                <c:pt idx="80">
                  <c:v>360.72</c:v>
                </c:pt>
                <c:pt idx="81">
                  <c:v>360.72</c:v>
                </c:pt>
                <c:pt idx="82">
                  <c:v>360.72</c:v>
                </c:pt>
                <c:pt idx="83">
                  <c:v>360.28</c:v>
                </c:pt>
                <c:pt idx="84">
                  <c:v>360.95</c:v>
                </c:pt>
                <c:pt idx="85">
                  <c:v>358.96</c:v>
                </c:pt>
                <c:pt idx="86">
                  <c:v>358.48</c:v>
                </c:pt>
                <c:pt idx="87">
                  <c:v>357.66</c:v>
                </c:pt>
                <c:pt idx="88">
                  <c:v>357.66</c:v>
                </c:pt>
                <c:pt idx="89">
                  <c:v>357.66</c:v>
                </c:pt>
                <c:pt idx="90">
                  <c:v>357.24</c:v>
                </c:pt>
                <c:pt idx="91">
                  <c:v>359.25</c:v>
                </c:pt>
                <c:pt idx="92">
                  <c:v>358.35</c:v>
                </c:pt>
                <c:pt idx="93">
                  <c:v>359.29</c:v>
                </c:pt>
                <c:pt idx="94">
                  <c:v>361.41</c:v>
                </c:pt>
                <c:pt idx="95">
                  <c:v>361.41</c:v>
                </c:pt>
                <c:pt idx="96">
                  <c:v>361.41</c:v>
                </c:pt>
                <c:pt idx="97">
                  <c:v>361.15</c:v>
                </c:pt>
                <c:pt idx="98">
                  <c:v>361.3</c:v>
                </c:pt>
                <c:pt idx="99">
                  <c:v>362.37</c:v>
                </c:pt>
                <c:pt idx="100">
                  <c:v>363.95</c:v>
                </c:pt>
                <c:pt idx="101">
                  <c:v>363.32</c:v>
                </c:pt>
                <c:pt idx="102">
                  <c:v>363.32</c:v>
                </c:pt>
                <c:pt idx="103">
                  <c:v>363.32</c:v>
                </c:pt>
                <c:pt idx="104">
                  <c:v>363.55</c:v>
                </c:pt>
                <c:pt idx="105">
                  <c:v>362.61</c:v>
                </c:pt>
                <c:pt idx="106">
                  <c:v>361.86</c:v>
                </c:pt>
                <c:pt idx="107">
                  <c:v>360.31</c:v>
                </c:pt>
                <c:pt idx="108">
                  <c:v>360.08</c:v>
                </c:pt>
                <c:pt idx="109">
                  <c:v>360.08</c:v>
                </c:pt>
                <c:pt idx="110">
                  <c:v>360.08</c:v>
                </c:pt>
                <c:pt idx="111">
                  <c:v>359.49</c:v>
                </c:pt>
                <c:pt idx="112">
                  <c:v>360.19</c:v>
                </c:pt>
                <c:pt idx="113">
                  <c:v>358.93</c:v>
                </c:pt>
                <c:pt idx="114">
                  <c:v>358.41</c:v>
                </c:pt>
                <c:pt idx="115">
                  <c:v>358.61</c:v>
                </c:pt>
                <c:pt idx="116">
                  <c:v>358.61</c:v>
                </c:pt>
                <c:pt idx="117">
                  <c:v>358.61</c:v>
                </c:pt>
                <c:pt idx="118">
                  <c:v>357.88</c:v>
                </c:pt>
                <c:pt idx="119">
                  <c:v>358.44</c:v>
                </c:pt>
                <c:pt idx="120">
                  <c:v>357.54</c:v>
                </c:pt>
                <c:pt idx="121">
                  <c:v>356.78</c:v>
                </c:pt>
                <c:pt idx="122">
                  <c:v>355.09</c:v>
                </c:pt>
                <c:pt idx="123">
                  <c:v>355.09</c:v>
                </c:pt>
                <c:pt idx="124">
                  <c:v>355.09</c:v>
                </c:pt>
                <c:pt idx="125">
                  <c:v>351.5</c:v>
                </c:pt>
                <c:pt idx="126">
                  <c:v>350.7</c:v>
                </c:pt>
                <c:pt idx="127">
                  <c:v>350.92</c:v>
                </c:pt>
                <c:pt idx="128">
                  <c:v>349.55</c:v>
                </c:pt>
                <c:pt idx="129">
                  <c:v>348.47</c:v>
                </c:pt>
                <c:pt idx="130">
                  <c:v>348.47</c:v>
                </c:pt>
                <c:pt idx="131">
                  <c:v>348.47</c:v>
                </c:pt>
                <c:pt idx="132">
                  <c:v>347.19</c:v>
                </c:pt>
                <c:pt idx="133">
                  <c:v>349.21</c:v>
                </c:pt>
                <c:pt idx="134">
                  <c:v>349.62</c:v>
                </c:pt>
                <c:pt idx="135">
                  <c:v>348.09</c:v>
                </c:pt>
                <c:pt idx="136">
                  <c:v>348.11</c:v>
                </c:pt>
                <c:pt idx="137">
                  <c:v>348.11</c:v>
                </c:pt>
                <c:pt idx="138">
                  <c:v>348.11</c:v>
                </c:pt>
                <c:pt idx="139">
                  <c:v>347.27</c:v>
                </c:pt>
                <c:pt idx="140">
                  <c:v>346.11</c:v>
                </c:pt>
                <c:pt idx="141">
                  <c:v>346.3</c:v>
                </c:pt>
                <c:pt idx="142">
                  <c:v>347.31</c:v>
                </c:pt>
                <c:pt idx="143">
                  <c:v>345.79</c:v>
                </c:pt>
                <c:pt idx="144">
                  <c:v>345.79</c:v>
                </c:pt>
                <c:pt idx="145">
                  <c:v>345.79</c:v>
                </c:pt>
                <c:pt idx="146">
                  <c:v>346.69</c:v>
                </c:pt>
                <c:pt idx="147">
                  <c:v>348.58</c:v>
                </c:pt>
                <c:pt idx="148">
                  <c:v>346.48</c:v>
                </c:pt>
                <c:pt idx="149">
                  <c:v>345.78</c:v>
                </c:pt>
                <c:pt idx="150">
                  <c:v>348.23</c:v>
                </c:pt>
                <c:pt idx="151">
                  <c:v>348.23</c:v>
                </c:pt>
                <c:pt idx="152">
                  <c:v>348.23</c:v>
                </c:pt>
                <c:pt idx="153">
                  <c:v>350.17</c:v>
                </c:pt>
                <c:pt idx="154">
                  <c:v>351.59</c:v>
                </c:pt>
                <c:pt idx="155">
                  <c:v>352.26</c:v>
                </c:pt>
                <c:pt idx="156">
                  <c:v>355.71</c:v>
                </c:pt>
                <c:pt idx="157">
                  <c:v>355.74</c:v>
                </c:pt>
                <c:pt idx="158">
                  <c:v>355.74</c:v>
                </c:pt>
                <c:pt idx="159">
                  <c:v>355.74</c:v>
                </c:pt>
                <c:pt idx="160">
                  <c:v>353.1</c:v>
                </c:pt>
                <c:pt idx="161">
                  <c:v>350.3</c:v>
                </c:pt>
                <c:pt idx="162">
                  <c:v>350.47</c:v>
                </c:pt>
                <c:pt idx="163">
                  <c:v>351.51</c:v>
                </c:pt>
                <c:pt idx="164">
                  <c:v>351.34</c:v>
                </c:pt>
                <c:pt idx="165">
                  <c:v>351.34</c:v>
                </c:pt>
                <c:pt idx="166">
                  <c:v>351.34</c:v>
                </c:pt>
                <c:pt idx="167">
                  <c:v>350.43</c:v>
                </c:pt>
                <c:pt idx="168">
                  <c:v>352.07</c:v>
                </c:pt>
                <c:pt idx="169">
                  <c:v>351.33</c:v>
                </c:pt>
                <c:pt idx="170">
                  <c:v>351.04</c:v>
                </c:pt>
                <c:pt idx="171">
                  <c:v>351.81</c:v>
                </c:pt>
                <c:pt idx="172">
                  <c:v>351.81</c:v>
                </c:pt>
                <c:pt idx="173">
                  <c:v>351.81</c:v>
                </c:pt>
                <c:pt idx="174">
                  <c:v>351.72</c:v>
                </c:pt>
                <c:pt idx="175">
                  <c:v>354.29</c:v>
                </c:pt>
                <c:pt idx="176">
                  <c:v>356.87</c:v>
                </c:pt>
                <c:pt idx="177">
                  <c:v>357.63</c:v>
                </c:pt>
                <c:pt idx="178">
                  <c:v>355.48</c:v>
                </c:pt>
                <c:pt idx="179">
                  <c:v>355.48</c:v>
                </c:pt>
                <c:pt idx="180">
                  <c:v>355.48</c:v>
                </c:pt>
                <c:pt idx="181">
                  <c:v>355.3</c:v>
                </c:pt>
                <c:pt idx="182">
                  <c:v>357.2</c:v>
                </c:pt>
                <c:pt idx="183">
                  <c:v>358.36</c:v>
                </c:pt>
                <c:pt idx="184">
                  <c:v>358.61</c:v>
                </c:pt>
                <c:pt idx="185">
                  <c:v>359.53</c:v>
                </c:pt>
                <c:pt idx="186">
                  <c:v>359.53</c:v>
                </c:pt>
                <c:pt idx="187">
                  <c:v>359.53</c:v>
                </c:pt>
                <c:pt idx="188">
                  <c:v>359.86</c:v>
                </c:pt>
                <c:pt idx="189">
                  <c:v>359.29</c:v>
                </c:pt>
                <c:pt idx="190">
                  <c:v>359.83</c:v>
                </c:pt>
                <c:pt idx="191">
                  <c:v>357.76</c:v>
                </c:pt>
                <c:pt idx="192">
                  <c:v>360.32</c:v>
                </c:pt>
                <c:pt idx="193">
                  <c:v>360.32</c:v>
                </c:pt>
                <c:pt idx="194">
                  <c:v>360.32</c:v>
                </c:pt>
                <c:pt idx="195">
                  <c:v>361.43</c:v>
                </c:pt>
                <c:pt idx="196">
                  <c:v>359.18</c:v>
                </c:pt>
                <c:pt idx="197">
                  <c:v>360.39</c:v>
                </c:pt>
                <c:pt idx="198">
                  <c:v>357.61</c:v>
                </c:pt>
                <c:pt idx="199">
                  <c:v>358.24</c:v>
                </c:pt>
                <c:pt idx="200">
                  <c:v>358.24</c:v>
                </c:pt>
                <c:pt idx="201">
                  <c:v>358.24</c:v>
                </c:pt>
                <c:pt idx="202">
                  <c:v>356.39</c:v>
                </c:pt>
                <c:pt idx="203">
                  <c:v>355.69</c:v>
                </c:pt>
                <c:pt idx="204">
                  <c:v>354.59</c:v>
                </c:pt>
                <c:pt idx="205">
                  <c:v>353.65</c:v>
                </c:pt>
                <c:pt idx="206">
                  <c:v>354</c:v>
                </c:pt>
                <c:pt idx="207">
                  <c:v>354</c:v>
                </c:pt>
                <c:pt idx="208">
                  <c:v>354</c:v>
                </c:pt>
                <c:pt idx="209">
                  <c:v>352.94</c:v>
                </c:pt>
                <c:pt idx="210">
                  <c:v>353.71</c:v>
                </c:pt>
                <c:pt idx="211">
                  <c:v>353.75</c:v>
                </c:pt>
                <c:pt idx="212">
                  <c:v>352.89</c:v>
                </c:pt>
                <c:pt idx="213">
                  <c:v>352.48</c:v>
                </c:pt>
                <c:pt idx="214">
                  <c:v>352.48</c:v>
                </c:pt>
                <c:pt idx="215">
                  <c:v>352.48</c:v>
                </c:pt>
                <c:pt idx="216">
                  <c:v>351.6</c:v>
                </c:pt>
                <c:pt idx="217">
                  <c:v>351.71</c:v>
                </c:pt>
                <c:pt idx="218">
                  <c:v>350.58</c:v>
                </c:pt>
                <c:pt idx="219">
                  <c:v>350.96</c:v>
                </c:pt>
                <c:pt idx="220">
                  <c:v>350.3</c:v>
                </c:pt>
                <c:pt idx="221">
                  <c:v>350.3</c:v>
                </c:pt>
                <c:pt idx="222">
                  <c:v>350.3</c:v>
                </c:pt>
                <c:pt idx="223">
                  <c:v>349.8</c:v>
                </c:pt>
                <c:pt idx="224">
                  <c:v>348.26</c:v>
                </c:pt>
                <c:pt idx="225">
                  <c:v>348.43</c:v>
                </c:pt>
                <c:pt idx="226">
                  <c:v>348.94</c:v>
                </c:pt>
                <c:pt idx="227">
                  <c:v>349.19</c:v>
                </c:pt>
                <c:pt idx="228">
                  <c:v>349.19</c:v>
                </c:pt>
                <c:pt idx="229">
                  <c:v>349.19</c:v>
                </c:pt>
                <c:pt idx="230">
                  <c:v>348.33</c:v>
                </c:pt>
                <c:pt idx="231">
                  <c:v>349.04</c:v>
                </c:pt>
                <c:pt idx="232">
                  <c:v>347.95</c:v>
                </c:pt>
                <c:pt idx="233">
                  <c:v>348.51</c:v>
                </c:pt>
                <c:pt idx="234">
                  <c:v>347.6</c:v>
                </c:pt>
                <c:pt idx="235">
                  <c:v>347.6</c:v>
                </c:pt>
                <c:pt idx="236">
                  <c:v>347.6</c:v>
                </c:pt>
                <c:pt idx="237">
                  <c:v>347.52</c:v>
                </c:pt>
                <c:pt idx="238">
                  <c:v>348.45</c:v>
                </c:pt>
                <c:pt idx="239">
                  <c:v>350.09</c:v>
                </c:pt>
                <c:pt idx="240">
                  <c:v>350.67</c:v>
                </c:pt>
                <c:pt idx="241">
                  <c:v>350.04</c:v>
                </c:pt>
                <c:pt idx="242">
                  <c:v>350.04</c:v>
                </c:pt>
                <c:pt idx="243">
                  <c:v>350.04</c:v>
                </c:pt>
                <c:pt idx="244">
                  <c:v>349.88</c:v>
                </c:pt>
                <c:pt idx="245">
                  <c:v>349.85</c:v>
                </c:pt>
                <c:pt idx="246">
                  <c:v>348.95</c:v>
                </c:pt>
                <c:pt idx="247">
                  <c:v>350.81</c:v>
                </c:pt>
                <c:pt idx="248">
                  <c:v>352.98</c:v>
                </c:pt>
                <c:pt idx="249">
                  <c:v>352.98</c:v>
                </c:pt>
                <c:pt idx="250">
                  <c:v>352.98</c:v>
                </c:pt>
                <c:pt idx="251">
                  <c:v>354.02</c:v>
                </c:pt>
                <c:pt idx="252">
                  <c:v>352.64</c:v>
                </c:pt>
                <c:pt idx="253">
                  <c:v>355.23</c:v>
                </c:pt>
                <c:pt idx="254">
                  <c:v>356.14</c:v>
                </c:pt>
                <c:pt idx="255">
                  <c:v>356.86</c:v>
                </c:pt>
                <c:pt idx="256">
                  <c:v>356.86</c:v>
                </c:pt>
                <c:pt idx="257">
                  <c:v>356.86</c:v>
                </c:pt>
                <c:pt idx="258">
                  <c:v>358.01</c:v>
                </c:pt>
                <c:pt idx="259">
                  <c:v>359.73</c:v>
                </c:pt>
                <c:pt idx="260">
                  <c:v>360.24</c:v>
                </c:pt>
                <c:pt idx="261">
                  <c:v>359.4</c:v>
                </c:pt>
                <c:pt idx="262">
                  <c:v>357.37</c:v>
                </c:pt>
                <c:pt idx="263">
                  <c:v>357.37</c:v>
                </c:pt>
                <c:pt idx="264">
                  <c:v>357.37</c:v>
                </c:pt>
                <c:pt idx="265">
                  <c:v>356.27</c:v>
                </c:pt>
                <c:pt idx="266">
                  <c:v>357.76</c:v>
                </c:pt>
                <c:pt idx="267">
                  <c:v>358.88</c:v>
                </c:pt>
                <c:pt idx="268">
                  <c:v>358.81</c:v>
                </c:pt>
                <c:pt idx="269">
                  <c:v>360.37</c:v>
                </c:pt>
                <c:pt idx="270">
                  <c:v>360.37</c:v>
                </c:pt>
                <c:pt idx="271">
                  <c:v>360.37</c:v>
                </c:pt>
                <c:pt idx="272">
                  <c:v>359.16</c:v>
                </c:pt>
                <c:pt idx="273">
                  <c:v>360.39</c:v>
                </c:pt>
                <c:pt idx="274">
                  <c:v>360.07</c:v>
                </c:pt>
                <c:pt idx="275">
                  <c:v>358.83</c:v>
                </c:pt>
                <c:pt idx="276">
                  <c:v>360.06</c:v>
                </c:pt>
                <c:pt idx="277">
                  <c:v>360.06</c:v>
                </c:pt>
                <c:pt idx="278">
                  <c:v>360.06</c:v>
                </c:pt>
                <c:pt idx="279">
                  <c:v>361.68</c:v>
                </c:pt>
                <c:pt idx="280">
                  <c:v>362.38</c:v>
                </c:pt>
                <c:pt idx="281">
                  <c:v>362.04</c:v>
                </c:pt>
                <c:pt idx="282">
                  <c:v>364.23</c:v>
                </c:pt>
                <c:pt idx="283">
                  <c:v>364.72</c:v>
                </c:pt>
                <c:pt idx="284">
                  <c:v>364.72</c:v>
                </c:pt>
                <c:pt idx="285">
                  <c:v>364.72</c:v>
                </c:pt>
                <c:pt idx="286">
                  <c:v>365.59</c:v>
                </c:pt>
                <c:pt idx="287">
                  <c:v>365.25</c:v>
                </c:pt>
                <c:pt idx="288">
                  <c:v>363.28</c:v>
                </c:pt>
                <c:pt idx="289">
                  <c:v>361.48</c:v>
                </c:pt>
                <c:pt idx="290">
                  <c:v>360.23</c:v>
                </c:pt>
                <c:pt idx="291">
                  <c:v>360.23</c:v>
                </c:pt>
                <c:pt idx="292">
                  <c:v>360.23</c:v>
                </c:pt>
                <c:pt idx="293">
                  <c:v>360.8</c:v>
                </c:pt>
                <c:pt idx="294">
                  <c:v>359.29</c:v>
                </c:pt>
                <c:pt idx="295">
                  <c:v>358.69</c:v>
                </c:pt>
                <c:pt idx="296">
                  <c:v>360.28</c:v>
                </c:pt>
                <c:pt idx="297">
                  <c:v>358.94</c:v>
                </c:pt>
                <c:pt idx="298">
                  <c:v>358.94</c:v>
                </c:pt>
                <c:pt idx="299">
                  <c:v>358.94</c:v>
                </c:pt>
                <c:pt idx="300">
                  <c:v>361.17</c:v>
                </c:pt>
                <c:pt idx="301">
                  <c:v>360.66</c:v>
                </c:pt>
                <c:pt idx="302">
                  <c:v>363.59</c:v>
                </c:pt>
                <c:pt idx="303">
                  <c:v>365.36</c:v>
                </c:pt>
                <c:pt idx="304">
                  <c:v>366.73</c:v>
                </c:pt>
                <c:pt idx="305">
                  <c:v>366.73</c:v>
                </c:pt>
                <c:pt idx="306">
                  <c:v>366.73</c:v>
                </c:pt>
                <c:pt idx="307">
                  <c:v>365.9</c:v>
                </c:pt>
                <c:pt idx="308">
                  <c:v>365.08</c:v>
                </c:pt>
                <c:pt idx="309">
                  <c:v>364.41</c:v>
                </c:pt>
                <c:pt idx="310">
                  <c:v>363.68</c:v>
                </c:pt>
                <c:pt idx="311">
                  <c:v>367.3</c:v>
                </c:pt>
                <c:pt idx="312">
                  <c:v>367.3</c:v>
                </c:pt>
                <c:pt idx="313">
                  <c:v>367.3</c:v>
                </c:pt>
                <c:pt idx="314">
                  <c:v>370.2</c:v>
                </c:pt>
                <c:pt idx="315">
                  <c:v>370.05</c:v>
                </c:pt>
                <c:pt idx="316">
                  <c:v>368.58</c:v>
                </c:pt>
                <c:pt idx="317">
                  <c:v>365.64</c:v>
                </c:pt>
                <c:pt idx="318">
                  <c:v>369.1</c:v>
                </c:pt>
                <c:pt idx="319">
                  <c:v>369.1</c:v>
                </c:pt>
                <c:pt idx="320">
                  <c:v>369.1</c:v>
                </c:pt>
                <c:pt idx="321">
                  <c:v>367.29</c:v>
                </c:pt>
                <c:pt idx="322">
                  <c:v>364.85</c:v>
                </c:pt>
                <c:pt idx="323">
                  <c:v>362.8</c:v>
                </c:pt>
                <c:pt idx="324">
                  <c:v>364.37</c:v>
                </c:pt>
                <c:pt idx="325">
                  <c:v>364.43</c:v>
                </c:pt>
                <c:pt idx="326">
                  <c:v>364.43</c:v>
                </c:pt>
                <c:pt idx="327">
                  <c:v>364.43</c:v>
                </c:pt>
                <c:pt idx="328">
                  <c:v>365.9</c:v>
                </c:pt>
                <c:pt idx="329">
                  <c:v>367.35</c:v>
                </c:pt>
                <c:pt idx="330">
                  <c:v>365.07</c:v>
                </c:pt>
                <c:pt idx="331">
                  <c:v>365.34</c:v>
                </c:pt>
                <c:pt idx="332">
                  <c:v>365.73</c:v>
                </c:pt>
                <c:pt idx="333">
                  <c:v>365.73</c:v>
                </c:pt>
                <c:pt idx="334">
                  <c:v>365.73</c:v>
                </c:pt>
                <c:pt idx="335">
                  <c:v>367.69</c:v>
                </c:pt>
                <c:pt idx="336">
                  <c:v>367.71</c:v>
                </c:pt>
                <c:pt idx="337">
                  <c:v>368.99</c:v>
                </c:pt>
                <c:pt idx="338">
                  <c:v>368.25</c:v>
                </c:pt>
                <c:pt idx="339">
                  <c:v>367.24</c:v>
                </c:pt>
                <c:pt idx="340">
                  <c:v>367.24</c:v>
                </c:pt>
                <c:pt idx="341">
                  <c:v>367.24</c:v>
                </c:pt>
                <c:pt idx="342">
                  <c:v>367.91</c:v>
                </c:pt>
                <c:pt idx="343">
                  <c:v>367.46</c:v>
                </c:pt>
                <c:pt idx="344">
                  <c:v>368.29</c:v>
                </c:pt>
                <c:pt idx="345">
                  <c:v>370.07</c:v>
                </c:pt>
                <c:pt idx="346">
                  <c:v>369.23</c:v>
                </c:pt>
                <c:pt idx="347">
                  <c:v>369.23</c:v>
                </c:pt>
                <c:pt idx="348">
                  <c:v>369.23</c:v>
                </c:pt>
                <c:pt idx="349">
                  <c:v>369.81</c:v>
                </c:pt>
                <c:pt idx="350">
                  <c:v>369.72</c:v>
                </c:pt>
                <c:pt idx="351">
                  <c:v>370.08</c:v>
                </c:pt>
                <c:pt idx="352">
                  <c:v>368.75</c:v>
                </c:pt>
                <c:pt idx="353">
                  <c:v>369.21</c:v>
                </c:pt>
                <c:pt idx="354">
                  <c:v>369.21</c:v>
                </c:pt>
                <c:pt idx="355">
                  <c:v>369.21</c:v>
                </c:pt>
                <c:pt idx="356">
                  <c:v>366.63</c:v>
                </c:pt>
                <c:pt idx="357">
                  <c:v>362.7</c:v>
                </c:pt>
                <c:pt idx="358">
                  <c:v>362.49</c:v>
                </c:pt>
                <c:pt idx="359">
                  <c:v>360.21</c:v>
                </c:pt>
                <c:pt idx="360">
                  <c:v>358.82</c:v>
                </c:pt>
                <c:pt idx="361">
                  <c:v>358.82</c:v>
                </c:pt>
                <c:pt idx="362">
                  <c:v>358.82</c:v>
                </c:pt>
                <c:pt idx="363">
                  <c:v>358.59</c:v>
                </c:pt>
                <c:pt idx="364">
                  <c:v>356.83</c:v>
                </c:pt>
                <c:pt idx="365">
                  <c:v>353.11</c:v>
                </c:pt>
                <c:pt idx="366">
                  <c:v>354.81</c:v>
                </c:pt>
              </c:numCache>
            </c:numRef>
          </c:val>
          <c:smooth val="0"/>
          <c:extLst>
            <c:ext xmlns:c16="http://schemas.microsoft.com/office/drawing/2014/chart" uri="{C3380CC4-5D6E-409C-BE32-E72D297353CC}">
              <c16:uniqueId val="{00000000-44D0-4504-8C8B-D782319FD58D}"/>
            </c:ext>
          </c:extLst>
        </c:ser>
        <c:ser>
          <c:idx val="1"/>
          <c:order val="1"/>
          <c:tx>
            <c:strRef>
              <c:f>Állandó_ábrák!$B$17</c:f>
              <c:strCache>
                <c:ptCount val="1"/>
                <c:pt idx="0">
                  <c:v>200-napos m.átl.</c:v>
                </c:pt>
              </c:strCache>
            </c:strRef>
          </c:tx>
          <c:spPr>
            <a:ln w="25400">
              <a:solidFill>
                <a:srgbClr val="50B4E1"/>
              </a:solidFill>
              <a:prstDash val="solid"/>
            </a:ln>
          </c:spPr>
          <c:marker>
            <c:symbol val="none"/>
          </c:marker>
          <c:cat>
            <c:numRef>
              <c:f>BB!$A$1:$A$367</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BB!$C$1:$C$367</c:f>
              <c:numCache>
                <c:formatCode>0.00</c:formatCode>
                <c:ptCount val="367"/>
                <c:pt idx="0">
                  <c:v>355.19</c:v>
                </c:pt>
                <c:pt idx="1">
                  <c:v>355.2</c:v>
                </c:pt>
                <c:pt idx="2">
                  <c:v>355.23</c:v>
                </c:pt>
                <c:pt idx="3">
                  <c:v>355.26</c:v>
                </c:pt>
                <c:pt idx="4">
                  <c:v>355.26</c:v>
                </c:pt>
                <c:pt idx="5">
                  <c:v>355.26</c:v>
                </c:pt>
                <c:pt idx="6">
                  <c:v>355.29</c:v>
                </c:pt>
                <c:pt idx="7">
                  <c:v>355.32</c:v>
                </c:pt>
                <c:pt idx="8">
                  <c:v>355.35</c:v>
                </c:pt>
                <c:pt idx="9">
                  <c:v>355.38</c:v>
                </c:pt>
                <c:pt idx="10">
                  <c:v>355.4</c:v>
                </c:pt>
                <c:pt idx="11">
                  <c:v>355.4</c:v>
                </c:pt>
                <c:pt idx="12">
                  <c:v>355.4</c:v>
                </c:pt>
                <c:pt idx="13">
                  <c:v>355.42</c:v>
                </c:pt>
                <c:pt idx="14">
                  <c:v>355.45</c:v>
                </c:pt>
                <c:pt idx="15">
                  <c:v>355.47</c:v>
                </c:pt>
                <c:pt idx="16">
                  <c:v>355.48</c:v>
                </c:pt>
                <c:pt idx="17">
                  <c:v>355.48</c:v>
                </c:pt>
                <c:pt idx="18">
                  <c:v>355.48</c:v>
                </c:pt>
                <c:pt idx="19">
                  <c:v>355.48</c:v>
                </c:pt>
                <c:pt idx="20">
                  <c:v>355.48</c:v>
                </c:pt>
                <c:pt idx="21">
                  <c:v>355.47</c:v>
                </c:pt>
                <c:pt idx="22">
                  <c:v>355.48</c:v>
                </c:pt>
                <c:pt idx="23">
                  <c:v>355.49</c:v>
                </c:pt>
                <c:pt idx="24">
                  <c:v>355.51</c:v>
                </c:pt>
                <c:pt idx="25">
                  <c:v>355.51</c:v>
                </c:pt>
                <c:pt idx="26">
                  <c:v>355.51</c:v>
                </c:pt>
                <c:pt idx="27">
                  <c:v>355.53</c:v>
                </c:pt>
                <c:pt idx="28">
                  <c:v>355.57</c:v>
                </c:pt>
                <c:pt idx="29">
                  <c:v>355.6</c:v>
                </c:pt>
                <c:pt idx="30">
                  <c:v>355.64</c:v>
                </c:pt>
                <c:pt idx="31">
                  <c:v>355.68</c:v>
                </c:pt>
                <c:pt idx="32">
                  <c:v>355.68</c:v>
                </c:pt>
                <c:pt idx="33">
                  <c:v>355.68</c:v>
                </c:pt>
                <c:pt idx="34">
                  <c:v>355.72</c:v>
                </c:pt>
                <c:pt idx="35">
                  <c:v>355.76</c:v>
                </c:pt>
                <c:pt idx="36">
                  <c:v>355.78</c:v>
                </c:pt>
                <c:pt idx="37">
                  <c:v>355.8</c:v>
                </c:pt>
                <c:pt idx="38">
                  <c:v>355.82</c:v>
                </c:pt>
                <c:pt idx="39">
                  <c:v>355.82</c:v>
                </c:pt>
                <c:pt idx="40">
                  <c:v>355.82</c:v>
                </c:pt>
                <c:pt idx="41">
                  <c:v>355.85</c:v>
                </c:pt>
                <c:pt idx="42">
                  <c:v>355.9</c:v>
                </c:pt>
                <c:pt idx="43">
                  <c:v>355.94</c:v>
                </c:pt>
                <c:pt idx="44">
                  <c:v>356.01</c:v>
                </c:pt>
                <c:pt idx="45">
                  <c:v>356.07</c:v>
                </c:pt>
                <c:pt idx="46">
                  <c:v>356.07</c:v>
                </c:pt>
                <c:pt idx="47">
                  <c:v>356.07</c:v>
                </c:pt>
                <c:pt idx="48">
                  <c:v>356.14</c:v>
                </c:pt>
                <c:pt idx="49">
                  <c:v>356.22</c:v>
                </c:pt>
                <c:pt idx="50">
                  <c:v>356.3</c:v>
                </c:pt>
                <c:pt idx="51">
                  <c:v>356.38</c:v>
                </c:pt>
                <c:pt idx="52">
                  <c:v>356.48</c:v>
                </c:pt>
                <c:pt idx="53">
                  <c:v>356.48</c:v>
                </c:pt>
                <c:pt idx="54">
                  <c:v>356.48</c:v>
                </c:pt>
                <c:pt idx="55">
                  <c:v>356.59</c:v>
                </c:pt>
                <c:pt idx="56">
                  <c:v>356.7</c:v>
                </c:pt>
                <c:pt idx="57">
                  <c:v>356.81</c:v>
                </c:pt>
                <c:pt idx="58">
                  <c:v>356.91</c:v>
                </c:pt>
                <c:pt idx="59">
                  <c:v>357.03</c:v>
                </c:pt>
                <c:pt idx="60">
                  <c:v>357.03</c:v>
                </c:pt>
                <c:pt idx="61">
                  <c:v>357.03</c:v>
                </c:pt>
                <c:pt idx="62">
                  <c:v>357.14</c:v>
                </c:pt>
                <c:pt idx="63">
                  <c:v>357.26</c:v>
                </c:pt>
                <c:pt idx="64">
                  <c:v>357.38</c:v>
                </c:pt>
                <c:pt idx="65">
                  <c:v>357.49</c:v>
                </c:pt>
                <c:pt idx="66">
                  <c:v>357.6</c:v>
                </c:pt>
                <c:pt idx="67">
                  <c:v>357.6</c:v>
                </c:pt>
                <c:pt idx="68">
                  <c:v>357.6</c:v>
                </c:pt>
                <c:pt idx="69">
                  <c:v>357.69</c:v>
                </c:pt>
                <c:pt idx="70">
                  <c:v>357.8</c:v>
                </c:pt>
                <c:pt idx="71">
                  <c:v>357.9</c:v>
                </c:pt>
                <c:pt idx="72">
                  <c:v>357.99</c:v>
                </c:pt>
                <c:pt idx="73">
                  <c:v>358.07</c:v>
                </c:pt>
                <c:pt idx="74">
                  <c:v>358.07</c:v>
                </c:pt>
                <c:pt idx="75">
                  <c:v>358.07</c:v>
                </c:pt>
                <c:pt idx="76">
                  <c:v>358.15</c:v>
                </c:pt>
                <c:pt idx="77">
                  <c:v>358.22</c:v>
                </c:pt>
                <c:pt idx="78">
                  <c:v>358.27</c:v>
                </c:pt>
                <c:pt idx="79">
                  <c:v>358.31</c:v>
                </c:pt>
                <c:pt idx="80">
                  <c:v>358.34</c:v>
                </c:pt>
                <c:pt idx="81">
                  <c:v>358.34</c:v>
                </c:pt>
                <c:pt idx="82">
                  <c:v>358.34</c:v>
                </c:pt>
                <c:pt idx="83">
                  <c:v>358.36</c:v>
                </c:pt>
                <c:pt idx="84">
                  <c:v>358.39</c:v>
                </c:pt>
                <c:pt idx="85">
                  <c:v>358.42</c:v>
                </c:pt>
                <c:pt idx="86">
                  <c:v>358.45</c:v>
                </c:pt>
                <c:pt idx="87">
                  <c:v>358.48</c:v>
                </c:pt>
                <c:pt idx="88">
                  <c:v>358.48</c:v>
                </c:pt>
                <c:pt idx="89">
                  <c:v>358.48</c:v>
                </c:pt>
                <c:pt idx="90">
                  <c:v>358.5</c:v>
                </c:pt>
                <c:pt idx="91">
                  <c:v>358.53</c:v>
                </c:pt>
                <c:pt idx="92">
                  <c:v>358.55</c:v>
                </c:pt>
                <c:pt idx="93">
                  <c:v>358.58</c:v>
                </c:pt>
                <c:pt idx="94">
                  <c:v>358.62</c:v>
                </c:pt>
                <c:pt idx="95">
                  <c:v>358.62</c:v>
                </c:pt>
                <c:pt idx="96">
                  <c:v>358.62</c:v>
                </c:pt>
                <c:pt idx="97">
                  <c:v>358.64</c:v>
                </c:pt>
                <c:pt idx="98">
                  <c:v>358.67</c:v>
                </c:pt>
                <c:pt idx="99">
                  <c:v>358.72</c:v>
                </c:pt>
                <c:pt idx="100">
                  <c:v>358.77</c:v>
                </c:pt>
                <c:pt idx="101">
                  <c:v>358.82</c:v>
                </c:pt>
                <c:pt idx="102">
                  <c:v>358.82</c:v>
                </c:pt>
                <c:pt idx="103">
                  <c:v>358.82</c:v>
                </c:pt>
                <c:pt idx="104">
                  <c:v>358.88</c:v>
                </c:pt>
                <c:pt idx="105">
                  <c:v>358.94</c:v>
                </c:pt>
                <c:pt idx="106">
                  <c:v>359.01</c:v>
                </c:pt>
                <c:pt idx="107">
                  <c:v>359.07</c:v>
                </c:pt>
                <c:pt idx="108">
                  <c:v>359.15</c:v>
                </c:pt>
                <c:pt idx="109">
                  <c:v>359.15</c:v>
                </c:pt>
                <c:pt idx="110">
                  <c:v>359.15</c:v>
                </c:pt>
                <c:pt idx="111">
                  <c:v>359.21</c:v>
                </c:pt>
                <c:pt idx="112">
                  <c:v>359.28</c:v>
                </c:pt>
                <c:pt idx="113">
                  <c:v>359.35</c:v>
                </c:pt>
                <c:pt idx="114">
                  <c:v>359.41</c:v>
                </c:pt>
                <c:pt idx="115">
                  <c:v>359.49</c:v>
                </c:pt>
                <c:pt idx="116">
                  <c:v>359.49</c:v>
                </c:pt>
                <c:pt idx="117">
                  <c:v>359.49</c:v>
                </c:pt>
                <c:pt idx="118">
                  <c:v>359.55</c:v>
                </c:pt>
                <c:pt idx="119">
                  <c:v>359.61</c:v>
                </c:pt>
                <c:pt idx="120">
                  <c:v>359.68</c:v>
                </c:pt>
                <c:pt idx="121">
                  <c:v>359.73</c:v>
                </c:pt>
                <c:pt idx="122">
                  <c:v>359.78</c:v>
                </c:pt>
                <c:pt idx="123">
                  <c:v>359.78</c:v>
                </c:pt>
                <c:pt idx="124">
                  <c:v>359.78</c:v>
                </c:pt>
                <c:pt idx="125">
                  <c:v>359.81</c:v>
                </c:pt>
                <c:pt idx="126">
                  <c:v>359.84</c:v>
                </c:pt>
                <c:pt idx="127">
                  <c:v>359.87</c:v>
                </c:pt>
                <c:pt idx="128">
                  <c:v>359.89</c:v>
                </c:pt>
                <c:pt idx="129">
                  <c:v>359.9</c:v>
                </c:pt>
                <c:pt idx="130">
                  <c:v>359.9</c:v>
                </c:pt>
                <c:pt idx="131">
                  <c:v>359.9</c:v>
                </c:pt>
                <c:pt idx="132">
                  <c:v>359.89</c:v>
                </c:pt>
                <c:pt idx="133">
                  <c:v>359.89</c:v>
                </c:pt>
                <c:pt idx="134">
                  <c:v>359.9</c:v>
                </c:pt>
                <c:pt idx="135">
                  <c:v>359.9</c:v>
                </c:pt>
                <c:pt idx="136">
                  <c:v>359.88</c:v>
                </c:pt>
                <c:pt idx="137">
                  <c:v>359.88</c:v>
                </c:pt>
                <c:pt idx="138">
                  <c:v>359.88</c:v>
                </c:pt>
                <c:pt idx="139">
                  <c:v>359.86</c:v>
                </c:pt>
                <c:pt idx="140">
                  <c:v>359.82</c:v>
                </c:pt>
                <c:pt idx="141">
                  <c:v>359.78</c:v>
                </c:pt>
                <c:pt idx="142">
                  <c:v>359.73</c:v>
                </c:pt>
                <c:pt idx="143">
                  <c:v>359.69</c:v>
                </c:pt>
                <c:pt idx="144">
                  <c:v>359.69</c:v>
                </c:pt>
                <c:pt idx="145">
                  <c:v>359.69</c:v>
                </c:pt>
                <c:pt idx="146">
                  <c:v>359.65</c:v>
                </c:pt>
                <c:pt idx="147">
                  <c:v>359.61</c:v>
                </c:pt>
                <c:pt idx="148">
                  <c:v>359.55</c:v>
                </c:pt>
                <c:pt idx="149">
                  <c:v>359.49</c:v>
                </c:pt>
                <c:pt idx="150">
                  <c:v>359.43</c:v>
                </c:pt>
                <c:pt idx="151">
                  <c:v>359.43</c:v>
                </c:pt>
                <c:pt idx="152">
                  <c:v>359.43</c:v>
                </c:pt>
                <c:pt idx="153">
                  <c:v>359.38</c:v>
                </c:pt>
                <c:pt idx="154">
                  <c:v>359.35</c:v>
                </c:pt>
                <c:pt idx="155">
                  <c:v>359.33</c:v>
                </c:pt>
                <c:pt idx="156">
                  <c:v>359.32</c:v>
                </c:pt>
                <c:pt idx="157">
                  <c:v>359.31</c:v>
                </c:pt>
                <c:pt idx="158">
                  <c:v>359.31</c:v>
                </c:pt>
                <c:pt idx="159">
                  <c:v>359.31</c:v>
                </c:pt>
                <c:pt idx="160">
                  <c:v>359.29</c:v>
                </c:pt>
                <c:pt idx="161">
                  <c:v>359.25</c:v>
                </c:pt>
                <c:pt idx="162">
                  <c:v>359.21</c:v>
                </c:pt>
                <c:pt idx="163">
                  <c:v>359.16</c:v>
                </c:pt>
                <c:pt idx="164">
                  <c:v>359.12</c:v>
                </c:pt>
                <c:pt idx="165">
                  <c:v>359.12</c:v>
                </c:pt>
                <c:pt idx="166">
                  <c:v>359.12</c:v>
                </c:pt>
                <c:pt idx="167">
                  <c:v>359.06</c:v>
                </c:pt>
                <c:pt idx="168">
                  <c:v>359</c:v>
                </c:pt>
                <c:pt idx="169">
                  <c:v>358.93</c:v>
                </c:pt>
                <c:pt idx="170">
                  <c:v>358.87</c:v>
                </c:pt>
                <c:pt idx="171">
                  <c:v>358.81</c:v>
                </c:pt>
                <c:pt idx="172">
                  <c:v>358.81</c:v>
                </c:pt>
                <c:pt idx="173">
                  <c:v>358.81</c:v>
                </c:pt>
                <c:pt idx="174">
                  <c:v>358.74</c:v>
                </c:pt>
                <c:pt idx="175">
                  <c:v>358.69</c:v>
                </c:pt>
                <c:pt idx="176">
                  <c:v>358.65</c:v>
                </c:pt>
                <c:pt idx="177">
                  <c:v>358.65</c:v>
                </c:pt>
                <c:pt idx="178">
                  <c:v>358.63</c:v>
                </c:pt>
                <c:pt idx="179">
                  <c:v>358.63</c:v>
                </c:pt>
                <c:pt idx="180">
                  <c:v>358.63</c:v>
                </c:pt>
                <c:pt idx="181">
                  <c:v>358.61</c:v>
                </c:pt>
                <c:pt idx="182">
                  <c:v>358.59</c:v>
                </c:pt>
                <c:pt idx="183">
                  <c:v>358.58</c:v>
                </c:pt>
                <c:pt idx="184">
                  <c:v>358.59</c:v>
                </c:pt>
                <c:pt idx="185">
                  <c:v>358.61</c:v>
                </c:pt>
                <c:pt idx="186">
                  <c:v>358.61</c:v>
                </c:pt>
                <c:pt idx="187">
                  <c:v>358.61</c:v>
                </c:pt>
                <c:pt idx="188">
                  <c:v>358.62</c:v>
                </c:pt>
                <c:pt idx="189">
                  <c:v>358.6</c:v>
                </c:pt>
                <c:pt idx="190">
                  <c:v>358.59</c:v>
                </c:pt>
                <c:pt idx="191">
                  <c:v>358.55</c:v>
                </c:pt>
                <c:pt idx="192">
                  <c:v>358.53</c:v>
                </c:pt>
                <c:pt idx="193">
                  <c:v>358.53</c:v>
                </c:pt>
                <c:pt idx="194">
                  <c:v>358.53</c:v>
                </c:pt>
                <c:pt idx="195">
                  <c:v>358.51</c:v>
                </c:pt>
                <c:pt idx="196">
                  <c:v>358.49</c:v>
                </c:pt>
                <c:pt idx="197">
                  <c:v>358.48</c:v>
                </c:pt>
                <c:pt idx="198">
                  <c:v>358.44</c:v>
                </c:pt>
                <c:pt idx="199">
                  <c:v>358.41</c:v>
                </c:pt>
                <c:pt idx="200">
                  <c:v>358.41</c:v>
                </c:pt>
                <c:pt idx="201">
                  <c:v>358.41</c:v>
                </c:pt>
                <c:pt idx="202">
                  <c:v>358.36</c:v>
                </c:pt>
                <c:pt idx="203">
                  <c:v>358.32</c:v>
                </c:pt>
                <c:pt idx="204">
                  <c:v>358.25</c:v>
                </c:pt>
                <c:pt idx="205">
                  <c:v>358.18</c:v>
                </c:pt>
                <c:pt idx="206">
                  <c:v>358.11</c:v>
                </c:pt>
                <c:pt idx="207">
                  <c:v>358.11</c:v>
                </c:pt>
                <c:pt idx="208">
                  <c:v>358.11</c:v>
                </c:pt>
                <c:pt idx="209">
                  <c:v>358.05</c:v>
                </c:pt>
                <c:pt idx="210">
                  <c:v>358</c:v>
                </c:pt>
                <c:pt idx="211">
                  <c:v>357.95</c:v>
                </c:pt>
                <c:pt idx="212">
                  <c:v>357.92</c:v>
                </c:pt>
                <c:pt idx="213">
                  <c:v>357.89</c:v>
                </c:pt>
                <c:pt idx="214">
                  <c:v>357.89</c:v>
                </c:pt>
                <c:pt idx="215">
                  <c:v>357.89</c:v>
                </c:pt>
                <c:pt idx="216">
                  <c:v>357.86</c:v>
                </c:pt>
                <c:pt idx="217">
                  <c:v>357.84</c:v>
                </c:pt>
                <c:pt idx="218">
                  <c:v>357.81</c:v>
                </c:pt>
                <c:pt idx="219">
                  <c:v>357.79</c:v>
                </c:pt>
                <c:pt idx="220">
                  <c:v>357.76</c:v>
                </c:pt>
                <c:pt idx="221">
                  <c:v>357.76</c:v>
                </c:pt>
                <c:pt idx="222">
                  <c:v>357.76</c:v>
                </c:pt>
                <c:pt idx="223">
                  <c:v>357.71</c:v>
                </c:pt>
                <c:pt idx="224">
                  <c:v>357.64</c:v>
                </c:pt>
                <c:pt idx="225">
                  <c:v>357.58</c:v>
                </c:pt>
                <c:pt idx="226">
                  <c:v>357.53</c:v>
                </c:pt>
                <c:pt idx="227">
                  <c:v>357.47</c:v>
                </c:pt>
                <c:pt idx="228">
                  <c:v>357.47</c:v>
                </c:pt>
                <c:pt idx="229">
                  <c:v>357.47</c:v>
                </c:pt>
                <c:pt idx="230">
                  <c:v>357.41</c:v>
                </c:pt>
                <c:pt idx="231">
                  <c:v>357.36</c:v>
                </c:pt>
                <c:pt idx="232">
                  <c:v>357.29</c:v>
                </c:pt>
                <c:pt idx="233">
                  <c:v>357.23</c:v>
                </c:pt>
                <c:pt idx="234">
                  <c:v>357.16</c:v>
                </c:pt>
                <c:pt idx="235">
                  <c:v>357.16</c:v>
                </c:pt>
                <c:pt idx="236">
                  <c:v>357.16</c:v>
                </c:pt>
                <c:pt idx="237">
                  <c:v>357.1</c:v>
                </c:pt>
                <c:pt idx="238">
                  <c:v>357.06</c:v>
                </c:pt>
                <c:pt idx="239">
                  <c:v>357.02</c:v>
                </c:pt>
                <c:pt idx="240">
                  <c:v>356.99</c:v>
                </c:pt>
                <c:pt idx="241">
                  <c:v>356.94</c:v>
                </c:pt>
                <c:pt idx="242">
                  <c:v>356.94</c:v>
                </c:pt>
                <c:pt idx="243">
                  <c:v>356.94</c:v>
                </c:pt>
                <c:pt idx="244">
                  <c:v>356.89</c:v>
                </c:pt>
                <c:pt idx="245">
                  <c:v>356.84</c:v>
                </c:pt>
                <c:pt idx="246">
                  <c:v>356.81</c:v>
                </c:pt>
                <c:pt idx="247">
                  <c:v>356.79</c:v>
                </c:pt>
                <c:pt idx="248">
                  <c:v>356.78</c:v>
                </c:pt>
                <c:pt idx="249">
                  <c:v>356.78</c:v>
                </c:pt>
                <c:pt idx="250">
                  <c:v>356.78</c:v>
                </c:pt>
                <c:pt idx="251">
                  <c:v>356.78</c:v>
                </c:pt>
                <c:pt idx="252">
                  <c:v>356.77</c:v>
                </c:pt>
                <c:pt idx="253">
                  <c:v>356.77</c:v>
                </c:pt>
                <c:pt idx="254">
                  <c:v>356.77</c:v>
                </c:pt>
                <c:pt idx="255">
                  <c:v>356.77</c:v>
                </c:pt>
                <c:pt idx="256">
                  <c:v>356.77</c:v>
                </c:pt>
                <c:pt idx="257">
                  <c:v>356.77</c:v>
                </c:pt>
                <c:pt idx="258">
                  <c:v>356.75</c:v>
                </c:pt>
                <c:pt idx="259">
                  <c:v>356.74</c:v>
                </c:pt>
                <c:pt idx="260">
                  <c:v>356.73</c:v>
                </c:pt>
                <c:pt idx="261">
                  <c:v>356.72</c:v>
                </c:pt>
                <c:pt idx="262">
                  <c:v>356.69</c:v>
                </c:pt>
                <c:pt idx="263">
                  <c:v>356.69</c:v>
                </c:pt>
                <c:pt idx="264">
                  <c:v>356.69</c:v>
                </c:pt>
                <c:pt idx="265">
                  <c:v>356.65</c:v>
                </c:pt>
                <c:pt idx="266">
                  <c:v>356.62</c:v>
                </c:pt>
                <c:pt idx="267">
                  <c:v>356.59</c:v>
                </c:pt>
                <c:pt idx="268">
                  <c:v>356.57</c:v>
                </c:pt>
                <c:pt idx="269">
                  <c:v>356.56</c:v>
                </c:pt>
                <c:pt idx="270">
                  <c:v>356.56</c:v>
                </c:pt>
                <c:pt idx="271">
                  <c:v>356.56</c:v>
                </c:pt>
                <c:pt idx="272">
                  <c:v>356.54</c:v>
                </c:pt>
                <c:pt idx="273">
                  <c:v>356.55</c:v>
                </c:pt>
                <c:pt idx="274">
                  <c:v>356.56</c:v>
                </c:pt>
                <c:pt idx="275">
                  <c:v>356.55</c:v>
                </c:pt>
                <c:pt idx="276">
                  <c:v>356.55</c:v>
                </c:pt>
                <c:pt idx="277">
                  <c:v>356.55</c:v>
                </c:pt>
                <c:pt idx="278">
                  <c:v>356.55</c:v>
                </c:pt>
                <c:pt idx="279">
                  <c:v>356.56</c:v>
                </c:pt>
                <c:pt idx="280">
                  <c:v>356.57</c:v>
                </c:pt>
                <c:pt idx="281">
                  <c:v>356.58</c:v>
                </c:pt>
                <c:pt idx="282">
                  <c:v>356.6</c:v>
                </c:pt>
                <c:pt idx="283">
                  <c:v>356.63</c:v>
                </c:pt>
                <c:pt idx="284">
                  <c:v>356.63</c:v>
                </c:pt>
                <c:pt idx="285">
                  <c:v>356.63</c:v>
                </c:pt>
                <c:pt idx="286">
                  <c:v>356.65</c:v>
                </c:pt>
                <c:pt idx="287">
                  <c:v>356.69</c:v>
                </c:pt>
                <c:pt idx="288">
                  <c:v>356.72</c:v>
                </c:pt>
                <c:pt idx="289">
                  <c:v>356.75</c:v>
                </c:pt>
                <c:pt idx="290">
                  <c:v>356.76</c:v>
                </c:pt>
                <c:pt idx="291">
                  <c:v>356.76</c:v>
                </c:pt>
                <c:pt idx="292">
                  <c:v>356.76</c:v>
                </c:pt>
                <c:pt idx="293">
                  <c:v>356.77</c:v>
                </c:pt>
                <c:pt idx="294">
                  <c:v>356.77</c:v>
                </c:pt>
                <c:pt idx="295">
                  <c:v>356.76</c:v>
                </c:pt>
                <c:pt idx="296">
                  <c:v>356.77</c:v>
                </c:pt>
                <c:pt idx="297">
                  <c:v>356.78</c:v>
                </c:pt>
                <c:pt idx="298">
                  <c:v>356.78</c:v>
                </c:pt>
                <c:pt idx="299">
                  <c:v>356.78</c:v>
                </c:pt>
                <c:pt idx="300">
                  <c:v>356.8</c:v>
                </c:pt>
                <c:pt idx="301">
                  <c:v>356.83</c:v>
                </c:pt>
                <c:pt idx="302">
                  <c:v>356.87</c:v>
                </c:pt>
                <c:pt idx="303">
                  <c:v>356.92</c:v>
                </c:pt>
                <c:pt idx="304">
                  <c:v>356.97</c:v>
                </c:pt>
                <c:pt idx="305">
                  <c:v>356.97</c:v>
                </c:pt>
                <c:pt idx="306">
                  <c:v>356.97</c:v>
                </c:pt>
                <c:pt idx="307">
                  <c:v>357.01</c:v>
                </c:pt>
                <c:pt idx="308">
                  <c:v>357.04</c:v>
                </c:pt>
                <c:pt idx="309">
                  <c:v>357.08</c:v>
                </c:pt>
                <c:pt idx="310">
                  <c:v>357.11</c:v>
                </c:pt>
                <c:pt idx="311">
                  <c:v>357.15</c:v>
                </c:pt>
                <c:pt idx="312">
                  <c:v>357.15</c:v>
                </c:pt>
                <c:pt idx="313">
                  <c:v>357.15</c:v>
                </c:pt>
                <c:pt idx="314">
                  <c:v>357.22</c:v>
                </c:pt>
                <c:pt idx="315">
                  <c:v>357.27</c:v>
                </c:pt>
                <c:pt idx="316">
                  <c:v>357.32</c:v>
                </c:pt>
                <c:pt idx="317">
                  <c:v>357.36</c:v>
                </c:pt>
                <c:pt idx="318">
                  <c:v>357.41</c:v>
                </c:pt>
                <c:pt idx="319">
                  <c:v>357.41</c:v>
                </c:pt>
                <c:pt idx="320">
                  <c:v>357.41</c:v>
                </c:pt>
                <c:pt idx="321">
                  <c:v>357.45</c:v>
                </c:pt>
                <c:pt idx="322">
                  <c:v>357.48</c:v>
                </c:pt>
                <c:pt idx="323">
                  <c:v>357.5</c:v>
                </c:pt>
                <c:pt idx="324">
                  <c:v>357.51</c:v>
                </c:pt>
                <c:pt idx="325">
                  <c:v>357.52</c:v>
                </c:pt>
                <c:pt idx="326">
                  <c:v>357.52</c:v>
                </c:pt>
                <c:pt idx="327">
                  <c:v>357.52</c:v>
                </c:pt>
                <c:pt idx="328">
                  <c:v>357.53</c:v>
                </c:pt>
                <c:pt idx="329">
                  <c:v>357.55</c:v>
                </c:pt>
                <c:pt idx="330">
                  <c:v>357.55</c:v>
                </c:pt>
                <c:pt idx="331">
                  <c:v>357.55</c:v>
                </c:pt>
                <c:pt idx="332">
                  <c:v>357.55</c:v>
                </c:pt>
                <c:pt idx="333">
                  <c:v>357.55</c:v>
                </c:pt>
                <c:pt idx="334">
                  <c:v>357.55</c:v>
                </c:pt>
                <c:pt idx="335">
                  <c:v>357.55</c:v>
                </c:pt>
                <c:pt idx="336">
                  <c:v>357.55</c:v>
                </c:pt>
                <c:pt idx="337">
                  <c:v>357.56</c:v>
                </c:pt>
                <c:pt idx="338">
                  <c:v>357.58</c:v>
                </c:pt>
                <c:pt idx="339">
                  <c:v>357.58</c:v>
                </c:pt>
                <c:pt idx="340">
                  <c:v>357.58</c:v>
                </c:pt>
                <c:pt idx="341">
                  <c:v>357.58</c:v>
                </c:pt>
                <c:pt idx="342">
                  <c:v>357.58</c:v>
                </c:pt>
                <c:pt idx="343">
                  <c:v>357.58</c:v>
                </c:pt>
                <c:pt idx="344">
                  <c:v>357.59</c:v>
                </c:pt>
                <c:pt idx="345">
                  <c:v>357.6</c:v>
                </c:pt>
                <c:pt idx="346">
                  <c:v>357.6</c:v>
                </c:pt>
                <c:pt idx="347">
                  <c:v>357.6</c:v>
                </c:pt>
                <c:pt idx="348">
                  <c:v>357.6</c:v>
                </c:pt>
                <c:pt idx="349">
                  <c:v>357.62</c:v>
                </c:pt>
                <c:pt idx="350">
                  <c:v>357.64</c:v>
                </c:pt>
                <c:pt idx="351">
                  <c:v>357.67</c:v>
                </c:pt>
                <c:pt idx="352">
                  <c:v>357.69</c:v>
                </c:pt>
                <c:pt idx="353">
                  <c:v>357.72</c:v>
                </c:pt>
                <c:pt idx="354">
                  <c:v>357.72</c:v>
                </c:pt>
                <c:pt idx="355">
                  <c:v>357.72</c:v>
                </c:pt>
                <c:pt idx="356">
                  <c:v>357.74</c:v>
                </c:pt>
                <c:pt idx="357">
                  <c:v>357.74</c:v>
                </c:pt>
                <c:pt idx="358">
                  <c:v>357.74</c:v>
                </c:pt>
                <c:pt idx="359">
                  <c:v>357.73</c:v>
                </c:pt>
                <c:pt idx="360">
                  <c:v>357.72</c:v>
                </c:pt>
                <c:pt idx="361">
                  <c:v>357.72</c:v>
                </c:pt>
                <c:pt idx="362">
                  <c:v>357.72</c:v>
                </c:pt>
                <c:pt idx="363">
                  <c:v>357.72</c:v>
                </c:pt>
                <c:pt idx="364">
                  <c:v>357.7</c:v>
                </c:pt>
                <c:pt idx="365">
                  <c:v>357.67</c:v>
                </c:pt>
                <c:pt idx="366">
                  <c:v>357.65</c:v>
                </c:pt>
              </c:numCache>
            </c:numRef>
          </c:val>
          <c:smooth val="0"/>
          <c:extLst>
            <c:ext xmlns:c16="http://schemas.microsoft.com/office/drawing/2014/chart" uri="{C3380CC4-5D6E-409C-BE32-E72D297353CC}">
              <c16:uniqueId val="{00000001-44D0-4504-8C8B-D782319FD58D}"/>
            </c:ext>
          </c:extLst>
        </c:ser>
        <c:dLbls>
          <c:showLegendKey val="0"/>
          <c:showVal val="0"/>
          <c:showCatName val="0"/>
          <c:showSerName val="0"/>
          <c:showPercent val="0"/>
          <c:showBubbleSize val="0"/>
        </c:dLbls>
        <c:smooth val="0"/>
        <c:axId val="105859328"/>
        <c:axId val="105865216"/>
      </c:lineChart>
      <c:dateAx>
        <c:axId val="105859328"/>
        <c:scaling>
          <c:orientation val="minMax"/>
        </c:scaling>
        <c:delete val="0"/>
        <c:axPos val="b"/>
        <c:numFmt formatCode="yy\.mmm" sourceLinked="0"/>
        <c:majorTickMark val="none"/>
        <c:minorTickMark val="none"/>
        <c:tickLblPos val="low"/>
        <c:spPr>
          <a:ln w="3175">
            <a:noFill/>
            <a:prstDash val="solid"/>
          </a:ln>
        </c:spPr>
        <c:txPr>
          <a:bodyPr rot="0" vert="horz"/>
          <a:lstStyle/>
          <a:p>
            <a:pPr>
              <a:defRPr sz="700" b="0" i="0" u="none" strike="noStrike" baseline="0">
                <a:solidFill>
                  <a:schemeClr val="tx1"/>
                </a:solidFill>
                <a:latin typeface="Calibri"/>
                <a:ea typeface="Calibri"/>
                <a:cs typeface="Calibri"/>
              </a:defRPr>
            </a:pPr>
            <a:endParaRPr lang="hu-HU"/>
          </a:p>
        </c:txPr>
        <c:crossAx val="105865216"/>
        <c:crosses val="autoZero"/>
        <c:auto val="1"/>
        <c:lblOffset val="100"/>
        <c:baseTimeUnit val="days"/>
        <c:majorUnit val="2"/>
        <c:majorTimeUnit val="months"/>
        <c:minorUnit val="1"/>
        <c:minorTimeUnit val="months"/>
      </c:dateAx>
      <c:valAx>
        <c:axId val="105865216"/>
        <c:scaling>
          <c:orientation val="minMax"/>
          <c:max val="375"/>
          <c:min val="340"/>
        </c:scaling>
        <c:delete val="0"/>
        <c:axPos val="l"/>
        <c:majorGridlines>
          <c:spPr>
            <a:ln w="3175">
              <a:solidFill>
                <a:srgbClr val="C0C0C0"/>
              </a:solidFill>
              <a:prstDash val="solid"/>
            </a:ln>
          </c:spPr>
        </c:majorGridlines>
        <c:numFmt formatCode="0" sourceLinked="0"/>
        <c:majorTickMark val="none"/>
        <c:minorTickMark val="none"/>
        <c:tickLblPos val="low"/>
        <c:spPr>
          <a:ln w="3175">
            <a:noFill/>
            <a:prstDash val="solid"/>
          </a:ln>
        </c:spPr>
        <c:txPr>
          <a:bodyPr rot="0" vert="horz"/>
          <a:lstStyle/>
          <a:p>
            <a:pPr>
              <a:defRPr sz="700" b="0" i="0" u="none" strike="noStrike" baseline="0">
                <a:solidFill>
                  <a:schemeClr val="tx1"/>
                </a:solidFill>
                <a:latin typeface="Calibri"/>
                <a:ea typeface="Calibri"/>
                <a:cs typeface="Calibri"/>
              </a:defRPr>
            </a:pPr>
            <a:endParaRPr lang="hu-HU"/>
          </a:p>
        </c:txPr>
        <c:crossAx val="105859328"/>
        <c:crosses val="autoZero"/>
        <c:crossBetween val="between"/>
        <c:majorUnit val="5"/>
      </c:valAx>
      <c:spPr>
        <a:solidFill>
          <a:srgbClr val="FFFFFF"/>
        </a:solidFill>
        <a:ln w="25400">
          <a:noFill/>
        </a:ln>
      </c:spPr>
    </c:plotArea>
    <c:legend>
      <c:legendPos val="r"/>
      <c:layout>
        <c:manualLayout>
          <c:xMode val="edge"/>
          <c:yMode val="edge"/>
          <c:x val="0.25291628086419754"/>
          <c:y val="7.1189613526569818E-3"/>
          <c:w val="0.57678896604938268"/>
          <c:h val="6.0151570048309184E-2"/>
        </c:manualLayout>
      </c:layout>
      <c:overlay val="0"/>
      <c:spPr>
        <a:noFill/>
        <a:ln w="25400">
          <a:noFill/>
        </a:ln>
      </c:spPr>
      <c:txPr>
        <a:bodyPr/>
        <a:lstStyle/>
        <a:p>
          <a:pPr>
            <a:defRPr sz="700" b="0" i="0" u="none" strike="noStrike" baseline="0">
              <a:solidFill>
                <a:srgbClr val="000000"/>
              </a:solidFill>
              <a:latin typeface="Calibri"/>
              <a:ea typeface="Calibri"/>
              <a:cs typeface="Calibri"/>
            </a:defRPr>
          </a:pPr>
          <a:endParaRPr lang="hu-HU"/>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Calibri"/>
          <a:ea typeface="Calibri"/>
          <a:cs typeface="Calibri"/>
        </a:defRPr>
      </a:pPr>
      <a:endParaRPr lang="hu-H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35069444444445E-2"/>
          <c:y val="8.3759661835748789E-2"/>
          <c:w val="0.85547569444444449"/>
          <c:h val="0.80512801932367151"/>
        </c:manualLayout>
      </c:layout>
      <c:lineChart>
        <c:grouping val="standard"/>
        <c:varyColors val="0"/>
        <c:ser>
          <c:idx val="0"/>
          <c:order val="0"/>
          <c:tx>
            <c:strRef>
              <c:f>Állandó_ábrák!$B$16</c:f>
              <c:strCache>
                <c:ptCount val="1"/>
                <c:pt idx="0">
                  <c:v>szpot</c:v>
                </c:pt>
              </c:strCache>
            </c:strRef>
          </c:tx>
          <c:spPr>
            <a:ln w="25400">
              <a:solidFill>
                <a:srgbClr val="005A96"/>
              </a:solidFill>
              <a:prstDash val="solid"/>
            </a:ln>
          </c:spPr>
          <c:marker>
            <c:symbol val="none"/>
          </c:marker>
          <c:cat>
            <c:numRef>
              <c:f>Állandó_ábrák!$AA$37:$AA$403</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Állandó_ábrák!$AK$37:$AK$403</c:f>
              <c:numCache>
                <c:formatCode>General</c:formatCode>
                <c:ptCount val="367"/>
                <c:pt idx="0">
                  <c:v>294.15908904726797</c:v>
                </c:pt>
                <c:pt idx="1">
                  <c:v>296.56165172328696</c:v>
                </c:pt>
                <c:pt idx="2">
                  <c:v>295.67256273138622</c:v>
                </c:pt>
                <c:pt idx="3">
                  <c:v>298.31153782486348</c:v>
                </c:pt>
                <c:pt idx="4">
                  <c:v>298.31153782486348</c:v>
                </c:pt>
                <c:pt idx="5">
                  <c:v>298.31153782486348</c:v>
                </c:pt>
                <c:pt idx="6">
                  <c:v>297.84714747039828</c:v>
                </c:pt>
                <c:pt idx="7">
                  <c:v>295.08615714403498</c:v>
                </c:pt>
                <c:pt idx="8">
                  <c:v>295.02725921030896</c:v>
                </c:pt>
                <c:pt idx="9">
                  <c:v>293.32456428806319</c:v>
                </c:pt>
                <c:pt idx="10">
                  <c:v>293.81316243529704</c:v>
                </c:pt>
                <c:pt idx="11">
                  <c:v>293.81316243529704</c:v>
                </c:pt>
                <c:pt idx="12">
                  <c:v>293.81316243529704</c:v>
                </c:pt>
                <c:pt idx="13">
                  <c:v>294.62064420462968</c:v>
                </c:pt>
                <c:pt idx="14">
                  <c:v>295.56743421052636</c:v>
                </c:pt>
                <c:pt idx="15">
                  <c:v>297.77887870530918</c:v>
                </c:pt>
                <c:pt idx="16">
                  <c:v>296.0732552384095</c:v>
                </c:pt>
                <c:pt idx="17">
                  <c:v>294.50395517468689</c:v>
                </c:pt>
                <c:pt idx="18">
                  <c:v>294.50395517468689</c:v>
                </c:pt>
                <c:pt idx="19">
                  <c:v>294.50395517468689</c:v>
                </c:pt>
                <c:pt idx="20">
                  <c:v>295.14925373134326</c:v>
                </c:pt>
                <c:pt idx="21">
                  <c:v>295.08468947193626</c:v>
                </c:pt>
                <c:pt idx="22">
                  <c:v>295.14788966434031</c:v>
                </c:pt>
                <c:pt idx="23">
                  <c:v>297.33366766967572</c:v>
                </c:pt>
                <c:pt idx="24">
                  <c:v>296.38884276938404</c:v>
                </c:pt>
                <c:pt idx="25">
                  <c:v>296.38884276938404</c:v>
                </c:pt>
                <c:pt idx="26">
                  <c:v>296.38884276938404</c:v>
                </c:pt>
                <c:pt idx="27">
                  <c:v>297.51867219917011</c:v>
                </c:pt>
                <c:pt idx="28">
                  <c:v>295.42866573149598</c:v>
                </c:pt>
                <c:pt idx="29">
                  <c:v>294.53705231886454</c:v>
                </c:pt>
                <c:pt idx="30">
                  <c:v>295.2102225886232</c:v>
                </c:pt>
                <c:pt idx="31">
                  <c:v>295.76732673267333</c:v>
                </c:pt>
                <c:pt idx="32">
                  <c:v>295.76732673267333</c:v>
                </c:pt>
                <c:pt idx="33">
                  <c:v>295.76732673267333</c:v>
                </c:pt>
                <c:pt idx="34">
                  <c:v>294.68216670789019</c:v>
                </c:pt>
                <c:pt idx="35">
                  <c:v>296.37369899223529</c:v>
                </c:pt>
                <c:pt idx="36">
                  <c:v>297.78202359195882</c:v>
                </c:pt>
                <c:pt idx="37">
                  <c:v>296.53489910684749</c:v>
                </c:pt>
                <c:pt idx="38">
                  <c:v>295.87424705008664</c:v>
                </c:pt>
                <c:pt idx="39">
                  <c:v>295.87424705008664</c:v>
                </c:pt>
                <c:pt idx="40">
                  <c:v>295.87424705008664</c:v>
                </c:pt>
                <c:pt idx="41">
                  <c:v>295.40182610841492</c:v>
                </c:pt>
                <c:pt idx="42">
                  <c:v>295.16872427983537</c:v>
                </c:pt>
                <c:pt idx="43">
                  <c:v>295.57783988163737</c:v>
                </c:pt>
                <c:pt idx="44">
                  <c:v>297.22381930184804</c:v>
                </c:pt>
                <c:pt idx="45">
                  <c:v>299.94202898550725</c:v>
                </c:pt>
                <c:pt idx="46">
                  <c:v>299.94202898550725</c:v>
                </c:pt>
                <c:pt idx="47">
                  <c:v>299.94202898550725</c:v>
                </c:pt>
                <c:pt idx="48">
                  <c:v>302.0167648767532</c:v>
                </c:pt>
                <c:pt idx="49">
                  <c:v>301.33983955007858</c:v>
                </c:pt>
                <c:pt idx="50">
                  <c:v>302.03100389621153</c:v>
                </c:pt>
                <c:pt idx="51">
                  <c:v>304.79572228256325</c:v>
                </c:pt>
                <c:pt idx="52">
                  <c:v>308.22492656315569</c:v>
                </c:pt>
                <c:pt idx="53">
                  <c:v>308.22492656315569</c:v>
                </c:pt>
                <c:pt idx="54">
                  <c:v>308.22492656315569</c:v>
                </c:pt>
                <c:pt idx="55">
                  <c:v>310.37393432936608</c:v>
                </c:pt>
                <c:pt idx="56">
                  <c:v>308.06654902949333</c:v>
                </c:pt>
                <c:pt idx="57">
                  <c:v>307.6536172353089</c:v>
                </c:pt>
                <c:pt idx="58">
                  <c:v>304.53862839979973</c:v>
                </c:pt>
                <c:pt idx="59">
                  <c:v>307.11955157700999</c:v>
                </c:pt>
                <c:pt idx="60">
                  <c:v>307.11955157700999</c:v>
                </c:pt>
                <c:pt idx="61">
                  <c:v>307.11955157700999</c:v>
                </c:pt>
                <c:pt idx="62">
                  <c:v>307.87157347640203</c:v>
                </c:pt>
                <c:pt idx="63">
                  <c:v>308.74569436276573</c:v>
                </c:pt>
                <c:pt idx="64">
                  <c:v>306.08564988730279</c:v>
                </c:pt>
                <c:pt idx="65">
                  <c:v>309.46705832983633</c:v>
                </c:pt>
                <c:pt idx="66">
                  <c:v>308.72815860215053</c:v>
                </c:pt>
                <c:pt idx="67">
                  <c:v>308.72815860215053</c:v>
                </c:pt>
                <c:pt idx="68">
                  <c:v>308.72815860215053</c:v>
                </c:pt>
                <c:pt idx="69">
                  <c:v>306.88846057152432</c:v>
                </c:pt>
                <c:pt idx="70">
                  <c:v>309.08093510000845</c:v>
                </c:pt>
                <c:pt idx="71">
                  <c:v>308.769999153475</c:v>
                </c:pt>
                <c:pt idx="72">
                  <c:v>309.6905814348861</c:v>
                </c:pt>
                <c:pt idx="73">
                  <c:v>307.4529421739868</c:v>
                </c:pt>
                <c:pt idx="74">
                  <c:v>307.4529421739868</c:v>
                </c:pt>
                <c:pt idx="75">
                  <c:v>307.4529421739868</c:v>
                </c:pt>
                <c:pt idx="76">
                  <c:v>308.36379090522735</c:v>
                </c:pt>
                <c:pt idx="77">
                  <c:v>310.18178714688059</c:v>
                </c:pt>
                <c:pt idx="78">
                  <c:v>308.66155157715258</c:v>
                </c:pt>
                <c:pt idx="79">
                  <c:v>306.69949902352045</c:v>
                </c:pt>
                <c:pt idx="80">
                  <c:v>306.76077897780425</c:v>
                </c:pt>
                <c:pt idx="81">
                  <c:v>306.76077897780425</c:v>
                </c:pt>
                <c:pt idx="82">
                  <c:v>306.76077897780425</c:v>
                </c:pt>
                <c:pt idx="83">
                  <c:v>304.98603233725555</c:v>
                </c:pt>
                <c:pt idx="84">
                  <c:v>303.93230043785786</c:v>
                </c:pt>
                <c:pt idx="85">
                  <c:v>302.46039770812263</c:v>
                </c:pt>
                <c:pt idx="86">
                  <c:v>300.88970958536174</c:v>
                </c:pt>
                <c:pt idx="87">
                  <c:v>300.57988066224056</c:v>
                </c:pt>
                <c:pt idx="88">
                  <c:v>300.57988066224056</c:v>
                </c:pt>
                <c:pt idx="89">
                  <c:v>300.57988066224056</c:v>
                </c:pt>
                <c:pt idx="90">
                  <c:v>299.92443959365295</c:v>
                </c:pt>
                <c:pt idx="91">
                  <c:v>300.67793773016405</c:v>
                </c:pt>
                <c:pt idx="92">
                  <c:v>299.12353923205347</c:v>
                </c:pt>
                <c:pt idx="93">
                  <c:v>300.23397676944933</c:v>
                </c:pt>
                <c:pt idx="94">
                  <c:v>301.60226988233336</c:v>
                </c:pt>
                <c:pt idx="95">
                  <c:v>301.60226988233336</c:v>
                </c:pt>
                <c:pt idx="96">
                  <c:v>301.60226988233336</c:v>
                </c:pt>
                <c:pt idx="97">
                  <c:v>300.03323087147959</c:v>
                </c:pt>
                <c:pt idx="98">
                  <c:v>300.18278497839816</c:v>
                </c:pt>
                <c:pt idx="99">
                  <c:v>301.0968009970918</c:v>
                </c:pt>
                <c:pt idx="100">
                  <c:v>302.91302538493551</c:v>
                </c:pt>
                <c:pt idx="101">
                  <c:v>300.33892700669588</c:v>
                </c:pt>
                <c:pt idx="102">
                  <c:v>300.33892700669588</c:v>
                </c:pt>
                <c:pt idx="103">
                  <c:v>300.33892700669588</c:v>
                </c:pt>
                <c:pt idx="104">
                  <c:v>300.80258149925538</c:v>
                </c:pt>
                <c:pt idx="105">
                  <c:v>299.90075262592012</c:v>
                </c:pt>
                <c:pt idx="106">
                  <c:v>298.41662543295399</c:v>
                </c:pt>
                <c:pt idx="107">
                  <c:v>297.26095206666116</c:v>
                </c:pt>
                <c:pt idx="108">
                  <c:v>299.56738768718805</c:v>
                </c:pt>
                <c:pt idx="109">
                  <c:v>299.56738768718805</c:v>
                </c:pt>
                <c:pt idx="110">
                  <c:v>299.56738768718805</c:v>
                </c:pt>
                <c:pt idx="111">
                  <c:v>297.98574270557032</c:v>
                </c:pt>
                <c:pt idx="112">
                  <c:v>299.8085566838688</c:v>
                </c:pt>
                <c:pt idx="113">
                  <c:v>298.98375676801334</c:v>
                </c:pt>
                <c:pt idx="114">
                  <c:v>297.06589307915465</c:v>
                </c:pt>
                <c:pt idx="115">
                  <c:v>294.76409666283087</c:v>
                </c:pt>
                <c:pt idx="116">
                  <c:v>294.76409666283087</c:v>
                </c:pt>
                <c:pt idx="117">
                  <c:v>294.76409666283087</c:v>
                </c:pt>
                <c:pt idx="118">
                  <c:v>295.06142303569953</c:v>
                </c:pt>
                <c:pt idx="119">
                  <c:v>295.06091537701678</c:v>
                </c:pt>
                <c:pt idx="120">
                  <c:v>296.17296222664015</c:v>
                </c:pt>
                <c:pt idx="121">
                  <c:v>295.32323483155369</c:v>
                </c:pt>
                <c:pt idx="122">
                  <c:v>292.47178980314635</c:v>
                </c:pt>
                <c:pt idx="123">
                  <c:v>292.47178980314635</c:v>
                </c:pt>
                <c:pt idx="124">
                  <c:v>292.47178980314635</c:v>
                </c:pt>
                <c:pt idx="125">
                  <c:v>289.25279789335087</c:v>
                </c:pt>
                <c:pt idx="126">
                  <c:v>286.94158075601376</c:v>
                </c:pt>
                <c:pt idx="127">
                  <c:v>288.22997946611912</c:v>
                </c:pt>
                <c:pt idx="128">
                  <c:v>285.86032057572783</c:v>
                </c:pt>
                <c:pt idx="129">
                  <c:v>286.05319323592187</c:v>
                </c:pt>
                <c:pt idx="130">
                  <c:v>286.05319323592187</c:v>
                </c:pt>
                <c:pt idx="131">
                  <c:v>286.05319323592187</c:v>
                </c:pt>
                <c:pt idx="132">
                  <c:v>284.20923379174855</c:v>
                </c:pt>
                <c:pt idx="133">
                  <c:v>285.06938775510201</c:v>
                </c:pt>
                <c:pt idx="134">
                  <c:v>286.76181102362204</c:v>
                </c:pt>
                <c:pt idx="135">
                  <c:v>285.43665436654362</c:v>
                </c:pt>
                <c:pt idx="136">
                  <c:v>285.52329396325462</c:v>
                </c:pt>
                <c:pt idx="137">
                  <c:v>285.52329396325462</c:v>
                </c:pt>
                <c:pt idx="138">
                  <c:v>285.52329396325462</c:v>
                </c:pt>
                <c:pt idx="139">
                  <c:v>284.01897440091602</c:v>
                </c:pt>
                <c:pt idx="140">
                  <c:v>283.39474330631293</c:v>
                </c:pt>
                <c:pt idx="141">
                  <c:v>283.59675702235688</c:v>
                </c:pt>
                <c:pt idx="142">
                  <c:v>286.39399686649625</c:v>
                </c:pt>
                <c:pt idx="143">
                  <c:v>284.20317251582151</c:v>
                </c:pt>
                <c:pt idx="144">
                  <c:v>284.20317251582151</c:v>
                </c:pt>
                <c:pt idx="145">
                  <c:v>284.20317251582151</c:v>
                </c:pt>
                <c:pt idx="146">
                  <c:v>284.40525020508613</c:v>
                </c:pt>
                <c:pt idx="147">
                  <c:v>286.35504805717568</c:v>
                </c:pt>
                <c:pt idx="148">
                  <c:v>284.46633825944173</c:v>
                </c:pt>
                <c:pt idx="149">
                  <c:v>284.1248972884141</c:v>
                </c:pt>
                <c:pt idx="150">
                  <c:v>287.57948633247997</c:v>
                </c:pt>
                <c:pt idx="151">
                  <c:v>287.57948633247997</c:v>
                </c:pt>
                <c:pt idx="152">
                  <c:v>287.57948633247997</c:v>
                </c:pt>
                <c:pt idx="153">
                  <c:v>288.91914191419141</c:v>
                </c:pt>
                <c:pt idx="154">
                  <c:v>289.94722084776515</c:v>
                </c:pt>
                <c:pt idx="155">
                  <c:v>293.67236348478531</c:v>
                </c:pt>
                <c:pt idx="156">
                  <c:v>298.74023683547489</c:v>
                </c:pt>
                <c:pt idx="157">
                  <c:v>299.84828051247473</c:v>
                </c:pt>
                <c:pt idx="158">
                  <c:v>299.84828051247473</c:v>
                </c:pt>
                <c:pt idx="159">
                  <c:v>299.84828051247473</c:v>
                </c:pt>
                <c:pt idx="160">
                  <c:v>296.24968537628996</c:v>
                </c:pt>
                <c:pt idx="161">
                  <c:v>293.38358458961477</c:v>
                </c:pt>
                <c:pt idx="162">
                  <c:v>293.87053496562135</c:v>
                </c:pt>
                <c:pt idx="163">
                  <c:v>294.59436808581961</c:v>
                </c:pt>
                <c:pt idx="164">
                  <c:v>294.37788018433179</c:v>
                </c:pt>
                <c:pt idx="165">
                  <c:v>294.37788018433179</c:v>
                </c:pt>
                <c:pt idx="166">
                  <c:v>294.37788018433179</c:v>
                </c:pt>
                <c:pt idx="167">
                  <c:v>293.86163522012583</c:v>
                </c:pt>
                <c:pt idx="168">
                  <c:v>295.93174749936958</c:v>
                </c:pt>
                <c:pt idx="169">
                  <c:v>296.28099173553721</c:v>
                </c:pt>
                <c:pt idx="170">
                  <c:v>296.23628691983123</c:v>
                </c:pt>
                <c:pt idx="171">
                  <c:v>296.51074589127683</c:v>
                </c:pt>
                <c:pt idx="172">
                  <c:v>296.51074589127683</c:v>
                </c:pt>
                <c:pt idx="173">
                  <c:v>296.51074589127683</c:v>
                </c:pt>
                <c:pt idx="174">
                  <c:v>296.45987862441001</c:v>
                </c:pt>
                <c:pt idx="175">
                  <c:v>299.63633288227339</c:v>
                </c:pt>
                <c:pt idx="176">
                  <c:v>302.68871925360475</c:v>
                </c:pt>
                <c:pt idx="177">
                  <c:v>301.92486281131278</c:v>
                </c:pt>
                <c:pt idx="178">
                  <c:v>299.32637251599868</c:v>
                </c:pt>
                <c:pt idx="179">
                  <c:v>299.32637251599868</c:v>
                </c:pt>
                <c:pt idx="180">
                  <c:v>299.32637251599868</c:v>
                </c:pt>
                <c:pt idx="181">
                  <c:v>299.55315740662678</c:v>
                </c:pt>
                <c:pt idx="182">
                  <c:v>303.32880434782606</c:v>
                </c:pt>
                <c:pt idx="183">
                  <c:v>302.74562811523191</c:v>
                </c:pt>
                <c:pt idx="184">
                  <c:v>303.5980358956993</c:v>
                </c:pt>
                <c:pt idx="185">
                  <c:v>304.53159410469249</c:v>
                </c:pt>
                <c:pt idx="186">
                  <c:v>304.53159410469249</c:v>
                </c:pt>
                <c:pt idx="187">
                  <c:v>304.53159410469249</c:v>
                </c:pt>
                <c:pt idx="188">
                  <c:v>304.96610169491527</c:v>
                </c:pt>
                <c:pt idx="189">
                  <c:v>304.97411085646382</c:v>
                </c:pt>
                <c:pt idx="190">
                  <c:v>305.09581142954045</c:v>
                </c:pt>
                <c:pt idx="191">
                  <c:v>303.93339563333615</c:v>
                </c:pt>
                <c:pt idx="192">
                  <c:v>306.10823209582873</c:v>
                </c:pt>
                <c:pt idx="193">
                  <c:v>306.10823209582873</c:v>
                </c:pt>
                <c:pt idx="194">
                  <c:v>306.10823209582873</c:v>
                </c:pt>
                <c:pt idx="195">
                  <c:v>306.21875794289588</c:v>
                </c:pt>
                <c:pt idx="196">
                  <c:v>303.95193365490394</c:v>
                </c:pt>
                <c:pt idx="197">
                  <c:v>304.25495989869137</c:v>
                </c:pt>
                <c:pt idx="198">
                  <c:v>300.84125515268778</c:v>
                </c:pt>
                <c:pt idx="199">
                  <c:v>301.80286436394272</c:v>
                </c:pt>
                <c:pt idx="200">
                  <c:v>301.80286436394272</c:v>
                </c:pt>
                <c:pt idx="201">
                  <c:v>301.80286436394272</c:v>
                </c:pt>
                <c:pt idx="202">
                  <c:v>300.24431339511369</c:v>
                </c:pt>
                <c:pt idx="203">
                  <c:v>299.80613621038435</c:v>
                </c:pt>
                <c:pt idx="204">
                  <c:v>299.56069950156291</c:v>
                </c:pt>
                <c:pt idx="205">
                  <c:v>298.84231874260604</c:v>
                </c:pt>
                <c:pt idx="206">
                  <c:v>300.96922292127192</c:v>
                </c:pt>
                <c:pt idx="207">
                  <c:v>300.96922292127192</c:v>
                </c:pt>
                <c:pt idx="208">
                  <c:v>300.96922292127192</c:v>
                </c:pt>
                <c:pt idx="209">
                  <c:v>300.70716537445685</c:v>
                </c:pt>
                <c:pt idx="210">
                  <c:v>301.80034129692831</c:v>
                </c:pt>
                <c:pt idx="211">
                  <c:v>301.34594088082463</c:v>
                </c:pt>
                <c:pt idx="212">
                  <c:v>300.84398976982095</c:v>
                </c:pt>
                <c:pt idx="213">
                  <c:v>298.78782741374926</c:v>
                </c:pt>
                <c:pt idx="214">
                  <c:v>298.78782741374926</c:v>
                </c:pt>
                <c:pt idx="215">
                  <c:v>298.78782741374926</c:v>
                </c:pt>
                <c:pt idx="216">
                  <c:v>298.52266938359656</c:v>
                </c:pt>
                <c:pt idx="217">
                  <c:v>300.35012809564472</c:v>
                </c:pt>
                <c:pt idx="218">
                  <c:v>299.35957646656988</c:v>
                </c:pt>
                <c:pt idx="219">
                  <c:v>300.60813704496786</c:v>
                </c:pt>
                <c:pt idx="220">
                  <c:v>299.45289793127034</c:v>
                </c:pt>
                <c:pt idx="221">
                  <c:v>299.45289793127034</c:v>
                </c:pt>
                <c:pt idx="222">
                  <c:v>299.45289793127034</c:v>
                </c:pt>
                <c:pt idx="223">
                  <c:v>297.8288633461047</c:v>
                </c:pt>
                <c:pt idx="224">
                  <c:v>296.24021776114324</c:v>
                </c:pt>
                <c:pt idx="225">
                  <c:v>295.98199116547738</c:v>
                </c:pt>
                <c:pt idx="226">
                  <c:v>296.91967324710686</c:v>
                </c:pt>
                <c:pt idx="227">
                  <c:v>296.04917337855022</c:v>
                </c:pt>
                <c:pt idx="228">
                  <c:v>296.04917337855022</c:v>
                </c:pt>
                <c:pt idx="229">
                  <c:v>296.04917337855022</c:v>
                </c:pt>
                <c:pt idx="230">
                  <c:v>295.26998389421038</c:v>
                </c:pt>
                <c:pt idx="231">
                  <c:v>295.57117452790243</c:v>
                </c:pt>
                <c:pt idx="232">
                  <c:v>293.90151195202299</c:v>
                </c:pt>
                <c:pt idx="233">
                  <c:v>293.48210526315791</c:v>
                </c:pt>
                <c:pt idx="234">
                  <c:v>292.59259259259261</c:v>
                </c:pt>
                <c:pt idx="235">
                  <c:v>292.59259259259261</c:v>
                </c:pt>
                <c:pt idx="236">
                  <c:v>292.59259259259261</c:v>
                </c:pt>
                <c:pt idx="237">
                  <c:v>292.77169334456613</c:v>
                </c:pt>
                <c:pt idx="238">
                  <c:v>294.29898648648651</c:v>
                </c:pt>
                <c:pt idx="239">
                  <c:v>296.28469871360863</c:v>
                </c:pt>
                <c:pt idx="240">
                  <c:v>296.54968287526424</c:v>
                </c:pt>
                <c:pt idx="241">
                  <c:v>296.2925342813611</c:v>
                </c:pt>
                <c:pt idx="242">
                  <c:v>296.2925342813611</c:v>
                </c:pt>
                <c:pt idx="243">
                  <c:v>296.2925342813611</c:v>
                </c:pt>
                <c:pt idx="244">
                  <c:v>296.23232579798491</c:v>
                </c:pt>
                <c:pt idx="245">
                  <c:v>296.40769295941715</c:v>
                </c:pt>
                <c:pt idx="246">
                  <c:v>295.29491410679532</c:v>
                </c:pt>
                <c:pt idx="247">
                  <c:v>298.13036457890712</c:v>
                </c:pt>
                <c:pt idx="248">
                  <c:v>301.04904051172707</c:v>
                </c:pt>
                <c:pt idx="249">
                  <c:v>301.04904051172707</c:v>
                </c:pt>
                <c:pt idx="250">
                  <c:v>301.04904051172707</c:v>
                </c:pt>
                <c:pt idx="251">
                  <c:v>301.91028483711409</c:v>
                </c:pt>
                <c:pt idx="252">
                  <c:v>300.73341292853485</c:v>
                </c:pt>
                <c:pt idx="253">
                  <c:v>303.95311029348846</c:v>
                </c:pt>
                <c:pt idx="254">
                  <c:v>303.38188942840105</c:v>
                </c:pt>
                <c:pt idx="255">
                  <c:v>304.48805460750856</c:v>
                </c:pt>
                <c:pt idx="256">
                  <c:v>304.48805460750856</c:v>
                </c:pt>
                <c:pt idx="257">
                  <c:v>304.48805460750856</c:v>
                </c:pt>
                <c:pt idx="258">
                  <c:v>306.12227447627191</c:v>
                </c:pt>
                <c:pt idx="259">
                  <c:v>307.90892750149794</c:v>
                </c:pt>
                <c:pt idx="260">
                  <c:v>310.60527677185723</c:v>
                </c:pt>
                <c:pt idx="261">
                  <c:v>310.36269430051811</c:v>
                </c:pt>
                <c:pt idx="262">
                  <c:v>308.18385650224218</c:v>
                </c:pt>
                <c:pt idx="263">
                  <c:v>308.18385650224218</c:v>
                </c:pt>
                <c:pt idx="264">
                  <c:v>308.18385650224218</c:v>
                </c:pt>
                <c:pt idx="265">
                  <c:v>306.57430513725154</c:v>
                </c:pt>
                <c:pt idx="266">
                  <c:v>308.46697706501124</c:v>
                </c:pt>
                <c:pt idx="267">
                  <c:v>310.55728625822087</c:v>
                </c:pt>
                <c:pt idx="268">
                  <c:v>310.60422437673128</c:v>
                </c:pt>
                <c:pt idx="269">
                  <c:v>311.49623995159476</c:v>
                </c:pt>
                <c:pt idx="270">
                  <c:v>311.49623995159476</c:v>
                </c:pt>
                <c:pt idx="271">
                  <c:v>311.49623995159476</c:v>
                </c:pt>
                <c:pt idx="272">
                  <c:v>310.90720221606648</c:v>
                </c:pt>
                <c:pt idx="273">
                  <c:v>312.56721595836945</c:v>
                </c:pt>
                <c:pt idx="274">
                  <c:v>310.56580990167328</c:v>
                </c:pt>
                <c:pt idx="275">
                  <c:v>309.41622833491419</c:v>
                </c:pt>
                <c:pt idx="276">
                  <c:v>310.36979570726663</c:v>
                </c:pt>
                <c:pt idx="277">
                  <c:v>310.36979570726663</c:v>
                </c:pt>
                <c:pt idx="278">
                  <c:v>310.36979570726663</c:v>
                </c:pt>
                <c:pt idx="279">
                  <c:v>311.52454780361757</c:v>
                </c:pt>
                <c:pt idx="280">
                  <c:v>311.51035846299322</c:v>
                </c:pt>
                <c:pt idx="281">
                  <c:v>310.73727577032014</c:v>
                </c:pt>
                <c:pt idx="282">
                  <c:v>313.37004215779058</c:v>
                </c:pt>
                <c:pt idx="283">
                  <c:v>313.25259812763039</c:v>
                </c:pt>
                <c:pt idx="284">
                  <c:v>313.25259812763039</c:v>
                </c:pt>
                <c:pt idx="285">
                  <c:v>313.25259812763039</c:v>
                </c:pt>
                <c:pt idx="286">
                  <c:v>314.94658855961404</c:v>
                </c:pt>
                <c:pt idx="287">
                  <c:v>314.97930320800276</c:v>
                </c:pt>
                <c:pt idx="288">
                  <c:v>313.09144186848226</c:v>
                </c:pt>
                <c:pt idx="289">
                  <c:v>309.4598065234141</c:v>
                </c:pt>
                <c:pt idx="290">
                  <c:v>311.67156947568787</c:v>
                </c:pt>
                <c:pt idx="291">
                  <c:v>311.67156947568787</c:v>
                </c:pt>
                <c:pt idx="292">
                  <c:v>311.67156947568787</c:v>
                </c:pt>
                <c:pt idx="293">
                  <c:v>310.87368602447009</c:v>
                </c:pt>
                <c:pt idx="294">
                  <c:v>310.29449866136974</c:v>
                </c:pt>
                <c:pt idx="295">
                  <c:v>308.89596968653115</c:v>
                </c:pt>
                <c:pt idx="296">
                  <c:v>311.82274536956896</c:v>
                </c:pt>
                <c:pt idx="297">
                  <c:v>310.31382380911214</c:v>
                </c:pt>
                <c:pt idx="298">
                  <c:v>310.31382380911214</c:v>
                </c:pt>
                <c:pt idx="299">
                  <c:v>310.31382380911214</c:v>
                </c:pt>
                <c:pt idx="300">
                  <c:v>311.7027703460775</c:v>
                </c:pt>
                <c:pt idx="301">
                  <c:v>311.10152678340381</c:v>
                </c:pt>
                <c:pt idx="302">
                  <c:v>316.74361878212386</c:v>
                </c:pt>
                <c:pt idx="303">
                  <c:v>319.06383721945684</c:v>
                </c:pt>
                <c:pt idx="304">
                  <c:v>320.42813455657495</c:v>
                </c:pt>
                <c:pt idx="305">
                  <c:v>320.42813455657495</c:v>
                </c:pt>
                <c:pt idx="306">
                  <c:v>320.42813455657495</c:v>
                </c:pt>
                <c:pt idx="307">
                  <c:v>321.86840253342712</c:v>
                </c:pt>
                <c:pt idx="308">
                  <c:v>322.50883392226149</c:v>
                </c:pt>
                <c:pt idx="309">
                  <c:v>321.9454015372383</c:v>
                </c:pt>
                <c:pt idx="310">
                  <c:v>319.83114941517897</c:v>
                </c:pt>
                <c:pt idx="311">
                  <c:v>325.33215234720996</c:v>
                </c:pt>
                <c:pt idx="312">
                  <c:v>325.33215234720996</c:v>
                </c:pt>
                <c:pt idx="313">
                  <c:v>325.33215234720996</c:v>
                </c:pt>
                <c:pt idx="314">
                  <c:v>329.44736139539026</c:v>
                </c:pt>
                <c:pt idx="315">
                  <c:v>328.99182076813656</c:v>
                </c:pt>
                <c:pt idx="316">
                  <c:v>329.11867130993841</c:v>
                </c:pt>
                <c:pt idx="317">
                  <c:v>326.20215897939153</c:v>
                </c:pt>
                <c:pt idx="318">
                  <c:v>326.14650525757713</c:v>
                </c:pt>
                <c:pt idx="319">
                  <c:v>326.14650525757713</c:v>
                </c:pt>
                <c:pt idx="320">
                  <c:v>326.14650525757713</c:v>
                </c:pt>
                <c:pt idx="321">
                  <c:v>325.29448233106018</c:v>
                </c:pt>
                <c:pt idx="322">
                  <c:v>321.79396718998066</c:v>
                </c:pt>
                <c:pt idx="323">
                  <c:v>320.49469964664314</c:v>
                </c:pt>
                <c:pt idx="324">
                  <c:v>322.42279444296963</c:v>
                </c:pt>
                <c:pt idx="325">
                  <c:v>322.07688908528502</c:v>
                </c:pt>
                <c:pt idx="326">
                  <c:v>322.07688908528502</c:v>
                </c:pt>
                <c:pt idx="327">
                  <c:v>322.07688908528502</c:v>
                </c:pt>
                <c:pt idx="328">
                  <c:v>324.23571112095698</c:v>
                </c:pt>
                <c:pt idx="329">
                  <c:v>326.0406496849206</c:v>
                </c:pt>
                <c:pt idx="330">
                  <c:v>321.84607246760112</c:v>
                </c:pt>
                <c:pt idx="331">
                  <c:v>323.51013902417424</c:v>
                </c:pt>
                <c:pt idx="332">
                  <c:v>323.28294881994168</c:v>
                </c:pt>
                <c:pt idx="333">
                  <c:v>323.28294881994168</c:v>
                </c:pt>
                <c:pt idx="334">
                  <c:v>323.28294881994168</c:v>
                </c:pt>
                <c:pt idx="335">
                  <c:v>325.85076214108472</c:v>
                </c:pt>
                <c:pt idx="336">
                  <c:v>326.5920596855849</c:v>
                </c:pt>
                <c:pt idx="337">
                  <c:v>326.85800336610862</c:v>
                </c:pt>
                <c:pt idx="338">
                  <c:v>325.02206531332746</c:v>
                </c:pt>
                <c:pt idx="339">
                  <c:v>326.72597864768682</c:v>
                </c:pt>
                <c:pt idx="340">
                  <c:v>326.72597864768682</c:v>
                </c:pt>
                <c:pt idx="341">
                  <c:v>326.72597864768682</c:v>
                </c:pt>
                <c:pt idx="342">
                  <c:v>326.1902650944233</c:v>
                </c:pt>
                <c:pt idx="343">
                  <c:v>325.61807709348687</c:v>
                </c:pt>
                <c:pt idx="344">
                  <c:v>325.17217022779448</c:v>
                </c:pt>
                <c:pt idx="345">
                  <c:v>326.7149289308731</c:v>
                </c:pt>
                <c:pt idx="346">
                  <c:v>326.20372824454461</c:v>
                </c:pt>
                <c:pt idx="347">
                  <c:v>326.20372824454461</c:v>
                </c:pt>
                <c:pt idx="348">
                  <c:v>326.20372824454461</c:v>
                </c:pt>
                <c:pt idx="349">
                  <c:v>326.45656779661016</c:v>
                </c:pt>
                <c:pt idx="350">
                  <c:v>326.89655172413796</c:v>
                </c:pt>
                <c:pt idx="351">
                  <c:v>326.09040444091988</c:v>
                </c:pt>
                <c:pt idx="352">
                  <c:v>325.60706401766004</c:v>
                </c:pt>
                <c:pt idx="353">
                  <c:v>324.7229551451187</c:v>
                </c:pt>
                <c:pt idx="354">
                  <c:v>324.7229551451187</c:v>
                </c:pt>
                <c:pt idx="355">
                  <c:v>324.7229551451187</c:v>
                </c:pt>
                <c:pt idx="356">
                  <c:v>324.53748782862709</c:v>
                </c:pt>
                <c:pt idx="357">
                  <c:v>321.3431381235049</c:v>
                </c:pt>
                <c:pt idx="358">
                  <c:v>320.3906664309705</c:v>
                </c:pt>
                <c:pt idx="359">
                  <c:v>318.85456315836063</c:v>
                </c:pt>
                <c:pt idx="360">
                  <c:v>315.86267605633805</c:v>
                </c:pt>
                <c:pt idx="361">
                  <c:v>315.86267605633805</c:v>
                </c:pt>
                <c:pt idx="362">
                  <c:v>315.86267605633805</c:v>
                </c:pt>
                <c:pt idx="363">
                  <c:v>316.60780505032665</c:v>
                </c:pt>
                <c:pt idx="364">
                  <c:v>313.91748042579394</c:v>
                </c:pt>
                <c:pt idx="365">
                  <c:v>308.6086348540465</c:v>
                </c:pt>
                <c:pt idx="366">
                  <c:v>309.74247053688345</c:v>
                </c:pt>
              </c:numCache>
            </c:numRef>
          </c:val>
          <c:smooth val="0"/>
          <c:extLst>
            <c:ext xmlns:c16="http://schemas.microsoft.com/office/drawing/2014/chart" uri="{C3380CC4-5D6E-409C-BE32-E72D297353CC}">
              <c16:uniqueId val="{00000000-5705-4E6A-9E9E-A2ED6F20D4B1}"/>
            </c:ext>
          </c:extLst>
        </c:ser>
        <c:ser>
          <c:idx val="1"/>
          <c:order val="1"/>
          <c:tx>
            <c:strRef>
              <c:f>Állandó_ábrák!$B$17</c:f>
              <c:strCache>
                <c:ptCount val="1"/>
                <c:pt idx="0">
                  <c:v>200-napos m.átl.</c:v>
                </c:pt>
              </c:strCache>
            </c:strRef>
          </c:tx>
          <c:spPr>
            <a:ln w="25400">
              <a:solidFill>
                <a:srgbClr val="50B4E1"/>
              </a:solidFill>
              <a:prstDash val="solid"/>
            </a:ln>
          </c:spPr>
          <c:marker>
            <c:symbol val="none"/>
          </c:marker>
          <c:cat>
            <c:numRef>
              <c:f>Állandó_ábrák!$AA$37:$AA$403</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Állandó_ábrák!$AL$37:$AL$403</c:f>
              <c:numCache>
                <c:formatCode>General</c:formatCode>
                <c:ptCount val="367"/>
                <c:pt idx="0">
                  <c:v>306.38316225308375</c:v>
                </c:pt>
                <c:pt idx="1">
                  <c:v>306.23329597379086</c:v>
                </c:pt>
                <c:pt idx="2">
                  <c:v>306.10081861266696</c:v>
                </c:pt>
                <c:pt idx="3">
                  <c:v>305.96847816725517</c:v>
                </c:pt>
                <c:pt idx="4">
                  <c:v>305.96847816725517</c:v>
                </c:pt>
                <c:pt idx="5">
                  <c:v>305.96847816725517</c:v>
                </c:pt>
                <c:pt idx="6">
                  <c:v>305.83627442541109</c:v>
                </c:pt>
                <c:pt idx="7">
                  <c:v>305.704207175428</c:v>
                </c:pt>
                <c:pt idx="8">
                  <c:v>305.57227620603663</c:v>
                </c:pt>
                <c:pt idx="9">
                  <c:v>305.44048130640311</c:v>
                </c:pt>
                <c:pt idx="10">
                  <c:v>305.27400790242228</c:v>
                </c:pt>
                <c:pt idx="11">
                  <c:v>305.27400790242228</c:v>
                </c:pt>
                <c:pt idx="12">
                  <c:v>305.27400790242228</c:v>
                </c:pt>
                <c:pt idx="13">
                  <c:v>305.13392857142856</c:v>
                </c:pt>
                <c:pt idx="14">
                  <c:v>304.97640497640498</c:v>
                </c:pt>
                <c:pt idx="15">
                  <c:v>304.8366349369694</c:v>
                </c:pt>
                <c:pt idx="16">
                  <c:v>304.66232430579362</c:v>
                </c:pt>
                <c:pt idx="17">
                  <c:v>304.50573924961452</c:v>
                </c:pt>
                <c:pt idx="18">
                  <c:v>304.50573924961452</c:v>
                </c:pt>
                <c:pt idx="19">
                  <c:v>304.50573924961452</c:v>
                </c:pt>
                <c:pt idx="20">
                  <c:v>304.34931506849318</c:v>
                </c:pt>
                <c:pt idx="21">
                  <c:v>304.15846667237099</c:v>
                </c:pt>
                <c:pt idx="22">
                  <c:v>304.03694834074582</c:v>
                </c:pt>
                <c:pt idx="23">
                  <c:v>303.91553389758059</c:v>
                </c:pt>
                <c:pt idx="24">
                  <c:v>303.77680936512007</c:v>
                </c:pt>
                <c:pt idx="25">
                  <c:v>303.77680936512007</c:v>
                </c:pt>
                <c:pt idx="26">
                  <c:v>303.77680936512007</c:v>
                </c:pt>
                <c:pt idx="27">
                  <c:v>303.66416125725993</c:v>
                </c:pt>
                <c:pt idx="28">
                  <c:v>303.51685872812635</c:v>
                </c:pt>
                <c:pt idx="29">
                  <c:v>303.38708301339483</c:v>
                </c:pt>
                <c:pt idx="30">
                  <c:v>303.24010914051837</c:v>
                </c:pt>
                <c:pt idx="31">
                  <c:v>303.11914095790013</c:v>
                </c:pt>
                <c:pt idx="32">
                  <c:v>303.11914095790013</c:v>
                </c:pt>
                <c:pt idx="33">
                  <c:v>303.11914095790013</c:v>
                </c:pt>
                <c:pt idx="34">
                  <c:v>302.9724895664765</c:v>
                </c:pt>
                <c:pt idx="35">
                  <c:v>302.85179194688004</c:v>
                </c:pt>
                <c:pt idx="36">
                  <c:v>302.71420062962648</c:v>
                </c:pt>
                <c:pt idx="37">
                  <c:v>302.55102040816331</c:v>
                </c:pt>
                <c:pt idx="38">
                  <c:v>302.41373448920615</c:v>
                </c:pt>
                <c:pt idx="39">
                  <c:v>302.41373448920615</c:v>
                </c:pt>
                <c:pt idx="40">
                  <c:v>302.41373448920615</c:v>
                </c:pt>
                <c:pt idx="41">
                  <c:v>302.285083248386</c:v>
                </c:pt>
                <c:pt idx="42">
                  <c:v>302.14789031326939</c:v>
                </c:pt>
                <c:pt idx="43">
                  <c:v>302.02800169707251</c:v>
                </c:pt>
                <c:pt idx="44">
                  <c:v>301.93367822915781</c:v>
                </c:pt>
                <c:pt idx="45">
                  <c:v>301.83097397643468</c:v>
                </c:pt>
                <c:pt idx="46">
                  <c:v>301.83097397643468</c:v>
                </c:pt>
                <c:pt idx="47">
                  <c:v>301.83097397643468</c:v>
                </c:pt>
                <c:pt idx="48">
                  <c:v>301.76241315031353</c:v>
                </c:pt>
                <c:pt idx="49">
                  <c:v>301.67682926829269</c:v>
                </c:pt>
                <c:pt idx="50">
                  <c:v>301.61686277829511</c:v>
                </c:pt>
                <c:pt idx="51">
                  <c:v>301.5569470299543</c:v>
                </c:pt>
                <c:pt idx="52">
                  <c:v>301.5395026222298</c:v>
                </c:pt>
                <c:pt idx="53">
                  <c:v>301.5395026222298</c:v>
                </c:pt>
                <c:pt idx="54">
                  <c:v>301.5395026222298</c:v>
                </c:pt>
                <c:pt idx="55">
                  <c:v>301.55602536997878</c:v>
                </c:pt>
                <c:pt idx="56">
                  <c:v>301.5470453969059</c:v>
                </c:pt>
                <c:pt idx="57">
                  <c:v>301.5635564570656</c:v>
                </c:pt>
                <c:pt idx="58">
                  <c:v>301.54613044947621</c:v>
                </c:pt>
                <c:pt idx="59">
                  <c:v>301.57107863839849</c:v>
                </c:pt>
                <c:pt idx="60">
                  <c:v>301.57107863839849</c:v>
                </c:pt>
                <c:pt idx="61">
                  <c:v>301.57107863839849</c:v>
                </c:pt>
                <c:pt idx="62">
                  <c:v>301.58756966728595</c:v>
                </c:pt>
                <c:pt idx="63">
                  <c:v>301.61249472351199</c:v>
                </c:pt>
                <c:pt idx="64">
                  <c:v>301.63740715732609</c:v>
                </c:pt>
                <c:pt idx="65">
                  <c:v>301.65386887182518</c:v>
                </c:pt>
                <c:pt idx="66">
                  <c:v>301.67032225409145</c:v>
                </c:pt>
                <c:pt idx="67">
                  <c:v>301.67032225409145</c:v>
                </c:pt>
                <c:pt idx="68">
                  <c:v>301.67032225409145</c:v>
                </c:pt>
                <c:pt idx="69">
                  <c:v>301.66989963734505</c:v>
                </c:pt>
                <c:pt idx="70">
                  <c:v>301.68634064080948</c:v>
                </c:pt>
                <c:pt idx="71">
                  <c:v>301.69434375790274</c:v>
                </c:pt>
                <c:pt idx="72">
                  <c:v>301.69391538850493</c:v>
                </c:pt>
                <c:pt idx="73">
                  <c:v>301.68506192602575</c:v>
                </c:pt>
                <c:pt idx="74">
                  <c:v>301.68506192602575</c:v>
                </c:pt>
                <c:pt idx="75">
                  <c:v>301.68506192602575</c:v>
                </c:pt>
                <c:pt idx="76">
                  <c:v>301.70162581079938</c:v>
                </c:pt>
                <c:pt idx="77">
                  <c:v>301.70976164406636</c:v>
                </c:pt>
                <c:pt idx="78">
                  <c:v>301.67564836645334</c:v>
                </c:pt>
                <c:pt idx="79">
                  <c:v>301.63313410219718</c:v>
                </c:pt>
                <c:pt idx="80">
                  <c:v>301.6076087871391</c:v>
                </c:pt>
                <c:pt idx="81">
                  <c:v>301.6076087871391</c:v>
                </c:pt>
                <c:pt idx="82">
                  <c:v>301.6076087871391</c:v>
                </c:pt>
                <c:pt idx="83">
                  <c:v>301.54830023561095</c:v>
                </c:pt>
                <c:pt idx="84">
                  <c:v>301.49743417178428</c:v>
                </c:pt>
                <c:pt idx="85">
                  <c:v>301.42124295685812</c:v>
                </c:pt>
                <c:pt idx="86">
                  <c:v>301.37043887674457</c:v>
                </c:pt>
                <c:pt idx="87">
                  <c:v>301.31966041859295</c:v>
                </c:pt>
                <c:pt idx="88">
                  <c:v>301.31966041859295</c:v>
                </c:pt>
                <c:pt idx="89">
                  <c:v>301.31966041859295</c:v>
                </c:pt>
                <c:pt idx="90">
                  <c:v>301.2605042016807</c:v>
                </c:pt>
                <c:pt idx="91">
                  <c:v>301.18447580645159</c:v>
                </c:pt>
                <c:pt idx="92">
                  <c:v>301.12538842697569</c:v>
                </c:pt>
                <c:pt idx="93">
                  <c:v>301.07472712006717</c:v>
                </c:pt>
                <c:pt idx="94">
                  <c:v>301.00721839852275</c:v>
                </c:pt>
                <c:pt idx="95">
                  <c:v>301.00721839852275</c:v>
                </c:pt>
                <c:pt idx="96">
                  <c:v>301.00721839852275</c:v>
                </c:pt>
                <c:pt idx="97">
                  <c:v>300.94822522446924</c:v>
                </c:pt>
                <c:pt idx="98">
                  <c:v>300.89765100671144</c:v>
                </c:pt>
                <c:pt idx="99">
                  <c:v>300.86387654113901</c:v>
                </c:pt>
                <c:pt idx="100">
                  <c:v>300.80489645342499</c:v>
                </c:pt>
                <c:pt idx="101">
                  <c:v>300.77116512992455</c:v>
                </c:pt>
                <c:pt idx="102">
                  <c:v>300.77116512992455</c:v>
                </c:pt>
                <c:pt idx="103">
                  <c:v>300.77116512992455</c:v>
                </c:pt>
                <c:pt idx="104">
                  <c:v>300.74583088913096</c:v>
                </c:pt>
                <c:pt idx="105">
                  <c:v>300.72050938337804</c:v>
                </c:pt>
                <c:pt idx="106">
                  <c:v>300.7035765139459</c:v>
                </c:pt>
                <c:pt idx="107">
                  <c:v>300.70345867180305</c:v>
                </c:pt>
                <c:pt idx="108">
                  <c:v>300.72008708029807</c:v>
                </c:pt>
                <c:pt idx="109">
                  <c:v>300.72008708029807</c:v>
                </c:pt>
                <c:pt idx="110">
                  <c:v>300.72008708029807</c:v>
                </c:pt>
                <c:pt idx="111">
                  <c:v>300.71996651318545</c:v>
                </c:pt>
                <c:pt idx="112">
                  <c:v>300.75339025615261</c:v>
                </c:pt>
                <c:pt idx="113">
                  <c:v>300.78680840378337</c:v>
                </c:pt>
                <c:pt idx="114">
                  <c:v>300.81185135587543</c:v>
                </c:pt>
                <c:pt idx="115">
                  <c:v>300.82845188284517</c:v>
                </c:pt>
                <c:pt idx="116">
                  <c:v>300.82845188284517</c:v>
                </c:pt>
                <c:pt idx="117">
                  <c:v>300.82845188284517</c:v>
                </c:pt>
                <c:pt idx="118">
                  <c:v>300.82831325301203</c:v>
                </c:pt>
                <c:pt idx="119">
                  <c:v>300.82817466956669</c:v>
                </c:pt>
                <c:pt idx="120">
                  <c:v>300.86156419907991</c:v>
                </c:pt>
                <c:pt idx="121">
                  <c:v>300.87822014051523</c:v>
                </c:pt>
                <c:pt idx="122">
                  <c:v>300.86971065395551</c:v>
                </c:pt>
                <c:pt idx="123">
                  <c:v>300.86971065395551</c:v>
                </c:pt>
                <c:pt idx="124">
                  <c:v>300.86971065395551</c:v>
                </c:pt>
                <c:pt idx="125">
                  <c:v>300.84448160535118</c:v>
                </c:pt>
                <c:pt idx="126">
                  <c:v>300.81926099314495</c:v>
                </c:pt>
                <c:pt idx="127">
                  <c:v>300.79404881310603</c:v>
                </c:pt>
                <c:pt idx="128">
                  <c:v>300.76048804947345</c:v>
                </c:pt>
                <c:pt idx="129">
                  <c:v>300.71858288770051</c:v>
                </c:pt>
                <c:pt idx="130">
                  <c:v>300.71858288770051</c:v>
                </c:pt>
                <c:pt idx="131">
                  <c:v>300.71858288770051</c:v>
                </c:pt>
                <c:pt idx="132">
                  <c:v>300.65998329156218</c:v>
                </c:pt>
                <c:pt idx="133">
                  <c:v>300.634867596692</c:v>
                </c:pt>
                <c:pt idx="134">
                  <c:v>300.59300091873376</c:v>
                </c:pt>
                <c:pt idx="135">
                  <c:v>300.54279749478076</c:v>
                </c:pt>
                <c:pt idx="136">
                  <c:v>300.4759121649829</c:v>
                </c:pt>
                <c:pt idx="137">
                  <c:v>300.4759121649829</c:v>
                </c:pt>
                <c:pt idx="138">
                  <c:v>300.4759121649829</c:v>
                </c:pt>
                <c:pt idx="139">
                  <c:v>300.40904916937978</c:v>
                </c:pt>
                <c:pt idx="140">
                  <c:v>300.32551539938237</c:v>
                </c:pt>
                <c:pt idx="141">
                  <c:v>300.2420095134774</c:v>
                </c:pt>
                <c:pt idx="142">
                  <c:v>300.17523364485987</c:v>
                </c:pt>
                <c:pt idx="143">
                  <c:v>300.11681268251982</c:v>
                </c:pt>
                <c:pt idx="144">
                  <c:v>300.11681268251982</c:v>
                </c:pt>
                <c:pt idx="145">
                  <c:v>300.11681268251982</c:v>
                </c:pt>
                <c:pt idx="146">
                  <c:v>300.0333694836072</c:v>
                </c:pt>
                <c:pt idx="147">
                  <c:v>299.97497497497494</c:v>
                </c:pt>
                <c:pt idx="148">
                  <c:v>299.87489574645537</c:v>
                </c:pt>
                <c:pt idx="149">
                  <c:v>299.79984988741558</c:v>
                </c:pt>
                <c:pt idx="150">
                  <c:v>299.69982489785707</c:v>
                </c:pt>
                <c:pt idx="151">
                  <c:v>299.69982489785707</c:v>
                </c:pt>
                <c:pt idx="152">
                  <c:v>299.69982489785707</c:v>
                </c:pt>
                <c:pt idx="153">
                  <c:v>299.63314990828746</c:v>
                </c:pt>
                <c:pt idx="154">
                  <c:v>299.5581860620207</c:v>
                </c:pt>
                <c:pt idx="155">
                  <c:v>299.51654580311742</c:v>
                </c:pt>
                <c:pt idx="156">
                  <c:v>299.50821038592983</c:v>
                </c:pt>
                <c:pt idx="157">
                  <c:v>299.49987496874218</c:v>
                </c:pt>
                <c:pt idx="158">
                  <c:v>299.49987496874218</c:v>
                </c:pt>
                <c:pt idx="159">
                  <c:v>299.49987496874218</c:v>
                </c:pt>
                <c:pt idx="160">
                  <c:v>299.45824304050677</c:v>
                </c:pt>
                <c:pt idx="161">
                  <c:v>299.42490415069176</c:v>
                </c:pt>
                <c:pt idx="162">
                  <c:v>299.36661388449039</c:v>
                </c:pt>
                <c:pt idx="163">
                  <c:v>299.32494374531211</c:v>
                </c:pt>
                <c:pt idx="164">
                  <c:v>299.29160763396953</c:v>
                </c:pt>
                <c:pt idx="165">
                  <c:v>299.29160763396953</c:v>
                </c:pt>
                <c:pt idx="166">
                  <c:v>299.29160763396953</c:v>
                </c:pt>
                <c:pt idx="167">
                  <c:v>299.2166666666667</c:v>
                </c:pt>
                <c:pt idx="168">
                  <c:v>299.14173818848428</c:v>
                </c:pt>
                <c:pt idx="169">
                  <c:v>299.05849025162473</c:v>
                </c:pt>
                <c:pt idx="170">
                  <c:v>298.98358743647424</c:v>
                </c:pt>
                <c:pt idx="171">
                  <c:v>298.90869710096638</c:v>
                </c:pt>
                <c:pt idx="172">
                  <c:v>298.90869710096638</c:v>
                </c:pt>
                <c:pt idx="173">
                  <c:v>298.90869710096638</c:v>
                </c:pt>
                <c:pt idx="174">
                  <c:v>298.82548937942528</c:v>
                </c:pt>
                <c:pt idx="175">
                  <c:v>298.75895385640513</c:v>
                </c:pt>
                <c:pt idx="176">
                  <c:v>298.7256371814093</c:v>
                </c:pt>
                <c:pt idx="177">
                  <c:v>298.7256371814093</c:v>
                </c:pt>
                <c:pt idx="178">
                  <c:v>298.68410094111766</c:v>
                </c:pt>
                <c:pt idx="179">
                  <c:v>298.68410094111766</c:v>
                </c:pt>
                <c:pt idx="180">
                  <c:v>298.68410094111766</c:v>
                </c:pt>
                <c:pt idx="181">
                  <c:v>298.64257161892073</c:v>
                </c:pt>
                <c:pt idx="182">
                  <c:v>298.62591605596265</c:v>
                </c:pt>
                <c:pt idx="183">
                  <c:v>298.61758827448364</c:v>
                </c:pt>
                <c:pt idx="184">
                  <c:v>298.60104921309016</c:v>
                </c:pt>
                <c:pt idx="185">
                  <c:v>298.64257161892073</c:v>
                </c:pt>
                <c:pt idx="186">
                  <c:v>298.64257161892073</c:v>
                </c:pt>
                <c:pt idx="187">
                  <c:v>298.64257161892073</c:v>
                </c:pt>
                <c:pt idx="188">
                  <c:v>298.65089940039974</c:v>
                </c:pt>
                <c:pt idx="189">
                  <c:v>298.60937630110749</c:v>
                </c:pt>
                <c:pt idx="190">
                  <c:v>298.60104921309016</c:v>
                </c:pt>
                <c:pt idx="191">
                  <c:v>298.56774086102087</c:v>
                </c:pt>
                <c:pt idx="192">
                  <c:v>298.55108668498622</c:v>
                </c:pt>
                <c:pt idx="193">
                  <c:v>298.55108668498622</c:v>
                </c:pt>
                <c:pt idx="194">
                  <c:v>298.55108668498622</c:v>
                </c:pt>
                <c:pt idx="195">
                  <c:v>298.50957535387175</c:v>
                </c:pt>
                <c:pt idx="196">
                  <c:v>298.51777833291698</c:v>
                </c:pt>
                <c:pt idx="197">
                  <c:v>298.50945124489965</c:v>
                </c:pt>
                <c:pt idx="198">
                  <c:v>298.45129059117403</c:v>
                </c:pt>
                <c:pt idx="199">
                  <c:v>298.42631140716071</c:v>
                </c:pt>
                <c:pt idx="200">
                  <c:v>298.42631140716071</c:v>
                </c:pt>
                <c:pt idx="201">
                  <c:v>298.42631140716071</c:v>
                </c:pt>
                <c:pt idx="202">
                  <c:v>298.38467943380516</c:v>
                </c:pt>
                <c:pt idx="203">
                  <c:v>298.3513738551207</c:v>
                </c:pt>
                <c:pt idx="204">
                  <c:v>298.26825410040794</c:v>
                </c:pt>
                <c:pt idx="205">
                  <c:v>298.18514818514819</c:v>
                </c:pt>
                <c:pt idx="206">
                  <c:v>298.12687312687314</c:v>
                </c:pt>
                <c:pt idx="207">
                  <c:v>298.12687312687314</c:v>
                </c:pt>
                <c:pt idx="208">
                  <c:v>298.12687312687314</c:v>
                </c:pt>
                <c:pt idx="209">
                  <c:v>298.0521102139349</c:v>
                </c:pt>
                <c:pt idx="210">
                  <c:v>298.01048863730955</c:v>
                </c:pt>
                <c:pt idx="211">
                  <c:v>297.96886706068426</c:v>
                </c:pt>
                <c:pt idx="212">
                  <c:v>297.968697968698</c:v>
                </c:pt>
                <c:pt idx="213">
                  <c:v>297.94372294372295</c:v>
                </c:pt>
                <c:pt idx="214">
                  <c:v>297.94372294372295</c:v>
                </c:pt>
                <c:pt idx="215">
                  <c:v>297.94372294372295</c:v>
                </c:pt>
                <c:pt idx="216">
                  <c:v>297.9187479187479</c:v>
                </c:pt>
                <c:pt idx="217">
                  <c:v>297.9269003413537</c:v>
                </c:pt>
                <c:pt idx="218">
                  <c:v>297.90192323703269</c:v>
                </c:pt>
                <c:pt idx="219">
                  <c:v>297.91007493755205</c:v>
                </c:pt>
                <c:pt idx="220">
                  <c:v>297.88509575353868</c:v>
                </c:pt>
                <c:pt idx="221">
                  <c:v>297.88509575353868</c:v>
                </c:pt>
                <c:pt idx="222">
                  <c:v>297.88509575353868</c:v>
                </c:pt>
                <c:pt idx="223">
                  <c:v>297.86826546756595</c:v>
                </c:pt>
                <c:pt idx="224">
                  <c:v>297.80997585144473</c:v>
                </c:pt>
                <c:pt idx="225">
                  <c:v>297.78481012658222</c:v>
                </c:pt>
                <c:pt idx="226">
                  <c:v>297.74317121918716</c:v>
                </c:pt>
                <c:pt idx="227">
                  <c:v>297.71799783459647</c:v>
                </c:pt>
                <c:pt idx="228">
                  <c:v>297.71799783459647</c:v>
                </c:pt>
                <c:pt idx="229">
                  <c:v>297.71799783459647</c:v>
                </c:pt>
                <c:pt idx="230">
                  <c:v>297.6680269842592</c:v>
                </c:pt>
                <c:pt idx="231">
                  <c:v>297.62638460897807</c:v>
                </c:pt>
                <c:pt idx="232">
                  <c:v>297.59287023155093</c:v>
                </c:pt>
                <c:pt idx="233">
                  <c:v>297.54289521905719</c:v>
                </c:pt>
                <c:pt idx="234">
                  <c:v>297.48459103781448</c:v>
                </c:pt>
                <c:pt idx="235">
                  <c:v>297.48459103781448</c:v>
                </c:pt>
                <c:pt idx="236">
                  <c:v>297.48459103781448</c:v>
                </c:pt>
                <c:pt idx="237">
                  <c:v>297.45939192003334</c:v>
                </c:pt>
                <c:pt idx="238">
                  <c:v>297.45084971676113</c:v>
                </c:pt>
                <c:pt idx="239">
                  <c:v>297.44230609014414</c:v>
                </c:pt>
                <c:pt idx="240">
                  <c:v>297.46687776018666</c:v>
                </c:pt>
                <c:pt idx="241">
                  <c:v>297.45</c:v>
                </c:pt>
                <c:pt idx="242">
                  <c:v>297.45</c:v>
                </c:pt>
                <c:pt idx="243">
                  <c:v>297.45</c:v>
                </c:pt>
                <c:pt idx="244">
                  <c:v>297.45790965160859</c:v>
                </c:pt>
                <c:pt idx="245">
                  <c:v>297.44102692339749</c:v>
                </c:pt>
                <c:pt idx="246">
                  <c:v>297.46561067111298</c:v>
                </c:pt>
                <c:pt idx="247">
                  <c:v>297.49854081547568</c:v>
                </c:pt>
                <c:pt idx="248">
                  <c:v>297.53982153281623</c:v>
                </c:pt>
                <c:pt idx="249">
                  <c:v>297.53982153281623</c:v>
                </c:pt>
                <c:pt idx="250">
                  <c:v>297.53982153281623</c:v>
                </c:pt>
                <c:pt idx="251">
                  <c:v>297.589457002252</c:v>
                </c:pt>
                <c:pt idx="252">
                  <c:v>297.63076666388582</c:v>
                </c:pt>
                <c:pt idx="253">
                  <c:v>297.68043387567792</c:v>
                </c:pt>
                <c:pt idx="254">
                  <c:v>297.75496578200637</c:v>
                </c:pt>
                <c:pt idx="255">
                  <c:v>297.82953501961765</c:v>
                </c:pt>
                <c:pt idx="256">
                  <c:v>297.82953501961765</c:v>
                </c:pt>
                <c:pt idx="257">
                  <c:v>297.82953501961765</c:v>
                </c:pt>
                <c:pt idx="258">
                  <c:v>297.86256992569093</c:v>
                </c:pt>
                <c:pt idx="259">
                  <c:v>297.92884583263736</c:v>
                </c:pt>
                <c:pt idx="260">
                  <c:v>297.99515495781475</c:v>
                </c:pt>
                <c:pt idx="261">
                  <c:v>298.06149732620321</c:v>
                </c:pt>
                <c:pt idx="262">
                  <c:v>298.11115754283327</c:v>
                </c:pt>
                <c:pt idx="263">
                  <c:v>298.11115754283327</c:v>
                </c:pt>
                <c:pt idx="264">
                  <c:v>298.11115754283327</c:v>
                </c:pt>
                <c:pt idx="265">
                  <c:v>298.15248286239762</c:v>
                </c:pt>
                <c:pt idx="266">
                  <c:v>298.20219081863036</c:v>
                </c:pt>
                <c:pt idx="267">
                  <c:v>298.27687160184018</c:v>
                </c:pt>
                <c:pt idx="268">
                  <c:v>298.33500669344039</c:v>
                </c:pt>
                <c:pt idx="269">
                  <c:v>298.401539877814</c:v>
                </c:pt>
                <c:pt idx="270">
                  <c:v>298.401539877814</c:v>
                </c:pt>
                <c:pt idx="271">
                  <c:v>298.401539877814</c:v>
                </c:pt>
                <c:pt idx="272">
                  <c:v>298.48472164085393</c:v>
                </c:pt>
                <c:pt idx="273">
                  <c:v>298.59308265639396</c:v>
                </c:pt>
                <c:pt idx="274">
                  <c:v>298.67649522533088</c:v>
                </c:pt>
                <c:pt idx="275">
                  <c:v>298.7682252388135</c:v>
                </c:pt>
                <c:pt idx="276">
                  <c:v>298.84334925823487</c:v>
                </c:pt>
                <c:pt idx="277">
                  <c:v>298.84334925823487</c:v>
                </c:pt>
                <c:pt idx="278">
                  <c:v>298.84334925823487</c:v>
                </c:pt>
                <c:pt idx="279">
                  <c:v>298.90183586218456</c:v>
                </c:pt>
                <c:pt idx="280">
                  <c:v>298.98541002850908</c:v>
                </c:pt>
                <c:pt idx="281">
                  <c:v>299.0690262517823</c:v>
                </c:pt>
                <c:pt idx="282">
                  <c:v>299.16107382550337</c:v>
                </c:pt>
                <c:pt idx="283">
                  <c:v>299.23644906863569</c:v>
                </c:pt>
                <c:pt idx="284">
                  <c:v>299.23644906863569</c:v>
                </c:pt>
                <c:pt idx="285">
                  <c:v>299.23644906863569</c:v>
                </c:pt>
                <c:pt idx="286">
                  <c:v>299.30345753608594</c:v>
                </c:pt>
                <c:pt idx="287">
                  <c:v>299.41240661462268</c:v>
                </c:pt>
                <c:pt idx="288">
                  <c:v>299.48786835698093</c:v>
                </c:pt>
                <c:pt idx="289">
                  <c:v>299.58851192475646</c:v>
                </c:pt>
                <c:pt idx="290">
                  <c:v>299.67240655186896</c:v>
                </c:pt>
                <c:pt idx="291">
                  <c:v>299.67240655186896</c:v>
                </c:pt>
                <c:pt idx="292">
                  <c:v>299.67240655186896</c:v>
                </c:pt>
                <c:pt idx="293">
                  <c:v>299.73116021171131</c:v>
                </c:pt>
                <c:pt idx="294">
                  <c:v>299.80672268907563</c:v>
                </c:pt>
                <c:pt idx="295">
                  <c:v>299.87391779440196</c:v>
                </c:pt>
                <c:pt idx="296">
                  <c:v>299.95796199764584</c:v>
                </c:pt>
                <c:pt idx="297">
                  <c:v>300.01681802892699</c:v>
                </c:pt>
                <c:pt idx="298">
                  <c:v>300.01681802892699</c:v>
                </c:pt>
                <c:pt idx="299">
                  <c:v>300.01681802892699</c:v>
                </c:pt>
                <c:pt idx="300">
                  <c:v>300.10934477247878</c:v>
                </c:pt>
                <c:pt idx="301">
                  <c:v>300.18507613359128</c:v>
                </c:pt>
                <c:pt idx="302">
                  <c:v>300.29451363177384</c:v>
                </c:pt>
                <c:pt idx="303">
                  <c:v>300.38714021208551</c:v>
                </c:pt>
                <c:pt idx="304">
                  <c:v>300.50509302129814</c:v>
                </c:pt>
                <c:pt idx="305">
                  <c:v>300.50509302129814</c:v>
                </c:pt>
                <c:pt idx="306">
                  <c:v>300.50509302129814</c:v>
                </c:pt>
                <c:pt idx="307">
                  <c:v>300.64</c:v>
                </c:pt>
                <c:pt idx="308">
                  <c:v>300.76657400387501</c:v>
                </c:pt>
                <c:pt idx="309">
                  <c:v>300.90166006572844</c:v>
                </c:pt>
                <c:pt idx="310">
                  <c:v>301.02840765405045</c:v>
                </c:pt>
                <c:pt idx="311">
                  <c:v>301.1636731596256</c:v>
                </c:pt>
                <c:pt idx="312">
                  <c:v>301.1636731596256</c:v>
                </c:pt>
                <c:pt idx="313">
                  <c:v>301.1636731596256</c:v>
                </c:pt>
                <c:pt idx="314">
                  <c:v>301.32433572332354</c:v>
                </c:pt>
                <c:pt idx="315">
                  <c:v>301.4936708860759</c:v>
                </c:pt>
                <c:pt idx="316">
                  <c:v>301.63768360628058</c:v>
                </c:pt>
                <c:pt idx="317">
                  <c:v>301.77334909643645</c:v>
                </c:pt>
                <c:pt idx="318">
                  <c:v>301.91755364081774</c:v>
                </c:pt>
                <c:pt idx="319">
                  <c:v>301.91755364081774</c:v>
                </c:pt>
                <c:pt idx="320">
                  <c:v>301.91755364081774</c:v>
                </c:pt>
                <c:pt idx="321">
                  <c:v>302.05340544194689</c:v>
                </c:pt>
                <c:pt idx="322">
                  <c:v>302.20644179558712</c:v>
                </c:pt>
                <c:pt idx="323">
                  <c:v>302.32558139534882</c:v>
                </c:pt>
                <c:pt idx="324">
                  <c:v>302.43634210303696</c:v>
                </c:pt>
                <c:pt idx="325">
                  <c:v>302.54717779470252</c:v>
                </c:pt>
                <c:pt idx="326">
                  <c:v>302.54717779470252</c:v>
                </c:pt>
                <c:pt idx="327">
                  <c:v>302.54717779470252</c:v>
                </c:pt>
                <c:pt idx="328">
                  <c:v>302.65808854651652</c:v>
                </c:pt>
                <c:pt idx="329">
                  <c:v>302.77754255229064</c:v>
                </c:pt>
                <c:pt idx="330">
                  <c:v>302.85448077248856</c:v>
                </c:pt>
                <c:pt idx="331">
                  <c:v>302.9571259108626</c:v>
                </c:pt>
                <c:pt idx="332">
                  <c:v>303.03415543690147</c:v>
                </c:pt>
                <c:pt idx="333">
                  <c:v>303.03415543690147</c:v>
                </c:pt>
                <c:pt idx="334">
                  <c:v>303.03415543690147</c:v>
                </c:pt>
                <c:pt idx="335">
                  <c:v>303.11122414377758</c:v>
                </c:pt>
                <c:pt idx="336">
                  <c:v>303.18833206139237</c:v>
                </c:pt>
                <c:pt idx="337">
                  <c:v>303.27396098388465</c:v>
                </c:pt>
                <c:pt idx="338">
                  <c:v>303.36811741749381</c:v>
                </c:pt>
                <c:pt idx="339">
                  <c:v>303.47110243571245</c:v>
                </c:pt>
                <c:pt idx="340">
                  <c:v>303.47110243571245</c:v>
                </c:pt>
                <c:pt idx="341">
                  <c:v>303.47110243571245</c:v>
                </c:pt>
                <c:pt idx="342">
                  <c:v>303.54838709677421</c:v>
                </c:pt>
                <c:pt idx="343">
                  <c:v>303.62571113186721</c:v>
                </c:pt>
                <c:pt idx="344">
                  <c:v>303.73736515756389</c:v>
                </c:pt>
                <c:pt idx="345">
                  <c:v>303.79746835443041</c:v>
                </c:pt>
                <c:pt idx="346">
                  <c:v>303.87491502379333</c:v>
                </c:pt>
                <c:pt idx="347">
                  <c:v>303.87491502379333</c:v>
                </c:pt>
                <c:pt idx="348">
                  <c:v>303.87491502379333</c:v>
                </c:pt>
                <c:pt idx="349">
                  <c:v>303.96940076498083</c:v>
                </c:pt>
                <c:pt idx="350">
                  <c:v>304.06393470498216</c:v>
                </c:pt>
                <c:pt idx="351">
                  <c:v>304.14115646258506</c:v>
                </c:pt>
                <c:pt idx="352">
                  <c:v>304.23577443225315</c:v>
                </c:pt>
                <c:pt idx="353">
                  <c:v>304.31305827307528</c:v>
                </c:pt>
                <c:pt idx="354">
                  <c:v>304.31305827307528</c:v>
                </c:pt>
                <c:pt idx="355">
                  <c:v>304.31305827307528</c:v>
                </c:pt>
                <c:pt idx="356">
                  <c:v>304.38185995065089</c:v>
                </c:pt>
                <c:pt idx="357">
                  <c:v>304.43366521998126</c:v>
                </c:pt>
                <c:pt idx="358">
                  <c:v>304.48548812664905</c:v>
                </c:pt>
                <c:pt idx="359">
                  <c:v>304.55474203984335</c:v>
                </c:pt>
                <c:pt idx="360">
                  <c:v>304.59809264305176</c:v>
                </c:pt>
                <c:pt idx="361">
                  <c:v>304.59809264305176</c:v>
                </c:pt>
                <c:pt idx="362">
                  <c:v>304.59809264305176</c:v>
                </c:pt>
                <c:pt idx="363">
                  <c:v>304.64997445068985</c:v>
                </c:pt>
                <c:pt idx="364">
                  <c:v>304.71079308288608</c:v>
                </c:pt>
                <c:pt idx="365">
                  <c:v>304.73715600238563</c:v>
                </c:pt>
                <c:pt idx="366">
                  <c:v>304.77204942479761</c:v>
                </c:pt>
              </c:numCache>
            </c:numRef>
          </c:val>
          <c:smooth val="0"/>
          <c:extLst>
            <c:ext xmlns:c16="http://schemas.microsoft.com/office/drawing/2014/chart" uri="{C3380CC4-5D6E-409C-BE32-E72D297353CC}">
              <c16:uniqueId val="{00000001-5705-4E6A-9E9E-A2ED6F20D4B1}"/>
            </c:ext>
          </c:extLst>
        </c:ser>
        <c:dLbls>
          <c:showLegendKey val="0"/>
          <c:showVal val="0"/>
          <c:showCatName val="0"/>
          <c:showSerName val="0"/>
          <c:showPercent val="0"/>
          <c:showBubbleSize val="0"/>
        </c:dLbls>
        <c:smooth val="0"/>
        <c:axId val="115149824"/>
        <c:axId val="115172096"/>
      </c:lineChart>
      <c:dateAx>
        <c:axId val="115149824"/>
        <c:scaling>
          <c:orientation val="minMax"/>
        </c:scaling>
        <c:delete val="0"/>
        <c:axPos val="b"/>
        <c:numFmt formatCode="yy/mmm" sourceLinked="0"/>
        <c:majorTickMark val="none"/>
        <c:minorTickMark val="none"/>
        <c:tickLblPos val="low"/>
        <c:spPr>
          <a:ln w="3175">
            <a:noFill/>
            <a:prstDash val="solid"/>
          </a:ln>
        </c:spPr>
        <c:txPr>
          <a:bodyPr rot="0" vert="horz"/>
          <a:lstStyle/>
          <a:p>
            <a:pPr>
              <a:defRPr sz="700" b="0" i="0" u="none" strike="noStrike" baseline="0">
                <a:solidFill>
                  <a:schemeClr val="tx1"/>
                </a:solidFill>
                <a:latin typeface="Calibri"/>
                <a:ea typeface="Calibri"/>
                <a:cs typeface="Calibri"/>
              </a:defRPr>
            </a:pPr>
            <a:endParaRPr lang="hu-HU"/>
          </a:p>
        </c:txPr>
        <c:crossAx val="115172096"/>
        <c:crosses val="autoZero"/>
        <c:auto val="1"/>
        <c:lblOffset val="100"/>
        <c:baseTimeUnit val="days"/>
        <c:majorUnit val="2"/>
        <c:majorTimeUnit val="months"/>
        <c:minorUnit val="1"/>
        <c:minorTimeUnit val="months"/>
      </c:dateAx>
      <c:valAx>
        <c:axId val="115172096"/>
        <c:scaling>
          <c:orientation val="minMax"/>
          <c:max val="330"/>
          <c:min val="280"/>
        </c:scaling>
        <c:delete val="0"/>
        <c:axPos val="l"/>
        <c:majorGridlines>
          <c:spPr>
            <a:ln w="3175">
              <a:solidFill>
                <a:srgbClr val="C0C0C0"/>
              </a:solidFill>
              <a:prstDash val="solid"/>
            </a:ln>
          </c:spPr>
        </c:majorGridlines>
        <c:numFmt formatCode="0" sourceLinked="0"/>
        <c:majorTickMark val="none"/>
        <c:minorTickMark val="none"/>
        <c:tickLblPos val="low"/>
        <c:spPr>
          <a:ln w="3175">
            <a:noFill/>
            <a:prstDash val="solid"/>
          </a:ln>
        </c:spPr>
        <c:txPr>
          <a:bodyPr rot="0" vert="horz"/>
          <a:lstStyle/>
          <a:p>
            <a:pPr>
              <a:defRPr sz="700" b="0" i="0" u="none" strike="noStrike" baseline="0">
                <a:solidFill>
                  <a:schemeClr val="tx1"/>
                </a:solidFill>
                <a:latin typeface="Calibri"/>
                <a:ea typeface="Calibri"/>
                <a:cs typeface="Calibri"/>
              </a:defRPr>
            </a:pPr>
            <a:endParaRPr lang="hu-HU"/>
          </a:p>
        </c:txPr>
        <c:crossAx val="115149824"/>
        <c:crosses val="autoZero"/>
        <c:crossBetween val="between"/>
        <c:majorUnit val="5"/>
      </c:valAx>
      <c:spPr>
        <a:solidFill>
          <a:srgbClr val="FFFFFF"/>
        </a:solidFill>
        <a:ln w="25400">
          <a:noFill/>
        </a:ln>
      </c:spPr>
    </c:plotArea>
    <c:legend>
      <c:legendPos val="r"/>
      <c:layout>
        <c:manualLayout>
          <c:xMode val="edge"/>
          <c:yMode val="edge"/>
          <c:x val="0.19901967592592593"/>
          <c:y val="7.1189613526570052E-3"/>
          <c:w val="0.66378896604938276"/>
          <c:h val="5.2482487922705323E-2"/>
        </c:manualLayout>
      </c:layout>
      <c:overlay val="0"/>
      <c:spPr>
        <a:noFill/>
        <a:ln w="25400">
          <a:noFill/>
        </a:ln>
      </c:spPr>
      <c:txPr>
        <a:bodyPr/>
        <a:lstStyle/>
        <a:p>
          <a:pPr>
            <a:defRPr sz="700" b="0" i="0" u="none" strike="noStrike" baseline="0">
              <a:solidFill>
                <a:srgbClr val="000000"/>
              </a:solidFill>
              <a:latin typeface="Calibri"/>
              <a:ea typeface="Calibri"/>
              <a:cs typeface="Calibri"/>
            </a:defRPr>
          </a:pPr>
          <a:endParaRPr lang="hu-HU"/>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Calibri"/>
          <a:ea typeface="Calibri"/>
          <a:cs typeface="Calibri"/>
        </a:defRPr>
      </a:pPr>
      <a:endParaRPr lang="hu-H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36935784409156"/>
          <c:y val="9.1428743961352657E-2"/>
          <c:w val="0.82284483670310438"/>
          <c:h val="0.7974589371980676"/>
        </c:manualLayout>
      </c:layout>
      <c:lineChart>
        <c:grouping val="standard"/>
        <c:varyColors val="0"/>
        <c:ser>
          <c:idx val="0"/>
          <c:order val="0"/>
          <c:tx>
            <c:v>EUR-HUF</c:v>
          </c:tx>
          <c:spPr>
            <a:ln w="25400">
              <a:solidFill>
                <a:srgbClr val="005B99"/>
              </a:solidFill>
              <a:prstDash val="solid"/>
            </a:ln>
          </c:spPr>
          <c:marker>
            <c:symbol val="none"/>
          </c:marker>
          <c:cat>
            <c:numRef>
              <c:f>BB!$A$1:$A$367</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BB!$L$1:$L$367</c:f>
              <c:numCache>
                <c:formatCode>0.00</c:formatCode>
                <c:ptCount val="367"/>
                <c:pt idx="0">
                  <c:v>99.597814328904661</c:v>
                </c:pt>
                <c:pt idx="1">
                  <c:v>100</c:v>
                </c:pt>
                <c:pt idx="2">
                  <c:v>99.683798851690568</c:v>
                </c:pt>
                <c:pt idx="3">
                  <c:v>99.969489362882442</c:v>
                </c:pt>
                <c:pt idx="4">
                  <c:v>99.969489362882442</c:v>
                </c:pt>
                <c:pt idx="5">
                  <c:v>99.969489362882442</c:v>
                </c:pt>
                <c:pt idx="6">
                  <c:v>99.77255706875988</c:v>
                </c:pt>
                <c:pt idx="7">
                  <c:v>99.273292097744999</c:v>
                </c:pt>
                <c:pt idx="8">
                  <c:v>99.065265026488788</c:v>
                </c:pt>
                <c:pt idx="9">
                  <c:v>98.965412032285812</c:v>
                </c:pt>
                <c:pt idx="10">
                  <c:v>99.187307574959107</c:v>
                </c:pt>
                <c:pt idx="11">
                  <c:v>99.187307574959107</c:v>
                </c:pt>
                <c:pt idx="12">
                  <c:v>99.187307574959107</c:v>
                </c:pt>
                <c:pt idx="13">
                  <c:v>99.198402352092756</c:v>
                </c:pt>
                <c:pt idx="14">
                  <c:v>99.689346240257422</c:v>
                </c:pt>
                <c:pt idx="15">
                  <c:v>100.03051063711759</c:v>
                </c:pt>
                <c:pt idx="16">
                  <c:v>99.54788783180318</c:v>
                </c:pt>
                <c:pt idx="17">
                  <c:v>99.134607383574192</c:v>
                </c:pt>
                <c:pt idx="18">
                  <c:v>99.134607383574192</c:v>
                </c:pt>
                <c:pt idx="19">
                  <c:v>99.134607383574192</c:v>
                </c:pt>
                <c:pt idx="20">
                  <c:v>98.729648018195434</c:v>
                </c:pt>
                <c:pt idx="21">
                  <c:v>98.577094832607543</c:v>
                </c:pt>
                <c:pt idx="22">
                  <c:v>98.532715724072901</c:v>
                </c:pt>
                <c:pt idx="23">
                  <c:v>98.668626743960303</c:v>
                </c:pt>
                <c:pt idx="24">
                  <c:v>99.029207000804377</c:v>
                </c:pt>
                <c:pt idx="25">
                  <c:v>99.029207000804377</c:v>
                </c:pt>
                <c:pt idx="26">
                  <c:v>99.029207000804377</c:v>
                </c:pt>
                <c:pt idx="27">
                  <c:v>99.43971375474996</c:v>
                </c:pt>
                <c:pt idx="28">
                  <c:v>99.306576429145977</c:v>
                </c:pt>
                <c:pt idx="29">
                  <c:v>98.998696363686804</c:v>
                </c:pt>
                <c:pt idx="30">
                  <c:v>99.32321859484648</c:v>
                </c:pt>
                <c:pt idx="31">
                  <c:v>99.428618977616296</c:v>
                </c:pt>
                <c:pt idx="32">
                  <c:v>99.428618977616296</c:v>
                </c:pt>
                <c:pt idx="33">
                  <c:v>99.428618977616296</c:v>
                </c:pt>
                <c:pt idx="34">
                  <c:v>99.137381077857611</c:v>
                </c:pt>
                <c:pt idx="35">
                  <c:v>99.517377194685622</c:v>
                </c:pt>
                <c:pt idx="36">
                  <c:v>99.428618977616296</c:v>
                </c:pt>
                <c:pt idx="37">
                  <c:v>99.456355920450463</c:v>
                </c:pt>
                <c:pt idx="38">
                  <c:v>99.456355920450463</c:v>
                </c:pt>
                <c:pt idx="39">
                  <c:v>99.456355920450463</c:v>
                </c:pt>
                <c:pt idx="40">
                  <c:v>99.456355920450463</c:v>
                </c:pt>
                <c:pt idx="41">
                  <c:v>99.60890910603834</c:v>
                </c:pt>
                <c:pt idx="42">
                  <c:v>99.472998086150952</c:v>
                </c:pt>
                <c:pt idx="43">
                  <c:v>99.742046431642322</c:v>
                </c:pt>
                <c:pt idx="44">
                  <c:v>100.37167503397777</c:v>
                </c:pt>
                <c:pt idx="45">
                  <c:v>100.45765955676367</c:v>
                </c:pt>
                <c:pt idx="46">
                  <c:v>100.45765955676367</c:v>
                </c:pt>
                <c:pt idx="47">
                  <c:v>100.45765955676367</c:v>
                </c:pt>
                <c:pt idx="48">
                  <c:v>100.93473497351123</c:v>
                </c:pt>
                <c:pt idx="49">
                  <c:v>101.05955121626495</c:v>
                </c:pt>
                <c:pt idx="50">
                  <c:v>101.05677752198152</c:v>
                </c:pt>
                <c:pt idx="51">
                  <c:v>101.18714115330209</c:v>
                </c:pt>
                <c:pt idx="52">
                  <c:v>101.86392255845563</c:v>
                </c:pt>
                <c:pt idx="53">
                  <c:v>101.86392255845563</c:v>
                </c:pt>
                <c:pt idx="54">
                  <c:v>101.86392255845563</c:v>
                </c:pt>
                <c:pt idx="55">
                  <c:v>101.98873880120934</c:v>
                </c:pt>
                <c:pt idx="56">
                  <c:v>101.69195351288383</c:v>
                </c:pt>
                <c:pt idx="57">
                  <c:v>101.79458020137022</c:v>
                </c:pt>
                <c:pt idx="58">
                  <c:v>101.24538873325382</c:v>
                </c:pt>
                <c:pt idx="59">
                  <c:v>101.82231714420438</c:v>
                </c:pt>
                <c:pt idx="60">
                  <c:v>101.82231714420438</c:v>
                </c:pt>
                <c:pt idx="61">
                  <c:v>101.82231714420438</c:v>
                </c:pt>
                <c:pt idx="62">
                  <c:v>101.86669625273903</c:v>
                </c:pt>
                <c:pt idx="63">
                  <c:v>101.93326491554102</c:v>
                </c:pt>
                <c:pt idx="64">
                  <c:v>101.70027459573407</c:v>
                </c:pt>
                <c:pt idx="65">
                  <c:v>102.27442931240121</c:v>
                </c:pt>
                <c:pt idx="66">
                  <c:v>101.93603860982444</c:v>
                </c:pt>
                <c:pt idx="67">
                  <c:v>101.93603860982444</c:v>
                </c:pt>
                <c:pt idx="68">
                  <c:v>101.93603860982444</c:v>
                </c:pt>
                <c:pt idx="69">
                  <c:v>101.57545835298035</c:v>
                </c:pt>
                <c:pt idx="70">
                  <c:v>101.58100574154719</c:v>
                </c:pt>
                <c:pt idx="71">
                  <c:v>101.1704989876016</c:v>
                </c:pt>
                <c:pt idx="72">
                  <c:v>101.05123013341471</c:v>
                </c:pt>
                <c:pt idx="73">
                  <c:v>100.57692841095056</c:v>
                </c:pt>
                <c:pt idx="74">
                  <c:v>100.57692841095056</c:v>
                </c:pt>
                <c:pt idx="75">
                  <c:v>100.57692841095056</c:v>
                </c:pt>
                <c:pt idx="76">
                  <c:v>100.62685490805205</c:v>
                </c:pt>
                <c:pt idx="77">
                  <c:v>100.80714503647408</c:v>
                </c:pt>
                <c:pt idx="78">
                  <c:v>100.42437522536267</c:v>
                </c:pt>
                <c:pt idx="79">
                  <c:v>100.18583751698888</c:v>
                </c:pt>
                <c:pt idx="80">
                  <c:v>100.05270019138493</c:v>
                </c:pt>
                <c:pt idx="81">
                  <c:v>100.05270019138493</c:v>
                </c:pt>
                <c:pt idx="82">
                  <c:v>100.05270019138493</c:v>
                </c:pt>
                <c:pt idx="83">
                  <c:v>99.930657642914596</c:v>
                </c:pt>
                <c:pt idx="84">
                  <c:v>100.11649515990348</c:v>
                </c:pt>
                <c:pt idx="85">
                  <c:v>99.564529997503683</c:v>
                </c:pt>
                <c:pt idx="86">
                  <c:v>99.431392671899715</c:v>
                </c:pt>
                <c:pt idx="87">
                  <c:v>99.203949740659596</c:v>
                </c:pt>
                <c:pt idx="88">
                  <c:v>99.203949740659596</c:v>
                </c:pt>
                <c:pt idx="89">
                  <c:v>99.203949740659596</c:v>
                </c:pt>
                <c:pt idx="90">
                  <c:v>99.087454580756116</c:v>
                </c:pt>
                <c:pt idx="91">
                  <c:v>99.644967131722751</c:v>
                </c:pt>
                <c:pt idx="92">
                  <c:v>99.395334646215304</c:v>
                </c:pt>
                <c:pt idx="93">
                  <c:v>99.656061908856415</c:v>
                </c:pt>
                <c:pt idx="94">
                  <c:v>100.24408509694062</c:v>
                </c:pt>
                <c:pt idx="95">
                  <c:v>100.24408509694062</c:v>
                </c:pt>
                <c:pt idx="96">
                  <c:v>100.24408509694062</c:v>
                </c:pt>
                <c:pt idx="97">
                  <c:v>100.1719690455718</c:v>
                </c:pt>
                <c:pt idx="98">
                  <c:v>100.21357445982304</c:v>
                </c:pt>
                <c:pt idx="99">
                  <c:v>100.51035974814857</c:v>
                </c:pt>
                <c:pt idx="100">
                  <c:v>100.94860344492831</c:v>
                </c:pt>
                <c:pt idx="101">
                  <c:v>100.77386070507308</c:v>
                </c:pt>
                <c:pt idx="102">
                  <c:v>100.77386070507308</c:v>
                </c:pt>
                <c:pt idx="103">
                  <c:v>100.77386070507308</c:v>
                </c:pt>
                <c:pt idx="104">
                  <c:v>100.83765567359167</c:v>
                </c:pt>
                <c:pt idx="105">
                  <c:v>100.57692841095056</c:v>
                </c:pt>
                <c:pt idx="106">
                  <c:v>100.36890133969436</c:v>
                </c:pt>
                <c:pt idx="107">
                  <c:v>99.938978725764855</c:v>
                </c:pt>
                <c:pt idx="108">
                  <c:v>99.875183757246276</c:v>
                </c:pt>
                <c:pt idx="109">
                  <c:v>99.875183757246276</c:v>
                </c:pt>
                <c:pt idx="110">
                  <c:v>99.875183757246276</c:v>
                </c:pt>
                <c:pt idx="111">
                  <c:v>99.711535794524735</c:v>
                </c:pt>
                <c:pt idx="112">
                  <c:v>99.905694394363863</c:v>
                </c:pt>
                <c:pt idx="113">
                  <c:v>99.556208914653439</c:v>
                </c:pt>
                <c:pt idx="114">
                  <c:v>99.411976811915807</c:v>
                </c:pt>
                <c:pt idx="115">
                  <c:v>99.467450697584127</c:v>
                </c:pt>
                <c:pt idx="116">
                  <c:v>99.467450697584127</c:v>
                </c:pt>
                <c:pt idx="117">
                  <c:v>99.467450697584127</c:v>
                </c:pt>
                <c:pt idx="118">
                  <c:v>99.264971014894741</c:v>
                </c:pt>
                <c:pt idx="119">
                  <c:v>99.420297894766037</c:v>
                </c:pt>
                <c:pt idx="120">
                  <c:v>99.170665409258604</c:v>
                </c:pt>
                <c:pt idx="121">
                  <c:v>98.959864643718959</c:v>
                </c:pt>
                <c:pt idx="122">
                  <c:v>98.49111030982165</c:v>
                </c:pt>
                <c:pt idx="123">
                  <c:v>98.49111030982165</c:v>
                </c:pt>
                <c:pt idx="124">
                  <c:v>98.49111030982165</c:v>
                </c:pt>
                <c:pt idx="125">
                  <c:v>97.495354062075293</c:v>
                </c:pt>
                <c:pt idx="126">
                  <c:v>97.273458519401999</c:v>
                </c:pt>
                <c:pt idx="127">
                  <c:v>97.334479793637158</c:v>
                </c:pt>
                <c:pt idx="128">
                  <c:v>96.954483676809161</c:v>
                </c:pt>
                <c:pt idx="129">
                  <c:v>96.654924694200218</c:v>
                </c:pt>
                <c:pt idx="130">
                  <c:v>96.654924694200218</c:v>
                </c:pt>
                <c:pt idx="131">
                  <c:v>96.654924694200218</c:v>
                </c:pt>
                <c:pt idx="132">
                  <c:v>96.299891825922955</c:v>
                </c:pt>
                <c:pt idx="133">
                  <c:v>96.860178071172996</c:v>
                </c:pt>
                <c:pt idx="134">
                  <c:v>96.973899536793056</c:v>
                </c:pt>
                <c:pt idx="135">
                  <c:v>96.549524311430389</c:v>
                </c:pt>
                <c:pt idx="136">
                  <c:v>96.555071699997242</c:v>
                </c:pt>
                <c:pt idx="137">
                  <c:v>96.555071699997242</c:v>
                </c:pt>
                <c:pt idx="138">
                  <c:v>96.555071699997242</c:v>
                </c:pt>
                <c:pt idx="139">
                  <c:v>96.322081380190284</c:v>
                </c:pt>
                <c:pt idx="140">
                  <c:v>96.000332843314013</c:v>
                </c:pt>
                <c:pt idx="141">
                  <c:v>96.053033034698927</c:v>
                </c:pt>
                <c:pt idx="142">
                  <c:v>96.333176157323948</c:v>
                </c:pt>
                <c:pt idx="143">
                  <c:v>95.911574626244715</c:v>
                </c:pt>
                <c:pt idx="144">
                  <c:v>95.911574626244715</c:v>
                </c:pt>
                <c:pt idx="145">
                  <c:v>95.911574626244715</c:v>
                </c:pt>
                <c:pt idx="146">
                  <c:v>96.161207111752148</c:v>
                </c:pt>
                <c:pt idx="147">
                  <c:v>96.685435331317777</c:v>
                </c:pt>
                <c:pt idx="148">
                  <c:v>96.102959531800408</c:v>
                </c:pt>
                <c:pt idx="149">
                  <c:v>95.908800931961281</c:v>
                </c:pt>
                <c:pt idx="150">
                  <c:v>96.588356031398234</c:v>
                </c:pt>
                <c:pt idx="151">
                  <c:v>96.588356031398234</c:v>
                </c:pt>
                <c:pt idx="152">
                  <c:v>96.588356031398234</c:v>
                </c:pt>
                <c:pt idx="153">
                  <c:v>97.126452722380947</c:v>
                </c:pt>
                <c:pt idx="154">
                  <c:v>97.520317310626027</c:v>
                </c:pt>
                <c:pt idx="155">
                  <c:v>97.70615482761491</c:v>
                </c:pt>
                <c:pt idx="156">
                  <c:v>98.66307935539345</c:v>
                </c:pt>
                <c:pt idx="157">
                  <c:v>98.671400438243708</c:v>
                </c:pt>
                <c:pt idx="158">
                  <c:v>98.671400438243708</c:v>
                </c:pt>
                <c:pt idx="159">
                  <c:v>98.671400438243708</c:v>
                </c:pt>
                <c:pt idx="160">
                  <c:v>97.939145147421868</c:v>
                </c:pt>
                <c:pt idx="161">
                  <c:v>97.162510748065358</c:v>
                </c:pt>
                <c:pt idx="162">
                  <c:v>97.209663550883434</c:v>
                </c:pt>
                <c:pt idx="163">
                  <c:v>97.498127756358699</c:v>
                </c:pt>
                <c:pt idx="164">
                  <c:v>97.450974953540623</c:v>
                </c:pt>
                <c:pt idx="165">
                  <c:v>97.450974953540623</c:v>
                </c:pt>
                <c:pt idx="166">
                  <c:v>97.450974953540623</c:v>
                </c:pt>
                <c:pt idx="167">
                  <c:v>97.19856877374977</c:v>
                </c:pt>
                <c:pt idx="168">
                  <c:v>97.653454636229995</c:v>
                </c:pt>
                <c:pt idx="169">
                  <c:v>97.448201259257203</c:v>
                </c:pt>
                <c:pt idx="170">
                  <c:v>97.36776412503815</c:v>
                </c:pt>
                <c:pt idx="171">
                  <c:v>97.581338584861186</c:v>
                </c:pt>
                <c:pt idx="172">
                  <c:v>97.581338584861186</c:v>
                </c:pt>
                <c:pt idx="173">
                  <c:v>97.581338584861186</c:v>
                </c:pt>
                <c:pt idx="174">
                  <c:v>97.556375336310438</c:v>
                </c:pt>
                <c:pt idx="175">
                  <c:v>98.269214767148384</c:v>
                </c:pt>
                <c:pt idx="176">
                  <c:v>98.98482789226972</c:v>
                </c:pt>
                <c:pt idx="177">
                  <c:v>99.195628657809337</c:v>
                </c:pt>
                <c:pt idx="178">
                  <c:v>98.599284386874885</c:v>
                </c:pt>
                <c:pt idx="179">
                  <c:v>98.599284386874885</c:v>
                </c:pt>
                <c:pt idx="180">
                  <c:v>98.599284386874885</c:v>
                </c:pt>
                <c:pt idx="181">
                  <c:v>98.549357889773404</c:v>
                </c:pt>
                <c:pt idx="182">
                  <c:v>99.076359803622452</c:v>
                </c:pt>
                <c:pt idx="183">
                  <c:v>99.398108340498723</c:v>
                </c:pt>
                <c:pt idx="184">
                  <c:v>99.467450697584127</c:v>
                </c:pt>
                <c:pt idx="185">
                  <c:v>99.722630571658385</c:v>
                </c:pt>
                <c:pt idx="186">
                  <c:v>99.722630571658385</c:v>
                </c:pt>
                <c:pt idx="187">
                  <c:v>99.722630571658385</c:v>
                </c:pt>
                <c:pt idx="188">
                  <c:v>99.814162483011131</c:v>
                </c:pt>
                <c:pt idx="189">
                  <c:v>99.656061908856415</c:v>
                </c:pt>
                <c:pt idx="190">
                  <c:v>99.805841400160872</c:v>
                </c:pt>
                <c:pt idx="191">
                  <c:v>99.231686683493749</c:v>
                </c:pt>
                <c:pt idx="192">
                  <c:v>99.941752420048275</c:v>
                </c:pt>
                <c:pt idx="193">
                  <c:v>99.941752420048275</c:v>
                </c:pt>
                <c:pt idx="194">
                  <c:v>99.941752420048275</c:v>
                </c:pt>
                <c:pt idx="195">
                  <c:v>100.24963248550746</c:v>
                </c:pt>
                <c:pt idx="196">
                  <c:v>99.625551271738843</c:v>
                </c:pt>
                <c:pt idx="197">
                  <c:v>99.961168280032169</c:v>
                </c:pt>
                <c:pt idx="198">
                  <c:v>99.190081269242512</c:v>
                </c:pt>
                <c:pt idx="199">
                  <c:v>99.364824009097731</c:v>
                </c:pt>
                <c:pt idx="200">
                  <c:v>99.364824009097731</c:v>
                </c:pt>
                <c:pt idx="201">
                  <c:v>99.364824009097731</c:v>
                </c:pt>
                <c:pt idx="202">
                  <c:v>98.851690566665752</c:v>
                </c:pt>
                <c:pt idx="203">
                  <c:v>98.657531966826625</c:v>
                </c:pt>
                <c:pt idx="204">
                  <c:v>98.352425595650857</c:v>
                </c:pt>
                <c:pt idx="205">
                  <c:v>98.091698333009731</c:v>
                </c:pt>
                <c:pt idx="206">
                  <c:v>98.188777632929302</c:v>
                </c:pt>
                <c:pt idx="207">
                  <c:v>98.188777632929302</c:v>
                </c:pt>
                <c:pt idx="208">
                  <c:v>98.188777632929302</c:v>
                </c:pt>
                <c:pt idx="209">
                  <c:v>97.894766038887198</c:v>
                </c:pt>
                <c:pt idx="210">
                  <c:v>98.108340498710234</c:v>
                </c:pt>
                <c:pt idx="211">
                  <c:v>98.119435275843898</c:v>
                </c:pt>
                <c:pt idx="212">
                  <c:v>97.880897567470114</c:v>
                </c:pt>
                <c:pt idx="213">
                  <c:v>97.767176101850055</c:v>
                </c:pt>
                <c:pt idx="214">
                  <c:v>97.767176101850055</c:v>
                </c:pt>
                <c:pt idx="215">
                  <c:v>97.767176101850055</c:v>
                </c:pt>
                <c:pt idx="216">
                  <c:v>97.52309100490946</c:v>
                </c:pt>
                <c:pt idx="217">
                  <c:v>97.553601642027019</c:v>
                </c:pt>
                <c:pt idx="218">
                  <c:v>97.240174188001006</c:v>
                </c:pt>
                <c:pt idx="219">
                  <c:v>97.345574570770808</c:v>
                </c:pt>
                <c:pt idx="220">
                  <c:v>97.162510748065358</c:v>
                </c:pt>
                <c:pt idx="221">
                  <c:v>97.162510748065358</c:v>
                </c:pt>
                <c:pt idx="222">
                  <c:v>97.162510748065358</c:v>
                </c:pt>
                <c:pt idx="223">
                  <c:v>97.023826033894551</c:v>
                </c:pt>
                <c:pt idx="224">
                  <c:v>96.596677114248479</c:v>
                </c:pt>
                <c:pt idx="225">
                  <c:v>96.643829917066554</c:v>
                </c:pt>
                <c:pt idx="226">
                  <c:v>96.785288325520767</c:v>
                </c:pt>
                <c:pt idx="227">
                  <c:v>96.854630682606171</c:v>
                </c:pt>
                <c:pt idx="228">
                  <c:v>96.854630682606171</c:v>
                </c:pt>
                <c:pt idx="229">
                  <c:v>96.854630682606171</c:v>
                </c:pt>
                <c:pt idx="230">
                  <c:v>96.616092974232387</c:v>
                </c:pt>
                <c:pt idx="231">
                  <c:v>96.813025268354934</c:v>
                </c:pt>
                <c:pt idx="232">
                  <c:v>96.510692591462572</c:v>
                </c:pt>
                <c:pt idx="233">
                  <c:v>96.666019471333868</c:v>
                </c:pt>
                <c:pt idx="234">
                  <c:v>96.413613291543015</c:v>
                </c:pt>
                <c:pt idx="235">
                  <c:v>96.413613291543015</c:v>
                </c:pt>
                <c:pt idx="236">
                  <c:v>96.413613291543015</c:v>
                </c:pt>
                <c:pt idx="237">
                  <c:v>96.391423737275687</c:v>
                </c:pt>
                <c:pt idx="238">
                  <c:v>96.649377305633379</c:v>
                </c:pt>
                <c:pt idx="239">
                  <c:v>97.104263168113619</c:v>
                </c:pt>
                <c:pt idx="240">
                  <c:v>97.265137436551754</c:v>
                </c:pt>
                <c:pt idx="241">
                  <c:v>97.090394696696549</c:v>
                </c:pt>
                <c:pt idx="242">
                  <c:v>97.090394696696549</c:v>
                </c:pt>
                <c:pt idx="243">
                  <c:v>97.090394696696549</c:v>
                </c:pt>
                <c:pt idx="244">
                  <c:v>97.046015588161879</c:v>
                </c:pt>
                <c:pt idx="245">
                  <c:v>97.037694505311634</c:v>
                </c:pt>
                <c:pt idx="246">
                  <c:v>96.788062019804173</c:v>
                </c:pt>
                <c:pt idx="247">
                  <c:v>97.303969156519571</c:v>
                </c:pt>
                <c:pt idx="248">
                  <c:v>97.905860816020876</c:v>
                </c:pt>
                <c:pt idx="249">
                  <c:v>97.905860816020876</c:v>
                </c:pt>
                <c:pt idx="250">
                  <c:v>97.905860816020876</c:v>
                </c:pt>
                <c:pt idx="251">
                  <c:v>98.194325021496127</c:v>
                </c:pt>
                <c:pt idx="252">
                  <c:v>97.811555210384711</c:v>
                </c:pt>
                <c:pt idx="253">
                  <c:v>98.529942029789481</c:v>
                </c:pt>
                <c:pt idx="254">
                  <c:v>98.782348209580334</c:v>
                </c:pt>
                <c:pt idx="255">
                  <c:v>98.982054197986315</c:v>
                </c:pt>
                <c:pt idx="256">
                  <c:v>98.982054197986315</c:v>
                </c:pt>
                <c:pt idx="257">
                  <c:v>98.982054197986315</c:v>
                </c:pt>
                <c:pt idx="258">
                  <c:v>99.301029040579152</c:v>
                </c:pt>
                <c:pt idx="259">
                  <c:v>99.77810445732672</c:v>
                </c:pt>
                <c:pt idx="260">
                  <c:v>99.919562865780946</c:v>
                </c:pt>
                <c:pt idx="261">
                  <c:v>99.686572545973988</c:v>
                </c:pt>
                <c:pt idx="262">
                  <c:v>99.123512606440528</c:v>
                </c:pt>
                <c:pt idx="263">
                  <c:v>99.123512606440528</c:v>
                </c:pt>
                <c:pt idx="264">
                  <c:v>99.123512606440528</c:v>
                </c:pt>
                <c:pt idx="265">
                  <c:v>98.81840623526476</c:v>
                </c:pt>
                <c:pt idx="266">
                  <c:v>99.231686683493749</c:v>
                </c:pt>
                <c:pt idx="267">
                  <c:v>99.542340443236355</c:v>
                </c:pt>
                <c:pt idx="268">
                  <c:v>99.522924583252433</c:v>
                </c:pt>
                <c:pt idx="269">
                  <c:v>99.955620891465344</c:v>
                </c:pt>
                <c:pt idx="270">
                  <c:v>99.955620891465344</c:v>
                </c:pt>
                <c:pt idx="271">
                  <c:v>99.955620891465344</c:v>
                </c:pt>
                <c:pt idx="272">
                  <c:v>99.620003883172018</c:v>
                </c:pt>
                <c:pt idx="273">
                  <c:v>99.961168280032169</c:v>
                </c:pt>
                <c:pt idx="274">
                  <c:v>99.872410062962871</c:v>
                </c:pt>
                <c:pt idx="275">
                  <c:v>99.528471971819272</c:v>
                </c:pt>
                <c:pt idx="276">
                  <c:v>99.869636368679451</c:v>
                </c:pt>
                <c:pt idx="277">
                  <c:v>99.869636368679451</c:v>
                </c:pt>
                <c:pt idx="278">
                  <c:v>99.869636368679451</c:v>
                </c:pt>
                <c:pt idx="279">
                  <c:v>100.31897484259287</c:v>
                </c:pt>
                <c:pt idx="280">
                  <c:v>100.51313344243198</c:v>
                </c:pt>
                <c:pt idx="281">
                  <c:v>100.41882783679583</c:v>
                </c:pt>
                <c:pt idx="282">
                  <c:v>101.02626688486396</c:v>
                </c:pt>
                <c:pt idx="283">
                  <c:v>101.16217790475135</c:v>
                </c:pt>
                <c:pt idx="284">
                  <c:v>101.16217790475135</c:v>
                </c:pt>
                <c:pt idx="285">
                  <c:v>101.16217790475135</c:v>
                </c:pt>
                <c:pt idx="286">
                  <c:v>101.40348930740855</c:v>
                </c:pt>
                <c:pt idx="287">
                  <c:v>101.3091837017724</c:v>
                </c:pt>
                <c:pt idx="288">
                  <c:v>100.76276592793943</c:v>
                </c:pt>
                <c:pt idx="289">
                  <c:v>100.26350095692453</c:v>
                </c:pt>
                <c:pt idx="290">
                  <c:v>99.916789171497527</c:v>
                </c:pt>
                <c:pt idx="291">
                  <c:v>99.916789171497527</c:v>
                </c:pt>
                <c:pt idx="292">
                  <c:v>99.916789171497527</c:v>
                </c:pt>
                <c:pt idx="293">
                  <c:v>100.07488974565224</c:v>
                </c:pt>
                <c:pt idx="294">
                  <c:v>99.656061908856415</c:v>
                </c:pt>
                <c:pt idx="295">
                  <c:v>99.489640251851455</c:v>
                </c:pt>
                <c:pt idx="296">
                  <c:v>99.930657642914596</c:v>
                </c:pt>
                <c:pt idx="297">
                  <c:v>99.558982608936859</c:v>
                </c:pt>
                <c:pt idx="298">
                  <c:v>99.558982608936859</c:v>
                </c:pt>
                <c:pt idx="299">
                  <c:v>99.558982608936859</c:v>
                </c:pt>
                <c:pt idx="300">
                  <c:v>100.17751643413864</c:v>
                </c:pt>
                <c:pt idx="301">
                  <c:v>100.03605802568443</c:v>
                </c:pt>
                <c:pt idx="302">
                  <c:v>100.84875045072532</c:v>
                </c:pt>
                <c:pt idx="303">
                  <c:v>101.33969433888998</c:v>
                </c:pt>
                <c:pt idx="304">
                  <c:v>101.71969045571798</c:v>
                </c:pt>
                <c:pt idx="305">
                  <c:v>101.71969045571798</c:v>
                </c:pt>
                <c:pt idx="306">
                  <c:v>101.71969045571798</c:v>
                </c:pt>
                <c:pt idx="307">
                  <c:v>101.48947383019444</c:v>
                </c:pt>
                <c:pt idx="308">
                  <c:v>101.26203089895431</c:v>
                </c:pt>
                <c:pt idx="309">
                  <c:v>101.07619338196545</c:v>
                </c:pt>
                <c:pt idx="310">
                  <c:v>100.87371369927607</c:v>
                </c:pt>
                <c:pt idx="311">
                  <c:v>101.87779102987268</c:v>
                </c:pt>
                <c:pt idx="312">
                  <c:v>101.87779102987268</c:v>
                </c:pt>
                <c:pt idx="313">
                  <c:v>101.87779102987268</c:v>
                </c:pt>
                <c:pt idx="314">
                  <c:v>102.68216237206336</c:v>
                </c:pt>
                <c:pt idx="315">
                  <c:v>102.64055695781211</c:v>
                </c:pt>
                <c:pt idx="316">
                  <c:v>102.23282389814995</c:v>
                </c:pt>
                <c:pt idx="317">
                  <c:v>101.41735777882562</c:v>
                </c:pt>
                <c:pt idx="318">
                  <c:v>102.37705600088761</c:v>
                </c:pt>
                <c:pt idx="319">
                  <c:v>102.37705600088761</c:v>
                </c:pt>
                <c:pt idx="320">
                  <c:v>102.37705600088761</c:v>
                </c:pt>
                <c:pt idx="321">
                  <c:v>101.87501733558928</c:v>
                </c:pt>
                <c:pt idx="322">
                  <c:v>101.19823593043576</c:v>
                </c:pt>
                <c:pt idx="323">
                  <c:v>100.62962860233546</c:v>
                </c:pt>
                <c:pt idx="324">
                  <c:v>101.06509860483179</c:v>
                </c:pt>
                <c:pt idx="325">
                  <c:v>101.08174077053229</c:v>
                </c:pt>
                <c:pt idx="326">
                  <c:v>101.08174077053229</c:v>
                </c:pt>
                <c:pt idx="327">
                  <c:v>101.08174077053229</c:v>
                </c:pt>
                <c:pt idx="328">
                  <c:v>101.48947383019444</c:v>
                </c:pt>
                <c:pt idx="329">
                  <c:v>101.89165950128978</c:v>
                </c:pt>
                <c:pt idx="330">
                  <c:v>101.2592572046709</c:v>
                </c:pt>
                <c:pt idx="331">
                  <c:v>101.33414695032315</c:v>
                </c:pt>
                <c:pt idx="332">
                  <c:v>101.44232102737638</c:v>
                </c:pt>
                <c:pt idx="333">
                  <c:v>101.44232102737638</c:v>
                </c:pt>
                <c:pt idx="334">
                  <c:v>101.44232102737638</c:v>
                </c:pt>
                <c:pt idx="335">
                  <c:v>101.98596510692593</c:v>
                </c:pt>
                <c:pt idx="336">
                  <c:v>101.99151249549274</c:v>
                </c:pt>
                <c:pt idx="337">
                  <c:v>102.34654536377002</c:v>
                </c:pt>
                <c:pt idx="338">
                  <c:v>102.14129198679723</c:v>
                </c:pt>
                <c:pt idx="339">
                  <c:v>101.86114886417219</c:v>
                </c:pt>
                <c:pt idx="340">
                  <c:v>101.86114886417219</c:v>
                </c:pt>
                <c:pt idx="341">
                  <c:v>101.86114886417219</c:v>
                </c:pt>
                <c:pt idx="342">
                  <c:v>102.04698638116108</c:v>
                </c:pt>
                <c:pt idx="343">
                  <c:v>101.92217013840734</c:v>
                </c:pt>
                <c:pt idx="344">
                  <c:v>102.15238676393091</c:v>
                </c:pt>
                <c:pt idx="345">
                  <c:v>102.64610434637895</c:v>
                </c:pt>
                <c:pt idx="346">
                  <c:v>102.413114026572</c:v>
                </c:pt>
                <c:pt idx="347">
                  <c:v>102.413114026572</c:v>
                </c:pt>
                <c:pt idx="348">
                  <c:v>102.413114026572</c:v>
                </c:pt>
                <c:pt idx="349">
                  <c:v>102.57398829501014</c:v>
                </c:pt>
                <c:pt idx="350">
                  <c:v>102.54902504645939</c:v>
                </c:pt>
                <c:pt idx="351">
                  <c:v>102.64887804066237</c:v>
                </c:pt>
                <c:pt idx="352">
                  <c:v>102.27997670096802</c:v>
                </c:pt>
                <c:pt idx="353">
                  <c:v>102.40756663800516</c:v>
                </c:pt>
                <c:pt idx="354">
                  <c:v>102.40756663800516</c:v>
                </c:pt>
                <c:pt idx="355">
                  <c:v>102.40756663800516</c:v>
                </c:pt>
                <c:pt idx="356">
                  <c:v>101.69195351288383</c:v>
                </c:pt>
                <c:pt idx="357">
                  <c:v>100.60189165950129</c:v>
                </c:pt>
                <c:pt idx="358">
                  <c:v>100.54364407954957</c:v>
                </c:pt>
                <c:pt idx="359">
                  <c:v>99.911241782930688</c:v>
                </c:pt>
                <c:pt idx="360">
                  <c:v>99.525698277535852</c:v>
                </c:pt>
                <c:pt idx="361">
                  <c:v>99.525698277535852</c:v>
                </c:pt>
                <c:pt idx="362">
                  <c:v>99.525698277535852</c:v>
                </c:pt>
                <c:pt idx="363">
                  <c:v>99.461903309017288</c:v>
                </c:pt>
                <c:pt idx="364">
                  <c:v>98.973733115136056</c:v>
                </c:pt>
                <c:pt idx="365">
                  <c:v>97.941918841705274</c:v>
                </c:pt>
                <c:pt idx="366">
                  <c:v>98.413446869886016</c:v>
                </c:pt>
              </c:numCache>
            </c:numRef>
          </c:val>
          <c:smooth val="0"/>
          <c:extLst>
            <c:ext xmlns:c16="http://schemas.microsoft.com/office/drawing/2014/chart" uri="{C3380CC4-5D6E-409C-BE32-E72D297353CC}">
              <c16:uniqueId val="{00000000-EE55-45A6-A4BC-6747CB85D179}"/>
            </c:ext>
          </c:extLst>
        </c:ser>
        <c:ser>
          <c:idx val="1"/>
          <c:order val="1"/>
          <c:tx>
            <c:v>EUR-CZK</c:v>
          </c:tx>
          <c:spPr>
            <a:ln w="25400">
              <a:solidFill>
                <a:srgbClr val="51B5E0"/>
              </a:solidFill>
              <a:prstDash val="solid"/>
            </a:ln>
          </c:spPr>
          <c:marker>
            <c:symbol val="none"/>
          </c:marker>
          <c:cat>
            <c:numRef>
              <c:f>BB!$A$1:$A$367</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BB!$M$1:$M$367</c:f>
              <c:numCache>
                <c:formatCode>0.00</c:formatCode>
                <c:ptCount val="367"/>
                <c:pt idx="0">
                  <c:v>100.02293665660002</c:v>
                </c:pt>
                <c:pt idx="1">
                  <c:v>100</c:v>
                </c:pt>
                <c:pt idx="2">
                  <c:v>99.946481134599949</c:v>
                </c:pt>
                <c:pt idx="3">
                  <c:v>100.07645552200009</c:v>
                </c:pt>
                <c:pt idx="4">
                  <c:v>100.07645552200009</c:v>
                </c:pt>
                <c:pt idx="5">
                  <c:v>100.07645552200009</c:v>
                </c:pt>
                <c:pt idx="6">
                  <c:v>100.01146832830001</c:v>
                </c:pt>
                <c:pt idx="7">
                  <c:v>99.969417791199973</c:v>
                </c:pt>
                <c:pt idx="8">
                  <c:v>99.755342329599756</c:v>
                </c:pt>
                <c:pt idx="9">
                  <c:v>99.732405672999732</c:v>
                </c:pt>
                <c:pt idx="10">
                  <c:v>99.839443403799848</c:v>
                </c:pt>
                <c:pt idx="11">
                  <c:v>99.839443403799848</c:v>
                </c:pt>
                <c:pt idx="12">
                  <c:v>99.839443403799848</c:v>
                </c:pt>
                <c:pt idx="13">
                  <c:v>99.973240567299982</c:v>
                </c:pt>
                <c:pt idx="14">
                  <c:v>99.594785733399604</c:v>
                </c:pt>
                <c:pt idx="15">
                  <c:v>99.686532359799699</c:v>
                </c:pt>
                <c:pt idx="16">
                  <c:v>99.633013494399634</c:v>
                </c:pt>
                <c:pt idx="17">
                  <c:v>99.560380748499568</c:v>
                </c:pt>
                <c:pt idx="18">
                  <c:v>99.560380748499568</c:v>
                </c:pt>
                <c:pt idx="19">
                  <c:v>99.560380748499568</c:v>
                </c:pt>
                <c:pt idx="20">
                  <c:v>99.181925914599191</c:v>
                </c:pt>
                <c:pt idx="21">
                  <c:v>98.952559348598967</c:v>
                </c:pt>
                <c:pt idx="22">
                  <c:v>98.948736572498959</c:v>
                </c:pt>
                <c:pt idx="23">
                  <c:v>98.811116632898816</c:v>
                </c:pt>
                <c:pt idx="24">
                  <c:v>98.543522305898549</c:v>
                </c:pt>
                <c:pt idx="25">
                  <c:v>98.543522305898549</c:v>
                </c:pt>
                <c:pt idx="26">
                  <c:v>98.543522305898549</c:v>
                </c:pt>
                <c:pt idx="27">
                  <c:v>98.18800412859818</c:v>
                </c:pt>
                <c:pt idx="28">
                  <c:v>98.37149738139837</c:v>
                </c:pt>
                <c:pt idx="29">
                  <c:v>98.535876753698531</c:v>
                </c:pt>
                <c:pt idx="30">
                  <c:v>98.455598455598462</c:v>
                </c:pt>
                <c:pt idx="31">
                  <c:v>98.379142933598388</c:v>
                </c:pt>
                <c:pt idx="32">
                  <c:v>98.379142933598388</c:v>
                </c:pt>
                <c:pt idx="33">
                  <c:v>98.379142933598388</c:v>
                </c:pt>
                <c:pt idx="34">
                  <c:v>98.165067471998171</c:v>
                </c:pt>
                <c:pt idx="35">
                  <c:v>98.692610573798703</c:v>
                </c:pt>
                <c:pt idx="36">
                  <c:v>98.780534424098789</c:v>
                </c:pt>
                <c:pt idx="37">
                  <c:v>99.074888183799075</c:v>
                </c:pt>
                <c:pt idx="38">
                  <c:v>98.975496005198977</c:v>
                </c:pt>
                <c:pt idx="39">
                  <c:v>98.975496005198977</c:v>
                </c:pt>
                <c:pt idx="40">
                  <c:v>98.975496005198977</c:v>
                </c:pt>
                <c:pt idx="41">
                  <c:v>99.05577430329906</c:v>
                </c:pt>
                <c:pt idx="42">
                  <c:v>98.883749378798896</c:v>
                </c:pt>
                <c:pt idx="43">
                  <c:v>99.506861883099518</c:v>
                </c:pt>
                <c:pt idx="44">
                  <c:v>100.2943537597003</c:v>
                </c:pt>
                <c:pt idx="45">
                  <c:v>100.0955694025001</c:v>
                </c:pt>
                <c:pt idx="46">
                  <c:v>100.0955694025001</c:v>
                </c:pt>
                <c:pt idx="47">
                  <c:v>100.0955694025001</c:v>
                </c:pt>
                <c:pt idx="48">
                  <c:v>100.0917466264001</c:v>
                </c:pt>
                <c:pt idx="49">
                  <c:v>100.15291104400018</c:v>
                </c:pt>
                <c:pt idx="50">
                  <c:v>100.09939217860008</c:v>
                </c:pt>
                <c:pt idx="51">
                  <c:v>100.34022707290036</c:v>
                </c:pt>
                <c:pt idx="52">
                  <c:v>100.66134026530067</c:v>
                </c:pt>
                <c:pt idx="53">
                  <c:v>100.66134026530067</c:v>
                </c:pt>
                <c:pt idx="54">
                  <c:v>100.66134026530067</c:v>
                </c:pt>
                <c:pt idx="55">
                  <c:v>100.94040292060096</c:v>
                </c:pt>
                <c:pt idx="56">
                  <c:v>100.12232883520011</c:v>
                </c:pt>
                <c:pt idx="57">
                  <c:v>100.22172101380022</c:v>
                </c:pt>
                <c:pt idx="58">
                  <c:v>100.07645552200009</c:v>
                </c:pt>
                <c:pt idx="59">
                  <c:v>100.10321495470012</c:v>
                </c:pt>
                <c:pt idx="60">
                  <c:v>100.10321495470012</c:v>
                </c:pt>
                <c:pt idx="61">
                  <c:v>100.10321495470012</c:v>
                </c:pt>
                <c:pt idx="62">
                  <c:v>100.0955694025001</c:v>
                </c:pt>
                <c:pt idx="63">
                  <c:v>99.892962269199899</c:v>
                </c:pt>
                <c:pt idx="64">
                  <c:v>99.698000688099697</c:v>
                </c:pt>
                <c:pt idx="65">
                  <c:v>99.927367254099934</c:v>
                </c:pt>
                <c:pt idx="66">
                  <c:v>99.671241255399678</c:v>
                </c:pt>
                <c:pt idx="67">
                  <c:v>99.671241255399678</c:v>
                </c:pt>
                <c:pt idx="68">
                  <c:v>99.671241255399678</c:v>
                </c:pt>
                <c:pt idx="69">
                  <c:v>99.659772927099667</c:v>
                </c:pt>
                <c:pt idx="70">
                  <c:v>100.19113880500019</c:v>
                </c:pt>
                <c:pt idx="71">
                  <c:v>100.32493596850031</c:v>
                </c:pt>
                <c:pt idx="72">
                  <c:v>100.05351886540006</c:v>
                </c:pt>
                <c:pt idx="73">
                  <c:v>99.648304598799655</c:v>
                </c:pt>
                <c:pt idx="74">
                  <c:v>99.648304598799655</c:v>
                </c:pt>
                <c:pt idx="75">
                  <c:v>99.648304598799655</c:v>
                </c:pt>
                <c:pt idx="76">
                  <c:v>99.812683971099815</c:v>
                </c:pt>
                <c:pt idx="77">
                  <c:v>99.984708895599994</c:v>
                </c:pt>
                <c:pt idx="78">
                  <c:v>99.847088955999851</c:v>
                </c:pt>
                <c:pt idx="79">
                  <c:v>99.72093734469972</c:v>
                </c:pt>
                <c:pt idx="80">
                  <c:v>99.805038418899812</c:v>
                </c:pt>
                <c:pt idx="81">
                  <c:v>99.805038418899812</c:v>
                </c:pt>
                <c:pt idx="82">
                  <c:v>99.805038418899812</c:v>
                </c:pt>
                <c:pt idx="83">
                  <c:v>99.338659734699348</c:v>
                </c:pt>
                <c:pt idx="84">
                  <c:v>99.449520241599458</c:v>
                </c:pt>
                <c:pt idx="85">
                  <c:v>98.872281050498884</c:v>
                </c:pt>
                <c:pt idx="86">
                  <c:v>98.700256125998692</c:v>
                </c:pt>
                <c:pt idx="87">
                  <c:v>99.472456898199482</c:v>
                </c:pt>
                <c:pt idx="88">
                  <c:v>99.472456898199482</c:v>
                </c:pt>
                <c:pt idx="89">
                  <c:v>99.472456898199482</c:v>
                </c:pt>
                <c:pt idx="90">
                  <c:v>99.453343017699453</c:v>
                </c:pt>
                <c:pt idx="91">
                  <c:v>99.082533735999093</c:v>
                </c:pt>
                <c:pt idx="92">
                  <c:v>99.147520929699155</c:v>
                </c:pt>
                <c:pt idx="93">
                  <c:v>99.044305974999048</c:v>
                </c:pt>
                <c:pt idx="94">
                  <c:v>99.147520929699155</c:v>
                </c:pt>
                <c:pt idx="95">
                  <c:v>99.147520929699155</c:v>
                </c:pt>
                <c:pt idx="96">
                  <c:v>99.147520929699155</c:v>
                </c:pt>
                <c:pt idx="97">
                  <c:v>99.178103138499168</c:v>
                </c:pt>
                <c:pt idx="98">
                  <c:v>99.132229825299135</c:v>
                </c:pt>
                <c:pt idx="99">
                  <c:v>98.849344393898846</c:v>
                </c:pt>
                <c:pt idx="100">
                  <c:v>98.837876065598834</c:v>
                </c:pt>
                <c:pt idx="101">
                  <c:v>98.719370006498735</c:v>
                </c:pt>
                <c:pt idx="102">
                  <c:v>98.719370006498735</c:v>
                </c:pt>
                <c:pt idx="103">
                  <c:v>98.719370006498735</c:v>
                </c:pt>
                <c:pt idx="104">
                  <c:v>98.841698841698857</c:v>
                </c:pt>
                <c:pt idx="105">
                  <c:v>99.124584273099131</c:v>
                </c:pt>
                <c:pt idx="106">
                  <c:v>98.990787109598983</c:v>
                </c:pt>
                <c:pt idx="107">
                  <c:v>98.856989946098864</c:v>
                </c:pt>
                <c:pt idx="108">
                  <c:v>98.910508811498914</c:v>
                </c:pt>
                <c:pt idx="109">
                  <c:v>98.910508811498914</c:v>
                </c:pt>
                <c:pt idx="110">
                  <c:v>98.910508811498914</c:v>
                </c:pt>
                <c:pt idx="111">
                  <c:v>98.612332275698606</c:v>
                </c:pt>
                <c:pt idx="112">
                  <c:v>98.811116632898816</c:v>
                </c:pt>
                <c:pt idx="113">
                  <c:v>98.619977827898623</c:v>
                </c:pt>
                <c:pt idx="114">
                  <c:v>98.287396307198279</c:v>
                </c:pt>
                <c:pt idx="115">
                  <c:v>98.092434726098105</c:v>
                </c:pt>
                <c:pt idx="116">
                  <c:v>98.092434726098105</c:v>
                </c:pt>
                <c:pt idx="117">
                  <c:v>98.092434726098105</c:v>
                </c:pt>
                <c:pt idx="118">
                  <c:v>97.74456210099774</c:v>
                </c:pt>
                <c:pt idx="119">
                  <c:v>97.511372758897508</c:v>
                </c:pt>
                <c:pt idx="120">
                  <c:v>97.786612638097779</c:v>
                </c:pt>
                <c:pt idx="121">
                  <c:v>97.488436102297499</c:v>
                </c:pt>
                <c:pt idx="122">
                  <c:v>97.312588401697326</c:v>
                </c:pt>
                <c:pt idx="123">
                  <c:v>97.312588401697326</c:v>
                </c:pt>
                <c:pt idx="124">
                  <c:v>97.312588401697326</c:v>
                </c:pt>
                <c:pt idx="125">
                  <c:v>97.15203180549716</c:v>
                </c:pt>
                <c:pt idx="126">
                  <c:v>97.125272372797127</c:v>
                </c:pt>
                <c:pt idx="127">
                  <c:v>97.492258878397493</c:v>
                </c:pt>
                <c:pt idx="128">
                  <c:v>97.457853893497457</c:v>
                </c:pt>
                <c:pt idx="129">
                  <c:v>97.377575595397374</c:v>
                </c:pt>
                <c:pt idx="130">
                  <c:v>97.377575595397374</c:v>
                </c:pt>
                <c:pt idx="131">
                  <c:v>97.377575595397374</c:v>
                </c:pt>
                <c:pt idx="132">
                  <c:v>97.087044611797083</c:v>
                </c:pt>
                <c:pt idx="133">
                  <c:v>97.159677357697163</c:v>
                </c:pt>
                <c:pt idx="134">
                  <c:v>97.201727894797202</c:v>
                </c:pt>
                <c:pt idx="135">
                  <c:v>97.251423984097258</c:v>
                </c:pt>
                <c:pt idx="136">
                  <c:v>97.339347834397344</c:v>
                </c:pt>
                <c:pt idx="137">
                  <c:v>97.339347834397344</c:v>
                </c:pt>
                <c:pt idx="138">
                  <c:v>97.339347834397344</c:v>
                </c:pt>
                <c:pt idx="139">
                  <c:v>97.232310103597229</c:v>
                </c:pt>
                <c:pt idx="140">
                  <c:v>97.13291792499713</c:v>
                </c:pt>
                <c:pt idx="141">
                  <c:v>97.343170610497339</c:v>
                </c:pt>
                <c:pt idx="142">
                  <c:v>97.404335028097407</c:v>
                </c:pt>
                <c:pt idx="143">
                  <c:v>97.178791238197178</c:v>
                </c:pt>
                <c:pt idx="144">
                  <c:v>97.178791238197178</c:v>
                </c:pt>
                <c:pt idx="145">
                  <c:v>97.178791238197178</c:v>
                </c:pt>
                <c:pt idx="146">
                  <c:v>97.144386253297142</c:v>
                </c:pt>
                <c:pt idx="147">
                  <c:v>97.194082342597198</c:v>
                </c:pt>
                <c:pt idx="148">
                  <c:v>97.060285179097065</c:v>
                </c:pt>
                <c:pt idx="149">
                  <c:v>96.93031079169694</c:v>
                </c:pt>
                <c:pt idx="150">
                  <c:v>97.071753507397077</c:v>
                </c:pt>
                <c:pt idx="151">
                  <c:v>97.071753507397077</c:v>
                </c:pt>
                <c:pt idx="152">
                  <c:v>97.071753507397077</c:v>
                </c:pt>
                <c:pt idx="153">
                  <c:v>97.186436790397181</c:v>
                </c:pt>
                <c:pt idx="154">
                  <c:v>97.304942849497309</c:v>
                </c:pt>
                <c:pt idx="155">
                  <c:v>97.469322221797469</c:v>
                </c:pt>
                <c:pt idx="156">
                  <c:v>97.702511563897716</c:v>
                </c:pt>
                <c:pt idx="157">
                  <c:v>97.782789861997784</c:v>
                </c:pt>
                <c:pt idx="158">
                  <c:v>97.782789861997784</c:v>
                </c:pt>
                <c:pt idx="159">
                  <c:v>97.782789861997784</c:v>
                </c:pt>
                <c:pt idx="160">
                  <c:v>97.519018311097525</c:v>
                </c:pt>
                <c:pt idx="161">
                  <c:v>97.465499445697475</c:v>
                </c:pt>
                <c:pt idx="162">
                  <c:v>96.960893000496966</c:v>
                </c:pt>
                <c:pt idx="163">
                  <c:v>97.285828968997308</c:v>
                </c:pt>
                <c:pt idx="164">
                  <c:v>97.46167666959748</c:v>
                </c:pt>
                <c:pt idx="165">
                  <c:v>97.46167666959748</c:v>
                </c:pt>
                <c:pt idx="166">
                  <c:v>97.46167666959748</c:v>
                </c:pt>
                <c:pt idx="167">
                  <c:v>97.182614014297187</c:v>
                </c:pt>
                <c:pt idx="168">
                  <c:v>97.465499445697475</c:v>
                </c:pt>
                <c:pt idx="169">
                  <c:v>97.507549982797514</c:v>
                </c:pt>
                <c:pt idx="170">
                  <c:v>97.626056041897641</c:v>
                </c:pt>
                <c:pt idx="171">
                  <c:v>97.756030429297752</c:v>
                </c:pt>
                <c:pt idx="172">
                  <c:v>97.756030429297752</c:v>
                </c:pt>
                <c:pt idx="173">
                  <c:v>97.756030429297752</c:v>
                </c:pt>
                <c:pt idx="174">
                  <c:v>97.782789861997784</c:v>
                </c:pt>
                <c:pt idx="175">
                  <c:v>98.02362475629802</c:v>
                </c:pt>
                <c:pt idx="176">
                  <c:v>98.551167858098566</c:v>
                </c:pt>
                <c:pt idx="177">
                  <c:v>98.780534424098789</c:v>
                </c:pt>
                <c:pt idx="178">
                  <c:v>98.447952903398445</c:v>
                </c:pt>
                <c:pt idx="179">
                  <c:v>98.447952903398445</c:v>
                </c:pt>
                <c:pt idx="180">
                  <c:v>98.447952903398445</c:v>
                </c:pt>
                <c:pt idx="181">
                  <c:v>98.130662487098135</c:v>
                </c:pt>
                <c:pt idx="182">
                  <c:v>98.038915860698054</c:v>
                </c:pt>
                <c:pt idx="183">
                  <c:v>97.798080966397791</c:v>
                </c:pt>
                <c:pt idx="184">
                  <c:v>97.717802668297722</c:v>
                </c:pt>
                <c:pt idx="185">
                  <c:v>97.576359952597585</c:v>
                </c:pt>
                <c:pt idx="186">
                  <c:v>97.576359952597585</c:v>
                </c:pt>
                <c:pt idx="187">
                  <c:v>97.576359952597585</c:v>
                </c:pt>
                <c:pt idx="188">
                  <c:v>98.249168546198248</c:v>
                </c:pt>
                <c:pt idx="189">
                  <c:v>98.046561412898043</c:v>
                </c:pt>
                <c:pt idx="190">
                  <c:v>98.20711800909821</c:v>
                </c:pt>
                <c:pt idx="191">
                  <c:v>97.966283114797974</c:v>
                </c:pt>
                <c:pt idx="192">
                  <c:v>98.038915860698054</c:v>
                </c:pt>
                <c:pt idx="193">
                  <c:v>98.038915860698054</c:v>
                </c:pt>
                <c:pt idx="194">
                  <c:v>98.038915860698054</c:v>
                </c:pt>
                <c:pt idx="195">
                  <c:v>98.13448526319813</c:v>
                </c:pt>
                <c:pt idx="196">
                  <c:v>98.268282426698278</c:v>
                </c:pt>
                <c:pt idx="197">
                  <c:v>97.70633433999771</c:v>
                </c:pt>
                <c:pt idx="198">
                  <c:v>97.392866699797395</c:v>
                </c:pt>
                <c:pt idx="199">
                  <c:v>97.488436102297499</c:v>
                </c:pt>
                <c:pt idx="200">
                  <c:v>97.488436102297499</c:v>
                </c:pt>
                <c:pt idx="201">
                  <c:v>97.488436102297499</c:v>
                </c:pt>
                <c:pt idx="202">
                  <c:v>97.419626132497427</c:v>
                </c:pt>
                <c:pt idx="203">
                  <c:v>97.304942849497309</c:v>
                </c:pt>
                <c:pt idx="204">
                  <c:v>97.289651745097288</c:v>
                </c:pt>
                <c:pt idx="205">
                  <c:v>97.098512940097095</c:v>
                </c:pt>
                <c:pt idx="206">
                  <c:v>97.148209029397151</c:v>
                </c:pt>
                <c:pt idx="207">
                  <c:v>97.148209029397151</c:v>
                </c:pt>
                <c:pt idx="208">
                  <c:v>97.148209029397151</c:v>
                </c:pt>
                <c:pt idx="209">
                  <c:v>96.96853855269697</c:v>
                </c:pt>
                <c:pt idx="210">
                  <c:v>97.048816850797053</c:v>
                </c:pt>
                <c:pt idx="211">
                  <c:v>97.060285179097065</c:v>
                </c:pt>
                <c:pt idx="212">
                  <c:v>97.002943537597005</c:v>
                </c:pt>
                <c:pt idx="213">
                  <c:v>97.106158492297112</c:v>
                </c:pt>
                <c:pt idx="214">
                  <c:v>97.106158492297112</c:v>
                </c:pt>
                <c:pt idx="215">
                  <c:v>97.106158492297112</c:v>
                </c:pt>
                <c:pt idx="216">
                  <c:v>97.178791238197178</c:v>
                </c:pt>
                <c:pt idx="217">
                  <c:v>97.278183416797276</c:v>
                </c:pt>
                <c:pt idx="218">
                  <c:v>97.270537864597273</c:v>
                </c:pt>
                <c:pt idx="219">
                  <c:v>97.645169922397642</c:v>
                </c:pt>
                <c:pt idx="220">
                  <c:v>97.725448220497739</c:v>
                </c:pt>
                <c:pt idx="221">
                  <c:v>97.725448220497739</c:v>
                </c:pt>
                <c:pt idx="222">
                  <c:v>97.725448220497739</c:v>
                </c:pt>
                <c:pt idx="223">
                  <c:v>97.702511563897716</c:v>
                </c:pt>
                <c:pt idx="224">
                  <c:v>97.587828280897583</c:v>
                </c:pt>
                <c:pt idx="225">
                  <c:v>97.694866011697698</c:v>
                </c:pt>
                <c:pt idx="226">
                  <c:v>97.599296609197594</c:v>
                </c:pt>
                <c:pt idx="227">
                  <c:v>97.557246072097556</c:v>
                </c:pt>
                <c:pt idx="228">
                  <c:v>97.557246072097556</c:v>
                </c:pt>
                <c:pt idx="229">
                  <c:v>97.557246072097556</c:v>
                </c:pt>
                <c:pt idx="230">
                  <c:v>97.801903742497814</c:v>
                </c:pt>
                <c:pt idx="231">
                  <c:v>97.13291792499713</c:v>
                </c:pt>
                <c:pt idx="232">
                  <c:v>96.945601896096946</c:v>
                </c:pt>
                <c:pt idx="233">
                  <c:v>97.087044611797083</c:v>
                </c:pt>
                <c:pt idx="234">
                  <c:v>97.002943537597005</c:v>
                </c:pt>
                <c:pt idx="235">
                  <c:v>97.002943537597005</c:v>
                </c:pt>
                <c:pt idx="236">
                  <c:v>97.002943537597005</c:v>
                </c:pt>
                <c:pt idx="237">
                  <c:v>97.117626820597124</c:v>
                </c:pt>
                <c:pt idx="238">
                  <c:v>97.064107955197059</c:v>
                </c:pt>
                <c:pt idx="239">
                  <c:v>97.15203180549716</c:v>
                </c:pt>
                <c:pt idx="240">
                  <c:v>97.232310103597229</c:v>
                </c:pt>
                <c:pt idx="241">
                  <c:v>96.853855269696851</c:v>
                </c:pt>
                <c:pt idx="242">
                  <c:v>96.853855269696851</c:v>
                </c:pt>
                <c:pt idx="243">
                  <c:v>96.853855269696851</c:v>
                </c:pt>
                <c:pt idx="244">
                  <c:v>96.945601896096946</c:v>
                </c:pt>
                <c:pt idx="245">
                  <c:v>96.918842463396928</c:v>
                </c:pt>
                <c:pt idx="246">
                  <c:v>96.742994762796741</c:v>
                </c:pt>
                <c:pt idx="247">
                  <c:v>96.76210864329677</c:v>
                </c:pt>
                <c:pt idx="248">
                  <c:v>96.991475209296993</c:v>
                </c:pt>
                <c:pt idx="249">
                  <c:v>96.991475209296993</c:v>
                </c:pt>
                <c:pt idx="250">
                  <c:v>96.991475209296993</c:v>
                </c:pt>
                <c:pt idx="251">
                  <c:v>97.381398371497383</c:v>
                </c:pt>
                <c:pt idx="252">
                  <c:v>97.197905118697193</c:v>
                </c:pt>
                <c:pt idx="253">
                  <c:v>97.098512940097095</c:v>
                </c:pt>
                <c:pt idx="254">
                  <c:v>97.044994074697044</c:v>
                </c:pt>
                <c:pt idx="255">
                  <c:v>97.167322909897166</c:v>
                </c:pt>
                <c:pt idx="256">
                  <c:v>97.167322909897166</c:v>
                </c:pt>
                <c:pt idx="257">
                  <c:v>97.167322909897166</c:v>
                </c:pt>
                <c:pt idx="258">
                  <c:v>97.194082342597198</c:v>
                </c:pt>
                <c:pt idx="259">
                  <c:v>97.473144997897478</c:v>
                </c:pt>
                <c:pt idx="260">
                  <c:v>97.515195534997517</c:v>
                </c:pt>
                <c:pt idx="261">
                  <c:v>96.880614702396883</c:v>
                </c:pt>
                <c:pt idx="262">
                  <c:v>96.773576971596782</c:v>
                </c:pt>
                <c:pt idx="263">
                  <c:v>96.773576971596782</c:v>
                </c:pt>
                <c:pt idx="264">
                  <c:v>96.773576971596782</c:v>
                </c:pt>
                <c:pt idx="265">
                  <c:v>96.880614702396883</c:v>
                </c:pt>
                <c:pt idx="266">
                  <c:v>96.807981956496818</c:v>
                </c:pt>
                <c:pt idx="267">
                  <c:v>97.064107955197059</c:v>
                </c:pt>
                <c:pt idx="268">
                  <c:v>97.22466455139724</c:v>
                </c:pt>
                <c:pt idx="269">
                  <c:v>97.217018999197222</c:v>
                </c:pt>
                <c:pt idx="270">
                  <c:v>97.217018999197222</c:v>
                </c:pt>
                <c:pt idx="271">
                  <c:v>97.217018999197222</c:v>
                </c:pt>
                <c:pt idx="272">
                  <c:v>97.075576283497071</c:v>
                </c:pt>
                <c:pt idx="273">
                  <c:v>97.106158492297112</c:v>
                </c:pt>
                <c:pt idx="274">
                  <c:v>97.04117129859705</c:v>
                </c:pt>
                <c:pt idx="275">
                  <c:v>97.0946901639971</c:v>
                </c:pt>
                <c:pt idx="276">
                  <c:v>96.995297985397002</c:v>
                </c:pt>
                <c:pt idx="277">
                  <c:v>96.995297985397002</c:v>
                </c:pt>
                <c:pt idx="278">
                  <c:v>96.995297985397002</c:v>
                </c:pt>
                <c:pt idx="279">
                  <c:v>97.369930043197371</c:v>
                </c:pt>
                <c:pt idx="280">
                  <c:v>97.488436102297499</c:v>
                </c:pt>
                <c:pt idx="281">
                  <c:v>97.584005504797588</c:v>
                </c:pt>
                <c:pt idx="282">
                  <c:v>98.123016934898118</c:v>
                </c:pt>
                <c:pt idx="283">
                  <c:v>98.115371382698129</c:v>
                </c:pt>
                <c:pt idx="284">
                  <c:v>98.115371382698129</c:v>
                </c:pt>
                <c:pt idx="285">
                  <c:v>98.115371382698129</c:v>
                </c:pt>
                <c:pt idx="286">
                  <c:v>98.367674605298376</c:v>
                </c:pt>
                <c:pt idx="287">
                  <c:v>98.27975075499829</c:v>
                </c:pt>
                <c:pt idx="288">
                  <c:v>98.317978515998334</c:v>
                </c:pt>
                <c:pt idx="289">
                  <c:v>98.382965709698382</c:v>
                </c:pt>
                <c:pt idx="290">
                  <c:v>98.038915860698054</c:v>
                </c:pt>
                <c:pt idx="291">
                  <c:v>98.038915860698054</c:v>
                </c:pt>
                <c:pt idx="292">
                  <c:v>98.038915860698054</c:v>
                </c:pt>
                <c:pt idx="293">
                  <c:v>97.821017622997815</c:v>
                </c:pt>
                <c:pt idx="294">
                  <c:v>97.729270996597734</c:v>
                </c:pt>
                <c:pt idx="295">
                  <c:v>97.476967773997487</c:v>
                </c:pt>
                <c:pt idx="296">
                  <c:v>96.915019687296919</c:v>
                </c:pt>
                <c:pt idx="297">
                  <c:v>96.498337092396497</c:v>
                </c:pt>
                <c:pt idx="298">
                  <c:v>96.498337092396497</c:v>
                </c:pt>
                <c:pt idx="299">
                  <c:v>96.498337092396497</c:v>
                </c:pt>
                <c:pt idx="300">
                  <c:v>96.551855957796562</c:v>
                </c:pt>
                <c:pt idx="301">
                  <c:v>96.502159868496506</c:v>
                </c:pt>
                <c:pt idx="302">
                  <c:v>96.391299361596396</c:v>
                </c:pt>
                <c:pt idx="303">
                  <c:v>96.418058794296428</c:v>
                </c:pt>
                <c:pt idx="304">
                  <c:v>96.498337092396497</c:v>
                </c:pt>
                <c:pt idx="305">
                  <c:v>96.498337092396497</c:v>
                </c:pt>
                <c:pt idx="306">
                  <c:v>96.498337092396497</c:v>
                </c:pt>
                <c:pt idx="307">
                  <c:v>96.418058794296428</c:v>
                </c:pt>
                <c:pt idx="308">
                  <c:v>96.490691540196494</c:v>
                </c:pt>
                <c:pt idx="309">
                  <c:v>96.387476585496387</c:v>
                </c:pt>
                <c:pt idx="310">
                  <c:v>96.685653121296696</c:v>
                </c:pt>
                <c:pt idx="311">
                  <c:v>97.220841775297217</c:v>
                </c:pt>
                <c:pt idx="312">
                  <c:v>97.220841775297217</c:v>
                </c:pt>
                <c:pt idx="313">
                  <c:v>97.220841775297217</c:v>
                </c:pt>
                <c:pt idx="314">
                  <c:v>97.308765625597303</c:v>
                </c:pt>
                <c:pt idx="315">
                  <c:v>97.503727206697505</c:v>
                </c:pt>
                <c:pt idx="316">
                  <c:v>97.549600519897567</c:v>
                </c:pt>
                <c:pt idx="317">
                  <c:v>97.637524370197653</c:v>
                </c:pt>
                <c:pt idx="318">
                  <c:v>98.291219083298301</c:v>
                </c:pt>
                <c:pt idx="319">
                  <c:v>98.291219083298301</c:v>
                </c:pt>
                <c:pt idx="320">
                  <c:v>98.291219083298301</c:v>
                </c:pt>
                <c:pt idx="321">
                  <c:v>97.775144309797795</c:v>
                </c:pt>
                <c:pt idx="322">
                  <c:v>97.538132191597555</c:v>
                </c:pt>
                <c:pt idx="323">
                  <c:v>97.408157804197415</c:v>
                </c:pt>
                <c:pt idx="324">
                  <c:v>97.274360640697282</c:v>
                </c:pt>
                <c:pt idx="325">
                  <c:v>97.232310103597229</c:v>
                </c:pt>
                <c:pt idx="326">
                  <c:v>97.232310103597229</c:v>
                </c:pt>
                <c:pt idx="327">
                  <c:v>97.232310103597229</c:v>
                </c:pt>
                <c:pt idx="328">
                  <c:v>97.20555067089721</c:v>
                </c:pt>
                <c:pt idx="329">
                  <c:v>97.312588401697326</c:v>
                </c:pt>
                <c:pt idx="330">
                  <c:v>97.304942849497309</c:v>
                </c:pt>
                <c:pt idx="331">
                  <c:v>97.129095148897136</c:v>
                </c:pt>
                <c:pt idx="332">
                  <c:v>96.945601896096946</c:v>
                </c:pt>
                <c:pt idx="333">
                  <c:v>96.945601896096946</c:v>
                </c:pt>
                <c:pt idx="334">
                  <c:v>96.945601896096946</c:v>
                </c:pt>
                <c:pt idx="335">
                  <c:v>97.102335716197103</c:v>
                </c:pt>
                <c:pt idx="336">
                  <c:v>96.700944225696702</c:v>
                </c:pt>
                <c:pt idx="337">
                  <c:v>96.567147062196568</c:v>
                </c:pt>
                <c:pt idx="338">
                  <c:v>96.838564165296845</c:v>
                </c:pt>
                <c:pt idx="339">
                  <c:v>96.440995450896452</c:v>
                </c:pt>
                <c:pt idx="340">
                  <c:v>96.440995450896452</c:v>
                </c:pt>
                <c:pt idx="341">
                  <c:v>96.440995450896452</c:v>
                </c:pt>
                <c:pt idx="342">
                  <c:v>96.440995450896452</c:v>
                </c:pt>
                <c:pt idx="343">
                  <c:v>96.42952712259644</c:v>
                </c:pt>
                <c:pt idx="344">
                  <c:v>95.890515692495896</c:v>
                </c:pt>
                <c:pt idx="345">
                  <c:v>95.783477961695795</c:v>
                </c:pt>
                <c:pt idx="346">
                  <c:v>95.70702243969572</c:v>
                </c:pt>
                <c:pt idx="347">
                  <c:v>95.70702243969572</c:v>
                </c:pt>
                <c:pt idx="348">
                  <c:v>95.70702243969572</c:v>
                </c:pt>
                <c:pt idx="349">
                  <c:v>95.814060170495821</c:v>
                </c:pt>
                <c:pt idx="350">
                  <c:v>95.248289307695259</c:v>
                </c:pt>
                <c:pt idx="351">
                  <c:v>95.370618142895381</c:v>
                </c:pt>
                <c:pt idx="352">
                  <c:v>95.038036622195037</c:v>
                </c:pt>
                <c:pt idx="353">
                  <c:v>95.13360602469514</c:v>
                </c:pt>
                <c:pt idx="354">
                  <c:v>95.13360602469514</c:v>
                </c:pt>
                <c:pt idx="355">
                  <c:v>95.13360602469514</c:v>
                </c:pt>
                <c:pt idx="356">
                  <c:v>94.892771130394891</c:v>
                </c:pt>
                <c:pt idx="357">
                  <c:v>94.269658626094284</c:v>
                </c:pt>
                <c:pt idx="358">
                  <c:v>94.162620895294168</c:v>
                </c:pt>
                <c:pt idx="359">
                  <c:v>93.734469972093734</c:v>
                </c:pt>
                <c:pt idx="360">
                  <c:v>93.367483466493368</c:v>
                </c:pt>
                <c:pt idx="361">
                  <c:v>93.367483466493368</c:v>
                </c:pt>
                <c:pt idx="362">
                  <c:v>93.367483466493368</c:v>
                </c:pt>
                <c:pt idx="363">
                  <c:v>93.069306930693074</c:v>
                </c:pt>
                <c:pt idx="364">
                  <c:v>93.32543292939333</c:v>
                </c:pt>
                <c:pt idx="365">
                  <c:v>92.93550976719294</c:v>
                </c:pt>
                <c:pt idx="366">
                  <c:v>93.833862150693832</c:v>
                </c:pt>
              </c:numCache>
            </c:numRef>
          </c:val>
          <c:smooth val="0"/>
          <c:extLst>
            <c:ext xmlns:c16="http://schemas.microsoft.com/office/drawing/2014/chart" uri="{C3380CC4-5D6E-409C-BE32-E72D297353CC}">
              <c16:uniqueId val="{00000001-EE55-45A6-A4BC-6747CB85D179}"/>
            </c:ext>
          </c:extLst>
        </c:ser>
        <c:ser>
          <c:idx val="2"/>
          <c:order val="2"/>
          <c:tx>
            <c:v>EUR-PLN</c:v>
          </c:tx>
          <c:spPr>
            <a:ln w="25400">
              <a:solidFill>
                <a:srgbClr val="FA9646"/>
              </a:solidFill>
            </a:ln>
          </c:spPr>
          <c:marker>
            <c:symbol val="none"/>
          </c:marker>
          <c:cat>
            <c:numRef>
              <c:f>BB!$A$1:$A$367</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BB!$N$1:$N$367</c:f>
              <c:numCache>
                <c:formatCode>0.00</c:formatCode>
                <c:ptCount val="367"/>
                <c:pt idx="0">
                  <c:v>99.645163423181188</c:v>
                </c:pt>
                <c:pt idx="1">
                  <c:v>100</c:v>
                </c:pt>
                <c:pt idx="2">
                  <c:v>100.11240164855751</c:v>
                </c:pt>
                <c:pt idx="3">
                  <c:v>99.997796046106728</c:v>
                </c:pt>
                <c:pt idx="4">
                  <c:v>99.997796046106728</c:v>
                </c:pt>
                <c:pt idx="5">
                  <c:v>99.997796046106728</c:v>
                </c:pt>
                <c:pt idx="6">
                  <c:v>100.00661186167986</c:v>
                </c:pt>
                <c:pt idx="7">
                  <c:v>99.940493244881324</c:v>
                </c:pt>
                <c:pt idx="8">
                  <c:v>99.936085337094738</c:v>
                </c:pt>
                <c:pt idx="9">
                  <c:v>99.90743393648205</c:v>
                </c:pt>
                <c:pt idx="10">
                  <c:v>100.030855354506</c:v>
                </c:pt>
                <c:pt idx="11">
                  <c:v>100.030855354506</c:v>
                </c:pt>
                <c:pt idx="12">
                  <c:v>100.030855354506</c:v>
                </c:pt>
                <c:pt idx="13">
                  <c:v>100.0550988473321</c:v>
                </c:pt>
                <c:pt idx="14">
                  <c:v>100.18292817314263</c:v>
                </c:pt>
                <c:pt idx="15">
                  <c:v>100.25345469772773</c:v>
                </c:pt>
                <c:pt idx="16">
                  <c:v>100.09036210962468</c:v>
                </c:pt>
                <c:pt idx="17">
                  <c:v>99.658387146540889</c:v>
                </c:pt>
                <c:pt idx="18">
                  <c:v>99.658387146540889</c:v>
                </c:pt>
                <c:pt idx="19">
                  <c:v>99.658387146540889</c:v>
                </c:pt>
                <c:pt idx="20">
                  <c:v>99.409340356599756</c:v>
                </c:pt>
                <c:pt idx="21">
                  <c:v>98.763581865867366</c:v>
                </c:pt>
                <c:pt idx="22">
                  <c:v>98.882595376104732</c:v>
                </c:pt>
                <c:pt idx="23">
                  <c:v>99.199964736737712</c:v>
                </c:pt>
                <c:pt idx="24">
                  <c:v>98.904634915037576</c:v>
                </c:pt>
                <c:pt idx="25">
                  <c:v>98.904634915037576</c:v>
                </c:pt>
                <c:pt idx="26">
                  <c:v>98.904634915037576</c:v>
                </c:pt>
                <c:pt idx="27">
                  <c:v>98.662199986776272</c:v>
                </c:pt>
                <c:pt idx="28">
                  <c:v>98.637956493950156</c:v>
                </c:pt>
                <c:pt idx="29">
                  <c:v>99.003812840235369</c:v>
                </c:pt>
                <c:pt idx="30">
                  <c:v>99.257267537963088</c:v>
                </c:pt>
                <c:pt idx="31">
                  <c:v>99.080951226500332</c:v>
                </c:pt>
                <c:pt idx="32">
                  <c:v>99.080951226500332</c:v>
                </c:pt>
                <c:pt idx="33">
                  <c:v>99.080951226500332</c:v>
                </c:pt>
                <c:pt idx="34">
                  <c:v>98.836312344345743</c:v>
                </c:pt>
                <c:pt idx="35">
                  <c:v>99.091970995966776</c:v>
                </c:pt>
                <c:pt idx="36">
                  <c:v>98.964141670156266</c:v>
                </c:pt>
                <c:pt idx="37">
                  <c:v>98.950917946796551</c:v>
                </c:pt>
                <c:pt idx="38">
                  <c:v>98.862759791065159</c:v>
                </c:pt>
                <c:pt idx="39">
                  <c:v>98.862759791065159</c:v>
                </c:pt>
                <c:pt idx="40">
                  <c:v>98.862759791065159</c:v>
                </c:pt>
                <c:pt idx="41">
                  <c:v>99.105194719326462</c:v>
                </c:pt>
                <c:pt idx="42">
                  <c:v>99.32118220086835</c:v>
                </c:pt>
                <c:pt idx="43">
                  <c:v>99.296938708042219</c:v>
                </c:pt>
                <c:pt idx="44">
                  <c:v>99.649571330967746</c:v>
                </c:pt>
                <c:pt idx="45">
                  <c:v>99.658387146540889</c:v>
                </c:pt>
                <c:pt idx="46">
                  <c:v>99.658387146540889</c:v>
                </c:pt>
                <c:pt idx="47">
                  <c:v>99.658387146540889</c:v>
                </c:pt>
                <c:pt idx="48">
                  <c:v>99.903026028695479</c:v>
                </c:pt>
                <c:pt idx="49">
                  <c:v>100.07934234015823</c:v>
                </c:pt>
                <c:pt idx="50">
                  <c:v>100.19174398871576</c:v>
                </c:pt>
                <c:pt idx="51">
                  <c:v>100.59065964340026</c:v>
                </c:pt>
                <c:pt idx="52">
                  <c:v>101.06891763824299</c:v>
                </c:pt>
                <c:pt idx="53">
                  <c:v>101.06891763824299</c:v>
                </c:pt>
                <c:pt idx="54">
                  <c:v>101.06891763824299</c:v>
                </c:pt>
                <c:pt idx="55">
                  <c:v>101.25845767306546</c:v>
                </c:pt>
                <c:pt idx="56">
                  <c:v>100.65237035241223</c:v>
                </c:pt>
                <c:pt idx="57">
                  <c:v>100.80444317104886</c:v>
                </c:pt>
                <c:pt idx="58">
                  <c:v>101.04908205320345</c:v>
                </c:pt>
                <c:pt idx="59">
                  <c:v>101.00500297533776</c:v>
                </c:pt>
                <c:pt idx="60">
                  <c:v>101.00500297533776</c:v>
                </c:pt>
                <c:pt idx="61">
                  <c:v>101.00500297533776</c:v>
                </c:pt>
                <c:pt idx="62">
                  <c:v>101.11079276221543</c:v>
                </c:pt>
                <c:pt idx="63">
                  <c:v>101.29592488925132</c:v>
                </c:pt>
                <c:pt idx="64">
                  <c:v>101.3135565203976</c:v>
                </c:pt>
                <c:pt idx="65">
                  <c:v>101.83368963921274</c:v>
                </c:pt>
                <c:pt idx="66">
                  <c:v>101.69924845172238</c:v>
                </c:pt>
                <c:pt idx="67">
                  <c:v>101.69924845172238</c:v>
                </c:pt>
                <c:pt idx="68">
                  <c:v>101.69924845172238</c:v>
                </c:pt>
                <c:pt idx="69">
                  <c:v>101.3003327970379</c:v>
                </c:pt>
                <c:pt idx="70">
                  <c:v>101.77859079188063</c:v>
                </c:pt>
                <c:pt idx="71">
                  <c:v>101.9659268728098</c:v>
                </c:pt>
                <c:pt idx="72">
                  <c:v>102.17530249267186</c:v>
                </c:pt>
                <c:pt idx="73">
                  <c:v>102.28990809512266</c:v>
                </c:pt>
                <c:pt idx="74">
                  <c:v>102.28990809512266</c:v>
                </c:pt>
                <c:pt idx="75">
                  <c:v>102.28990809512266</c:v>
                </c:pt>
                <c:pt idx="76">
                  <c:v>102.78800167500496</c:v>
                </c:pt>
                <c:pt idx="77">
                  <c:v>102.63592885636832</c:v>
                </c:pt>
                <c:pt idx="78">
                  <c:v>102.10477596808674</c:v>
                </c:pt>
                <c:pt idx="79">
                  <c:v>101.11960857778854</c:v>
                </c:pt>
                <c:pt idx="80">
                  <c:v>101.47003724682079</c:v>
                </c:pt>
                <c:pt idx="81">
                  <c:v>101.47003724682079</c:v>
                </c:pt>
                <c:pt idx="82">
                  <c:v>101.47003724682079</c:v>
                </c:pt>
                <c:pt idx="83">
                  <c:v>101.13503625504154</c:v>
                </c:pt>
                <c:pt idx="84">
                  <c:v>101.19233905626695</c:v>
                </c:pt>
                <c:pt idx="85">
                  <c:v>100.81546294051529</c:v>
                </c:pt>
                <c:pt idx="86">
                  <c:v>100.13003327970378</c:v>
                </c:pt>
                <c:pt idx="87">
                  <c:v>99.852335089149918</c:v>
                </c:pt>
                <c:pt idx="88">
                  <c:v>99.852335089149918</c:v>
                </c:pt>
                <c:pt idx="89">
                  <c:v>99.852335089149918</c:v>
                </c:pt>
                <c:pt idx="90">
                  <c:v>99.903026028695479</c:v>
                </c:pt>
                <c:pt idx="91">
                  <c:v>100.57963987393383</c:v>
                </c:pt>
                <c:pt idx="92">
                  <c:v>100.37687611575166</c:v>
                </c:pt>
                <c:pt idx="93">
                  <c:v>100.30855354505985</c:v>
                </c:pt>
                <c:pt idx="94">
                  <c:v>100.09917792519781</c:v>
                </c:pt>
                <c:pt idx="95">
                  <c:v>100.09917792519781</c:v>
                </c:pt>
                <c:pt idx="96">
                  <c:v>100.09917792519781</c:v>
                </c:pt>
                <c:pt idx="97">
                  <c:v>100.34602076124568</c:v>
                </c:pt>
                <c:pt idx="98">
                  <c:v>100.32618517620611</c:v>
                </c:pt>
                <c:pt idx="99">
                  <c:v>100.39891565468449</c:v>
                </c:pt>
                <c:pt idx="100">
                  <c:v>100.57302801225399</c:v>
                </c:pt>
                <c:pt idx="101">
                  <c:v>100.39450774689793</c:v>
                </c:pt>
                <c:pt idx="102">
                  <c:v>100.39450774689793</c:v>
                </c:pt>
                <c:pt idx="103">
                  <c:v>100.39450774689793</c:v>
                </c:pt>
                <c:pt idx="104">
                  <c:v>100.45842240980318</c:v>
                </c:pt>
                <c:pt idx="105">
                  <c:v>100.73612060035704</c:v>
                </c:pt>
                <c:pt idx="106">
                  <c:v>100.86394992616754</c:v>
                </c:pt>
                <c:pt idx="107">
                  <c:v>100.69644943027791</c:v>
                </c:pt>
                <c:pt idx="108">
                  <c:v>100.4429947325502</c:v>
                </c:pt>
                <c:pt idx="109">
                  <c:v>100.4429947325502</c:v>
                </c:pt>
                <c:pt idx="110">
                  <c:v>100.4429947325502</c:v>
                </c:pt>
                <c:pt idx="111">
                  <c:v>100.20276375818217</c:v>
                </c:pt>
                <c:pt idx="112">
                  <c:v>100.45401450201661</c:v>
                </c:pt>
                <c:pt idx="113">
                  <c:v>100.76917990875629</c:v>
                </c:pt>
                <c:pt idx="114">
                  <c:v>100.72289687699734</c:v>
                </c:pt>
                <c:pt idx="115">
                  <c:v>100.37246820796508</c:v>
                </c:pt>
                <c:pt idx="116">
                  <c:v>100.37246820796508</c:v>
                </c:pt>
                <c:pt idx="117">
                  <c:v>100.37246820796508</c:v>
                </c:pt>
                <c:pt idx="118">
                  <c:v>100.52013311881515</c:v>
                </c:pt>
                <c:pt idx="119">
                  <c:v>100.26227051330085</c:v>
                </c:pt>
                <c:pt idx="120">
                  <c:v>100.3967117007912</c:v>
                </c:pt>
                <c:pt idx="121">
                  <c:v>99.755361117845425</c:v>
                </c:pt>
                <c:pt idx="122">
                  <c:v>99.883190443655906</c:v>
                </c:pt>
                <c:pt idx="123">
                  <c:v>99.883190443655906</c:v>
                </c:pt>
                <c:pt idx="124">
                  <c:v>99.883190443655906</c:v>
                </c:pt>
                <c:pt idx="125">
                  <c:v>99.892006259229049</c:v>
                </c:pt>
                <c:pt idx="126">
                  <c:v>99.656183192647603</c:v>
                </c:pt>
                <c:pt idx="127">
                  <c:v>99.711282039979736</c:v>
                </c:pt>
                <c:pt idx="128">
                  <c:v>99.010424701915241</c:v>
                </c:pt>
                <c:pt idx="129">
                  <c:v>99.098582857646619</c:v>
                </c:pt>
                <c:pt idx="130">
                  <c:v>99.098582857646619</c:v>
                </c:pt>
                <c:pt idx="131">
                  <c:v>99.098582857646619</c:v>
                </c:pt>
                <c:pt idx="132">
                  <c:v>98.812068851519612</c:v>
                </c:pt>
                <c:pt idx="133">
                  <c:v>98.8429242060256</c:v>
                </c:pt>
                <c:pt idx="134">
                  <c:v>99.149273797192166</c:v>
                </c:pt>
                <c:pt idx="135">
                  <c:v>98.981773301302539</c:v>
                </c:pt>
                <c:pt idx="136">
                  <c:v>98.803253035946483</c:v>
                </c:pt>
                <c:pt idx="137">
                  <c:v>98.803253035946483</c:v>
                </c:pt>
                <c:pt idx="138">
                  <c:v>98.803253035946483</c:v>
                </c:pt>
                <c:pt idx="139">
                  <c:v>98.697463249068832</c:v>
                </c:pt>
                <c:pt idx="140">
                  <c:v>98.285323871024616</c:v>
                </c:pt>
                <c:pt idx="141">
                  <c:v>98.239040839265641</c:v>
                </c:pt>
                <c:pt idx="142">
                  <c:v>98.280915963238044</c:v>
                </c:pt>
                <c:pt idx="143">
                  <c:v>98.239040839265641</c:v>
                </c:pt>
                <c:pt idx="144">
                  <c:v>98.239040839265641</c:v>
                </c:pt>
                <c:pt idx="145">
                  <c:v>98.239040839265641</c:v>
                </c:pt>
                <c:pt idx="146">
                  <c:v>98.457232274700814</c:v>
                </c:pt>
                <c:pt idx="147">
                  <c:v>98.369074118969436</c:v>
                </c:pt>
                <c:pt idx="148">
                  <c:v>98.607101139444168</c:v>
                </c:pt>
                <c:pt idx="149">
                  <c:v>98.490291583100074</c:v>
                </c:pt>
                <c:pt idx="150">
                  <c:v>99.177925197804868</c:v>
                </c:pt>
                <c:pt idx="151">
                  <c:v>99.177925197804868</c:v>
                </c:pt>
                <c:pt idx="152">
                  <c:v>99.177925197804868</c:v>
                </c:pt>
                <c:pt idx="153">
                  <c:v>99.539373636303523</c:v>
                </c:pt>
                <c:pt idx="154">
                  <c:v>99.825887642430516</c:v>
                </c:pt>
                <c:pt idx="155">
                  <c:v>99.788420426244684</c:v>
                </c:pt>
                <c:pt idx="156">
                  <c:v>100.47825799484275</c:v>
                </c:pt>
                <c:pt idx="157">
                  <c:v>100.29532982170014</c:v>
                </c:pt>
                <c:pt idx="158">
                  <c:v>100.29532982170014</c:v>
                </c:pt>
                <c:pt idx="159">
                  <c:v>100.29532982170014</c:v>
                </c:pt>
                <c:pt idx="160">
                  <c:v>99.775196702884969</c:v>
                </c:pt>
                <c:pt idx="161">
                  <c:v>99.495294558437848</c:v>
                </c:pt>
                <c:pt idx="162">
                  <c:v>99.964736737707454</c:v>
                </c:pt>
                <c:pt idx="163">
                  <c:v>99.576840852489354</c:v>
                </c:pt>
                <c:pt idx="164">
                  <c:v>99.490886650651262</c:v>
                </c:pt>
                <c:pt idx="165">
                  <c:v>99.490886650651262</c:v>
                </c:pt>
                <c:pt idx="166">
                  <c:v>99.490886650651262</c:v>
                </c:pt>
                <c:pt idx="167">
                  <c:v>99.215392413990685</c:v>
                </c:pt>
                <c:pt idx="168">
                  <c:v>99.627531792034915</c:v>
                </c:pt>
                <c:pt idx="169">
                  <c:v>99.63855156150133</c:v>
                </c:pt>
                <c:pt idx="170">
                  <c:v>99.55700526744981</c:v>
                </c:pt>
                <c:pt idx="171">
                  <c:v>99.409340356599756</c:v>
                </c:pt>
                <c:pt idx="172">
                  <c:v>99.409340356599756</c:v>
                </c:pt>
                <c:pt idx="173">
                  <c:v>99.409340356599756</c:v>
                </c:pt>
                <c:pt idx="174">
                  <c:v>99.246247768496673</c:v>
                </c:pt>
                <c:pt idx="175">
                  <c:v>99.479866881184847</c:v>
                </c:pt>
                <c:pt idx="176">
                  <c:v>99.931677429308181</c:v>
                </c:pt>
                <c:pt idx="177">
                  <c:v>100.14105304917022</c:v>
                </c:pt>
                <c:pt idx="178">
                  <c:v>100.2270072510083</c:v>
                </c:pt>
                <c:pt idx="179">
                  <c:v>100.2270072510083</c:v>
                </c:pt>
                <c:pt idx="180">
                  <c:v>100.2270072510083</c:v>
                </c:pt>
                <c:pt idx="181">
                  <c:v>100.36806030017853</c:v>
                </c:pt>
                <c:pt idx="182">
                  <c:v>100.88598946510039</c:v>
                </c:pt>
                <c:pt idx="183">
                  <c:v>100.57963987393383</c:v>
                </c:pt>
                <c:pt idx="184">
                  <c:v>100.98075948251164</c:v>
                </c:pt>
                <c:pt idx="185">
                  <c:v>101.04687809931016</c:v>
                </c:pt>
                <c:pt idx="186">
                  <c:v>101.04687809931016</c:v>
                </c:pt>
                <c:pt idx="187">
                  <c:v>101.04687809931016</c:v>
                </c:pt>
                <c:pt idx="188">
                  <c:v>101.3157604742909</c:v>
                </c:pt>
                <c:pt idx="189">
                  <c:v>101.21658254909308</c:v>
                </c:pt>
                <c:pt idx="190">
                  <c:v>100.9278645890728</c:v>
                </c:pt>
                <c:pt idx="191">
                  <c:v>100.58404778172039</c:v>
                </c:pt>
                <c:pt idx="192">
                  <c:v>100.81546294051529</c:v>
                </c:pt>
                <c:pt idx="193">
                  <c:v>100.81546294051529</c:v>
                </c:pt>
                <c:pt idx="194">
                  <c:v>100.81546294051529</c:v>
                </c:pt>
                <c:pt idx="195">
                  <c:v>101.22980627245278</c:v>
                </c:pt>
                <c:pt idx="196">
                  <c:v>101.33339210543717</c:v>
                </c:pt>
                <c:pt idx="197">
                  <c:v>101.33118815154386</c:v>
                </c:pt>
                <c:pt idx="198">
                  <c:v>100.70746919974434</c:v>
                </c:pt>
                <c:pt idx="199">
                  <c:v>100.67220593745179</c:v>
                </c:pt>
                <c:pt idx="200">
                  <c:v>100.67220593745179</c:v>
                </c:pt>
                <c:pt idx="201">
                  <c:v>100.67220593745179</c:v>
                </c:pt>
                <c:pt idx="202">
                  <c:v>100.48046194873604</c:v>
                </c:pt>
                <c:pt idx="203">
                  <c:v>100.37246820796508</c:v>
                </c:pt>
                <c:pt idx="204">
                  <c:v>100.18733608092919</c:v>
                </c:pt>
                <c:pt idx="205">
                  <c:v>100.17631631146276</c:v>
                </c:pt>
                <c:pt idx="206">
                  <c:v>100.78681153990259</c:v>
                </c:pt>
                <c:pt idx="207">
                  <c:v>100.78681153990259</c:v>
                </c:pt>
                <c:pt idx="208">
                  <c:v>100.78681153990259</c:v>
                </c:pt>
                <c:pt idx="209">
                  <c:v>100.61490313622639</c:v>
                </c:pt>
                <c:pt idx="210">
                  <c:v>100.8992131884601</c:v>
                </c:pt>
                <c:pt idx="211">
                  <c:v>100.96312785136536</c:v>
                </c:pt>
                <c:pt idx="212">
                  <c:v>100.88598946510039</c:v>
                </c:pt>
                <c:pt idx="213">
                  <c:v>100.65457430630551</c:v>
                </c:pt>
                <c:pt idx="214">
                  <c:v>100.65457430630551</c:v>
                </c:pt>
                <c:pt idx="215">
                  <c:v>100.65457430630551</c:v>
                </c:pt>
                <c:pt idx="216">
                  <c:v>100.51352125713531</c:v>
                </c:pt>
                <c:pt idx="217">
                  <c:v>100.59947545897339</c:v>
                </c:pt>
                <c:pt idx="218">
                  <c:v>100.40111960857779</c:v>
                </c:pt>
                <c:pt idx="219">
                  <c:v>101.04908205320345</c:v>
                </c:pt>
                <c:pt idx="220">
                  <c:v>100.98296343640492</c:v>
                </c:pt>
                <c:pt idx="221">
                  <c:v>100.98296343640492</c:v>
                </c:pt>
                <c:pt idx="222">
                  <c:v>100.98296343640492</c:v>
                </c:pt>
                <c:pt idx="223">
                  <c:v>101.00941088312432</c:v>
                </c:pt>
                <c:pt idx="224">
                  <c:v>100.81546294051529</c:v>
                </c:pt>
                <c:pt idx="225">
                  <c:v>100.80003526326229</c:v>
                </c:pt>
                <c:pt idx="226">
                  <c:v>100.82868666387499</c:v>
                </c:pt>
                <c:pt idx="227">
                  <c:v>100.85733806448769</c:v>
                </c:pt>
                <c:pt idx="228">
                  <c:v>100.85733806448769</c:v>
                </c:pt>
                <c:pt idx="229">
                  <c:v>100.85733806448769</c:v>
                </c:pt>
                <c:pt idx="230">
                  <c:v>100.53335684217485</c:v>
                </c:pt>
                <c:pt idx="231">
                  <c:v>99.702466224406578</c:v>
                </c:pt>
                <c:pt idx="232">
                  <c:v>99.369669186520611</c:v>
                </c:pt>
                <c:pt idx="233">
                  <c:v>99.475458973398261</c:v>
                </c:pt>
                <c:pt idx="234">
                  <c:v>99.305754523615363</c:v>
                </c:pt>
                <c:pt idx="235">
                  <c:v>99.305754523615363</c:v>
                </c:pt>
                <c:pt idx="236">
                  <c:v>99.305754523615363</c:v>
                </c:pt>
                <c:pt idx="237">
                  <c:v>99.695854362726735</c:v>
                </c:pt>
                <c:pt idx="238">
                  <c:v>99.411544310493028</c:v>
                </c:pt>
                <c:pt idx="239">
                  <c:v>99.576840852489354</c:v>
                </c:pt>
                <c:pt idx="240">
                  <c:v>100.16750049588963</c:v>
                </c:pt>
                <c:pt idx="241">
                  <c:v>100.12342141802395</c:v>
                </c:pt>
                <c:pt idx="242">
                  <c:v>100.12342141802395</c:v>
                </c:pt>
                <c:pt idx="243">
                  <c:v>100.12342141802395</c:v>
                </c:pt>
                <c:pt idx="244">
                  <c:v>100.31075749895312</c:v>
                </c:pt>
                <c:pt idx="245">
                  <c:v>100.23582306658145</c:v>
                </c:pt>
                <c:pt idx="246">
                  <c:v>100.63253476737266</c:v>
                </c:pt>
                <c:pt idx="247">
                  <c:v>100.76477200096974</c:v>
                </c:pt>
                <c:pt idx="248">
                  <c:v>101.20335882573337</c:v>
                </c:pt>
                <c:pt idx="249">
                  <c:v>101.20335882573337</c:v>
                </c:pt>
                <c:pt idx="250">
                  <c:v>101.20335882573337</c:v>
                </c:pt>
                <c:pt idx="251">
                  <c:v>101.50970841689993</c:v>
                </c:pt>
                <c:pt idx="252">
                  <c:v>101.83589359310604</c:v>
                </c:pt>
                <c:pt idx="253">
                  <c:v>101.86674894761201</c:v>
                </c:pt>
                <c:pt idx="254">
                  <c:v>101.64635355828355</c:v>
                </c:pt>
                <c:pt idx="255">
                  <c:v>101.5251360941529</c:v>
                </c:pt>
                <c:pt idx="256">
                  <c:v>101.5251360941529</c:v>
                </c:pt>
                <c:pt idx="257">
                  <c:v>101.5251360941529</c:v>
                </c:pt>
                <c:pt idx="258">
                  <c:v>101.33339210543717</c:v>
                </c:pt>
                <c:pt idx="259">
                  <c:v>102.16207876931213</c:v>
                </c:pt>
                <c:pt idx="260">
                  <c:v>102.12020364533973</c:v>
                </c:pt>
                <c:pt idx="261">
                  <c:v>101.59125471095143</c:v>
                </c:pt>
                <c:pt idx="262">
                  <c:v>100.92566063517951</c:v>
                </c:pt>
                <c:pt idx="263">
                  <c:v>100.92566063517951</c:v>
                </c:pt>
                <c:pt idx="264">
                  <c:v>100.92566063517951</c:v>
                </c:pt>
                <c:pt idx="265">
                  <c:v>101.25845767306546</c:v>
                </c:pt>
                <c:pt idx="266">
                  <c:v>101.49207678575365</c:v>
                </c:pt>
                <c:pt idx="267">
                  <c:v>100.24463888215458</c:v>
                </c:pt>
                <c:pt idx="268">
                  <c:v>101.01602274480419</c:v>
                </c:pt>
                <c:pt idx="269">
                  <c:v>101.4964846935402</c:v>
                </c:pt>
                <c:pt idx="270">
                  <c:v>101.4964846935402</c:v>
                </c:pt>
                <c:pt idx="271">
                  <c:v>101.4964846935402</c:v>
                </c:pt>
                <c:pt idx="272">
                  <c:v>101.1835232406938</c:v>
                </c:pt>
                <c:pt idx="273">
                  <c:v>100.97635157472504</c:v>
                </c:pt>
                <c:pt idx="274">
                  <c:v>100.82207480219513</c:v>
                </c:pt>
                <c:pt idx="275">
                  <c:v>100.69204152249134</c:v>
                </c:pt>
                <c:pt idx="276">
                  <c:v>100.70526524585107</c:v>
                </c:pt>
                <c:pt idx="277">
                  <c:v>100.70526524585107</c:v>
                </c:pt>
                <c:pt idx="278">
                  <c:v>100.70526524585107</c:v>
                </c:pt>
                <c:pt idx="279">
                  <c:v>101.11960857778854</c:v>
                </c:pt>
                <c:pt idx="280">
                  <c:v>100.89260132678024</c:v>
                </c:pt>
                <c:pt idx="281">
                  <c:v>100.97635157472504</c:v>
                </c:pt>
                <c:pt idx="282">
                  <c:v>101.45901747735438</c:v>
                </c:pt>
                <c:pt idx="283">
                  <c:v>101.44138584620808</c:v>
                </c:pt>
                <c:pt idx="284">
                  <c:v>101.44138584620808</c:v>
                </c:pt>
                <c:pt idx="285">
                  <c:v>101.44138584620808</c:v>
                </c:pt>
                <c:pt idx="286">
                  <c:v>101.68602472836268</c:v>
                </c:pt>
                <c:pt idx="287">
                  <c:v>101.57803098759175</c:v>
                </c:pt>
                <c:pt idx="288">
                  <c:v>101.84691336257245</c:v>
                </c:pt>
                <c:pt idx="289">
                  <c:v>101.94829524166356</c:v>
                </c:pt>
                <c:pt idx="290">
                  <c:v>101.61329424988431</c:v>
                </c:pt>
                <c:pt idx="291">
                  <c:v>101.61329424988431</c:v>
                </c:pt>
                <c:pt idx="292">
                  <c:v>101.61329424988431</c:v>
                </c:pt>
                <c:pt idx="293">
                  <c:v>101.7389196218015</c:v>
                </c:pt>
                <c:pt idx="294">
                  <c:v>101.5692151720186</c:v>
                </c:pt>
                <c:pt idx="295">
                  <c:v>100.98516739029819</c:v>
                </c:pt>
                <c:pt idx="296">
                  <c:v>101.43257003063495</c:v>
                </c:pt>
                <c:pt idx="297">
                  <c:v>101.33118815154386</c:v>
                </c:pt>
                <c:pt idx="298">
                  <c:v>101.33118815154386</c:v>
                </c:pt>
                <c:pt idx="299">
                  <c:v>101.33118815154386</c:v>
                </c:pt>
                <c:pt idx="300">
                  <c:v>101.22760231855949</c:v>
                </c:pt>
                <c:pt idx="301">
                  <c:v>101.19233905626695</c:v>
                </c:pt>
                <c:pt idx="302">
                  <c:v>101.58905075705815</c:v>
                </c:pt>
                <c:pt idx="303">
                  <c:v>102.16648667709872</c:v>
                </c:pt>
                <c:pt idx="304">
                  <c:v>102.27668437176294</c:v>
                </c:pt>
                <c:pt idx="305">
                  <c:v>102.27668437176294</c:v>
                </c:pt>
                <c:pt idx="306">
                  <c:v>102.27668437176294</c:v>
                </c:pt>
                <c:pt idx="307">
                  <c:v>102.26566460229654</c:v>
                </c:pt>
                <c:pt idx="308">
                  <c:v>102.60727745575562</c:v>
                </c:pt>
                <c:pt idx="309">
                  <c:v>102.73069887377957</c:v>
                </c:pt>
                <c:pt idx="310">
                  <c:v>102.93125867806845</c:v>
                </c:pt>
                <c:pt idx="311">
                  <c:v>103.64974764727921</c:v>
                </c:pt>
                <c:pt idx="312">
                  <c:v>103.64974764727921</c:v>
                </c:pt>
                <c:pt idx="313">
                  <c:v>103.64974764727921</c:v>
                </c:pt>
                <c:pt idx="314">
                  <c:v>103.70043858682476</c:v>
                </c:pt>
                <c:pt idx="315">
                  <c:v>103.64533973949266</c:v>
                </c:pt>
                <c:pt idx="316">
                  <c:v>103.12300266678423</c:v>
                </c:pt>
                <c:pt idx="317">
                  <c:v>103.0789235889185</c:v>
                </c:pt>
                <c:pt idx="318">
                  <c:v>103.81945209706214</c:v>
                </c:pt>
                <c:pt idx="319">
                  <c:v>103.81945209706214</c:v>
                </c:pt>
                <c:pt idx="320">
                  <c:v>103.81945209706214</c:v>
                </c:pt>
                <c:pt idx="321">
                  <c:v>103.25744385427458</c:v>
                </c:pt>
                <c:pt idx="322">
                  <c:v>102.66017234919447</c:v>
                </c:pt>
                <c:pt idx="323">
                  <c:v>101.88878848654485</c:v>
                </c:pt>
                <c:pt idx="324">
                  <c:v>101.34881978269013</c:v>
                </c:pt>
                <c:pt idx="325">
                  <c:v>101.33559605933044</c:v>
                </c:pt>
                <c:pt idx="326">
                  <c:v>101.33559605933044</c:v>
                </c:pt>
                <c:pt idx="327">
                  <c:v>101.33559605933044</c:v>
                </c:pt>
                <c:pt idx="328">
                  <c:v>101.26506953474532</c:v>
                </c:pt>
                <c:pt idx="329">
                  <c:v>100.99618715976462</c:v>
                </c:pt>
                <c:pt idx="330">
                  <c:v>101.64194565049698</c:v>
                </c:pt>
                <c:pt idx="331">
                  <c:v>101.44138584620808</c:v>
                </c:pt>
                <c:pt idx="332">
                  <c:v>101.80283428470678</c:v>
                </c:pt>
                <c:pt idx="333">
                  <c:v>101.80283428470678</c:v>
                </c:pt>
                <c:pt idx="334">
                  <c:v>101.80283428470678</c:v>
                </c:pt>
                <c:pt idx="335">
                  <c:v>102.21717761664426</c:v>
                </c:pt>
                <c:pt idx="336">
                  <c:v>101.9945782734225</c:v>
                </c:pt>
                <c:pt idx="337">
                  <c:v>101.89760430211801</c:v>
                </c:pt>
                <c:pt idx="338">
                  <c:v>102.09816410640691</c:v>
                </c:pt>
                <c:pt idx="339">
                  <c:v>102.09155224472704</c:v>
                </c:pt>
                <c:pt idx="340">
                  <c:v>102.09155224472704</c:v>
                </c:pt>
                <c:pt idx="341">
                  <c:v>102.09155224472704</c:v>
                </c:pt>
                <c:pt idx="342">
                  <c:v>102.06510479800764</c:v>
                </c:pt>
                <c:pt idx="343">
                  <c:v>101.86013708593215</c:v>
                </c:pt>
                <c:pt idx="344">
                  <c:v>102.12901946091286</c:v>
                </c:pt>
                <c:pt idx="345">
                  <c:v>102.07612456747404</c:v>
                </c:pt>
                <c:pt idx="346">
                  <c:v>101.84030150089261</c:v>
                </c:pt>
                <c:pt idx="347">
                  <c:v>101.84030150089261</c:v>
                </c:pt>
                <c:pt idx="348">
                  <c:v>101.84030150089261</c:v>
                </c:pt>
                <c:pt idx="349">
                  <c:v>101.43918189231481</c:v>
                </c:pt>
                <c:pt idx="350">
                  <c:v>101.37747118330284</c:v>
                </c:pt>
                <c:pt idx="351">
                  <c:v>101.28710907367817</c:v>
                </c:pt>
                <c:pt idx="352">
                  <c:v>101.2981288431446</c:v>
                </c:pt>
                <c:pt idx="353">
                  <c:v>101.09316113106914</c:v>
                </c:pt>
                <c:pt idx="354">
                  <c:v>101.09316113106914</c:v>
                </c:pt>
                <c:pt idx="355">
                  <c:v>101.09316113106914</c:v>
                </c:pt>
                <c:pt idx="356">
                  <c:v>100.91904877349964</c:v>
                </c:pt>
                <c:pt idx="357">
                  <c:v>100.6126991823331</c:v>
                </c:pt>
                <c:pt idx="358">
                  <c:v>100.83529852555483</c:v>
                </c:pt>
                <c:pt idx="359">
                  <c:v>100.39450774689793</c:v>
                </c:pt>
                <c:pt idx="360">
                  <c:v>100.2005598042889</c:v>
                </c:pt>
                <c:pt idx="361">
                  <c:v>100.2005598042889</c:v>
                </c:pt>
                <c:pt idx="362">
                  <c:v>100.2005598042889</c:v>
                </c:pt>
                <c:pt idx="363">
                  <c:v>100.08375024794481</c:v>
                </c:pt>
                <c:pt idx="364">
                  <c:v>100.015427677253</c:v>
                </c:pt>
                <c:pt idx="365">
                  <c:v>99.750953210058839</c:v>
                </c:pt>
                <c:pt idx="366">
                  <c:v>100.08815815573138</c:v>
                </c:pt>
              </c:numCache>
            </c:numRef>
          </c:val>
          <c:smooth val="0"/>
          <c:extLst>
            <c:ext xmlns:c16="http://schemas.microsoft.com/office/drawing/2014/chart" uri="{C3380CC4-5D6E-409C-BE32-E72D297353CC}">
              <c16:uniqueId val="{00000002-EE55-45A6-A4BC-6747CB85D179}"/>
            </c:ext>
          </c:extLst>
        </c:ser>
        <c:ser>
          <c:idx val="3"/>
          <c:order val="3"/>
          <c:tx>
            <c:v>EUR-RON</c:v>
          </c:tx>
          <c:spPr>
            <a:ln w="25400">
              <a:solidFill>
                <a:srgbClr val="82827D"/>
              </a:solidFill>
            </a:ln>
          </c:spPr>
          <c:marker>
            <c:symbol val="none"/>
          </c:marker>
          <c:cat>
            <c:numRef>
              <c:f>BB!$A$1:$A$367</c:f>
              <c:numCache>
                <c:formatCode>m/d/yyyy</c:formatCode>
                <c:ptCount val="367"/>
                <c:pt idx="0">
                  <c:v>44208</c:v>
                </c:pt>
                <c:pt idx="1">
                  <c:v>44209</c:v>
                </c:pt>
                <c:pt idx="2">
                  <c:v>44210</c:v>
                </c:pt>
                <c:pt idx="3">
                  <c:v>44211</c:v>
                </c:pt>
                <c:pt idx="4">
                  <c:v>44212</c:v>
                </c:pt>
                <c:pt idx="5">
                  <c:v>44213</c:v>
                </c:pt>
                <c:pt idx="6">
                  <c:v>44214</c:v>
                </c:pt>
                <c:pt idx="7">
                  <c:v>44215</c:v>
                </c:pt>
                <c:pt idx="8">
                  <c:v>44216</c:v>
                </c:pt>
                <c:pt idx="9">
                  <c:v>44217</c:v>
                </c:pt>
                <c:pt idx="10">
                  <c:v>44218</c:v>
                </c:pt>
                <c:pt idx="11">
                  <c:v>44219</c:v>
                </c:pt>
                <c:pt idx="12">
                  <c:v>44220</c:v>
                </c:pt>
                <c:pt idx="13">
                  <c:v>44221</c:v>
                </c:pt>
                <c:pt idx="14">
                  <c:v>44222</c:v>
                </c:pt>
                <c:pt idx="15">
                  <c:v>44223</c:v>
                </c:pt>
                <c:pt idx="16">
                  <c:v>44224</c:v>
                </c:pt>
                <c:pt idx="17">
                  <c:v>44225</c:v>
                </c:pt>
                <c:pt idx="18">
                  <c:v>44226</c:v>
                </c:pt>
                <c:pt idx="19">
                  <c:v>44227</c:v>
                </c:pt>
                <c:pt idx="20">
                  <c:v>44228</c:v>
                </c:pt>
                <c:pt idx="21">
                  <c:v>44229</c:v>
                </c:pt>
                <c:pt idx="22">
                  <c:v>44230</c:v>
                </c:pt>
                <c:pt idx="23">
                  <c:v>44231</c:v>
                </c:pt>
                <c:pt idx="24">
                  <c:v>44232</c:v>
                </c:pt>
                <c:pt idx="25">
                  <c:v>44233</c:v>
                </c:pt>
                <c:pt idx="26">
                  <c:v>44234</c:v>
                </c:pt>
                <c:pt idx="27">
                  <c:v>44235</c:v>
                </c:pt>
                <c:pt idx="28">
                  <c:v>44236</c:v>
                </c:pt>
                <c:pt idx="29">
                  <c:v>44237</c:v>
                </c:pt>
                <c:pt idx="30">
                  <c:v>44238</c:v>
                </c:pt>
                <c:pt idx="31">
                  <c:v>44239</c:v>
                </c:pt>
                <c:pt idx="32">
                  <c:v>44240</c:v>
                </c:pt>
                <c:pt idx="33">
                  <c:v>44241</c:v>
                </c:pt>
                <c:pt idx="34">
                  <c:v>44242</c:v>
                </c:pt>
                <c:pt idx="35">
                  <c:v>44243</c:v>
                </c:pt>
                <c:pt idx="36">
                  <c:v>44244</c:v>
                </c:pt>
                <c:pt idx="37">
                  <c:v>44245</c:v>
                </c:pt>
                <c:pt idx="38">
                  <c:v>44246</c:v>
                </c:pt>
                <c:pt idx="39">
                  <c:v>44247</c:v>
                </c:pt>
                <c:pt idx="40">
                  <c:v>44248</c:v>
                </c:pt>
                <c:pt idx="41">
                  <c:v>44249</c:v>
                </c:pt>
                <c:pt idx="42">
                  <c:v>44250</c:v>
                </c:pt>
                <c:pt idx="43">
                  <c:v>44251</c:v>
                </c:pt>
                <c:pt idx="44">
                  <c:v>44252</c:v>
                </c:pt>
                <c:pt idx="45">
                  <c:v>44253</c:v>
                </c:pt>
                <c:pt idx="46">
                  <c:v>44254</c:v>
                </c:pt>
                <c:pt idx="47">
                  <c:v>44255</c:v>
                </c:pt>
                <c:pt idx="48">
                  <c:v>44256</c:v>
                </c:pt>
                <c:pt idx="49">
                  <c:v>44257</c:v>
                </c:pt>
                <c:pt idx="50">
                  <c:v>44258</c:v>
                </c:pt>
                <c:pt idx="51">
                  <c:v>44259</c:v>
                </c:pt>
                <c:pt idx="52">
                  <c:v>44260</c:v>
                </c:pt>
                <c:pt idx="53">
                  <c:v>44261</c:v>
                </c:pt>
                <c:pt idx="54">
                  <c:v>44262</c:v>
                </c:pt>
                <c:pt idx="55">
                  <c:v>44263</c:v>
                </c:pt>
                <c:pt idx="56">
                  <c:v>44264</c:v>
                </c:pt>
                <c:pt idx="57">
                  <c:v>44265</c:v>
                </c:pt>
                <c:pt idx="58">
                  <c:v>44266</c:v>
                </c:pt>
                <c:pt idx="59">
                  <c:v>44267</c:v>
                </c:pt>
                <c:pt idx="60">
                  <c:v>44268</c:v>
                </c:pt>
                <c:pt idx="61">
                  <c:v>44269</c:v>
                </c:pt>
                <c:pt idx="62">
                  <c:v>44270</c:v>
                </c:pt>
                <c:pt idx="63">
                  <c:v>44271</c:v>
                </c:pt>
                <c:pt idx="64">
                  <c:v>44272</c:v>
                </c:pt>
                <c:pt idx="65">
                  <c:v>44273</c:v>
                </c:pt>
                <c:pt idx="66">
                  <c:v>44274</c:v>
                </c:pt>
                <c:pt idx="67">
                  <c:v>44275</c:v>
                </c:pt>
                <c:pt idx="68">
                  <c:v>44276</c:v>
                </c:pt>
                <c:pt idx="69">
                  <c:v>44277</c:v>
                </c:pt>
                <c:pt idx="70">
                  <c:v>44278</c:v>
                </c:pt>
                <c:pt idx="71">
                  <c:v>44279</c:v>
                </c:pt>
                <c:pt idx="72">
                  <c:v>44280</c:v>
                </c:pt>
                <c:pt idx="73">
                  <c:v>44281</c:v>
                </c:pt>
                <c:pt idx="74">
                  <c:v>44282</c:v>
                </c:pt>
                <c:pt idx="75">
                  <c:v>44283</c:v>
                </c:pt>
                <c:pt idx="76">
                  <c:v>44284</c:v>
                </c:pt>
                <c:pt idx="77">
                  <c:v>44285</c:v>
                </c:pt>
                <c:pt idx="78">
                  <c:v>44286</c:v>
                </c:pt>
                <c:pt idx="79">
                  <c:v>44287</c:v>
                </c:pt>
                <c:pt idx="80">
                  <c:v>44288</c:v>
                </c:pt>
                <c:pt idx="81">
                  <c:v>44289</c:v>
                </c:pt>
                <c:pt idx="82">
                  <c:v>44290</c:v>
                </c:pt>
                <c:pt idx="83">
                  <c:v>44291</c:v>
                </c:pt>
                <c:pt idx="84">
                  <c:v>44292</c:v>
                </c:pt>
                <c:pt idx="85">
                  <c:v>44293</c:v>
                </c:pt>
                <c:pt idx="86">
                  <c:v>44294</c:v>
                </c:pt>
                <c:pt idx="87">
                  <c:v>44295</c:v>
                </c:pt>
                <c:pt idx="88">
                  <c:v>44296</c:v>
                </c:pt>
                <c:pt idx="89">
                  <c:v>44297</c:v>
                </c:pt>
                <c:pt idx="90">
                  <c:v>44298</c:v>
                </c:pt>
                <c:pt idx="91">
                  <c:v>44299</c:v>
                </c:pt>
                <c:pt idx="92">
                  <c:v>44300</c:v>
                </c:pt>
                <c:pt idx="93">
                  <c:v>44301</c:v>
                </c:pt>
                <c:pt idx="94">
                  <c:v>44302</c:v>
                </c:pt>
                <c:pt idx="95">
                  <c:v>44303</c:v>
                </c:pt>
                <c:pt idx="96">
                  <c:v>44304</c:v>
                </c:pt>
                <c:pt idx="97">
                  <c:v>44305</c:v>
                </c:pt>
                <c:pt idx="98">
                  <c:v>44306</c:v>
                </c:pt>
                <c:pt idx="99">
                  <c:v>44307</c:v>
                </c:pt>
                <c:pt idx="100">
                  <c:v>44308</c:v>
                </c:pt>
                <c:pt idx="101">
                  <c:v>44309</c:v>
                </c:pt>
                <c:pt idx="102">
                  <c:v>44310</c:v>
                </c:pt>
                <c:pt idx="103">
                  <c:v>44311</c:v>
                </c:pt>
                <c:pt idx="104">
                  <c:v>44312</c:v>
                </c:pt>
                <c:pt idx="105">
                  <c:v>44313</c:v>
                </c:pt>
                <c:pt idx="106">
                  <c:v>44314</c:v>
                </c:pt>
                <c:pt idx="107">
                  <c:v>44315</c:v>
                </c:pt>
                <c:pt idx="108">
                  <c:v>44316</c:v>
                </c:pt>
                <c:pt idx="109">
                  <c:v>44317</c:v>
                </c:pt>
                <c:pt idx="110">
                  <c:v>44318</c:v>
                </c:pt>
                <c:pt idx="111">
                  <c:v>44319</c:v>
                </c:pt>
                <c:pt idx="112">
                  <c:v>44320</c:v>
                </c:pt>
                <c:pt idx="113">
                  <c:v>44321</c:v>
                </c:pt>
                <c:pt idx="114">
                  <c:v>44322</c:v>
                </c:pt>
                <c:pt idx="115">
                  <c:v>44323</c:v>
                </c:pt>
                <c:pt idx="116">
                  <c:v>44324</c:v>
                </c:pt>
                <c:pt idx="117">
                  <c:v>44325</c:v>
                </c:pt>
                <c:pt idx="118">
                  <c:v>44326</c:v>
                </c:pt>
                <c:pt idx="119">
                  <c:v>44327</c:v>
                </c:pt>
                <c:pt idx="120">
                  <c:v>44328</c:v>
                </c:pt>
                <c:pt idx="121">
                  <c:v>44329</c:v>
                </c:pt>
                <c:pt idx="122">
                  <c:v>44330</c:v>
                </c:pt>
                <c:pt idx="123">
                  <c:v>44331</c:v>
                </c:pt>
                <c:pt idx="124">
                  <c:v>44332</c:v>
                </c:pt>
                <c:pt idx="125">
                  <c:v>44333</c:v>
                </c:pt>
                <c:pt idx="126">
                  <c:v>44334</c:v>
                </c:pt>
                <c:pt idx="127">
                  <c:v>44335</c:v>
                </c:pt>
                <c:pt idx="128">
                  <c:v>44336</c:v>
                </c:pt>
                <c:pt idx="129">
                  <c:v>44337</c:v>
                </c:pt>
                <c:pt idx="130">
                  <c:v>44338</c:v>
                </c:pt>
                <c:pt idx="131">
                  <c:v>44339</c:v>
                </c:pt>
                <c:pt idx="132">
                  <c:v>44340</c:v>
                </c:pt>
                <c:pt idx="133">
                  <c:v>44341</c:v>
                </c:pt>
                <c:pt idx="134">
                  <c:v>44342</c:v>
                </c:pt>
                <c:pt idx="135">
                  <c:v>44343</c:v>
                </c:pt>
                <c:pt idx="136">
                  <c:v>44344</c:v>
                </c:pt>
                <c:pt idx="137">
                  <c:v>44345</c:v>
                </c:pt>
                <c:pt idx="138">
                  <c:v>44346</c:v>
                </c:pt>
                <c:pt idx="139">
                  <c:v>44347</c:v>
                </c:pt>
                <c:pt idx="140">
                  <c:v>44348</c:v>
                </c:pt>
                <c:pt idx="141">
                  <c:v>44349</c:v>
                </c:pt>
                <c:pt idx="142">
                  <c:v>44350</c:v>
                </c:pt>
                <c:pt idx="143">
                  <c:v>44351</c:v>
                </c:pt>
                <c:pt idx="144">
                  <c:v>44352</c:v>
                </c:pt>
                <c:pt idx="145">
                  <c:v>44353</c:v>
                </c:pt>
                <c:pt idx="146">
                  <c:v>44354</c:v>
                </c:pt>
                <c:pt idx="147">
                  <c:v>44355</c:v>
                </c:pt>
                <c:pt idx="148">
                  <c:v>44356</c:v>
                </c:pt>
                <c:pt idx="149">
                  <c:v>44357</c:v>
                </c:pt>
                <c:pt idx="150">
                  <c:v>44358</c:v>
                </c:pt>
                <c:pt idx="151">
                  <c:v>44359</c:v>
                </c:pt>
                <c:pt idx="152">
                  <c:v>44360</c:v>
                </c:pt>
                <c:pt idx="153">
                  <c:v>44361</c:v>
                </c:pt>
                <c:pt idx="154">
                  <c:v>44362</c:v>
                </c:pt>
                <c:pt idx="155">
                  <c:v>44363</c:v>
                </c:pt>
                <c:pt idx="156">
                  <c:v>44364</c:v>
                </c:pt>
                <c:pt idx="157">
                  <c:v>44365</c:v>
                </c:pt>
                <c:pt idx="158">
                  <c:v>44366</c:v>
                </c:pt>
                <c:pt idx="159">
                  <c:v>44367</c:v>
                </c:pt>
                <c:pt idx="160">
                  <c:v>44368</c:v>
                </c:pt>
                <c:pt idx="161">
                  <c:v>44369</c:v>
                </c:pt>
                <c:pt idx="162">
                  <c:v>44370</c:v>
                </c:pt>
                <c:pt idx="163">
                  <c:v>44371</c:v>
                </c:pt>
                <c:pt idx="164">
                  <c:v>44372</c:v>
                </c:pt>
                <c:pt idx="165">
                  <c:v>44373</c:v>
                </c:pt>
                <c:pt idx="166">
                  <c:v>44374</c:v>
                </c:pt>
                <c:pt idx="167">
                  <c:v>44375</c:v>
                </c:pt>
                <c:pt idx="168">
                  <c:v>44376</c:v>
                </c:pt>
                <c:pt idx="169">
                  <c:v>44377</c:v>
                </c:pt>
                <c:pt idx="170">
                  <c:v>44378</c:v>
                </c:pt>
                <c:pt idx="171">
                  <c:v>44379</c:v>
                </c:pt>
                <c:pt idx="172">
                  <c:v>44380</c:v>
                </c:pt>
                <c:pt idx="173">
                  <c:v>44381</c:v>
                </c:pt>
                <c:pt idx="174">
                  <c:v>44382</c:v>
                </c:pt>
                <c:pt idx="175">
                  <c:v>44383</c:v>
                </c:pt>
                <c:pt idx="176">
                  <c:v>44384</c:v>
                </c:pt>
                <c:pt idx="177">
                  <c:v>44385</c:v>
                </c:pt>
                <c:pt idx="178">
                  <c:v>44386</c:v>
                </c:pt>
                <c:pt idx="179">
                  <c:v>44387</c:v>
                </c:pt>
                <c:pt idx="180">
                  <c:v>44388</c:v>
                </c:pt>
                <c:pt idx="181">
                  <c:v>44389</c:v>
                </c:pt>
                <c:pt idx="182">
                  <c:v>44390</c:v>
                </c:pt>
                <c:pt idx="183">
                  <c:v>44391</c:v>
                </c:pt>
                <c:pt idx="184">
                  <c:v>44392</c:v>
                </c:pt>
                <c:pt idx="185">
                  <c:v>44393</c:v>
                </c:pt>
                <c:pt idx="186">
                  <c:v>44394</c:v>
                </c:pt>
                <c:pt idx="187">
                  <c:v>44395</c:v>
                </c:pt>
                <c:pt idx="188">
                  <c:v>44396</c:v>
                </c:pt>
                <c:pt idx="189">
                  <c:v>44397</c:v>
                </c:pt>
                <c:pt idx="190">
                  <c:v>44398</c:v>
                </c:pt>
                <c:pt idx="191">
                  <c:v>44399</c:v>
                </c:pt>
                <c:pt idx="192">
                  <c:v>44400</c:v>
                </c:pt>
                <c:pt idx="193">
                  <c:v>44401</c:v>
                </c:pt>
                <c:pt idx="194">
                  <c:v>44402</c:v>
                </c:pt>
                <c:pt idx="195">
                  <c:v>44403</c:v>
                </c:pt>
                <c:pt idx="196">
                  <c:v>44404</c:v>
                </c:pt>
                <c:pt idx="197">
                  <c:v>44405</c:v>
                </c:pt>
                <c:pt idx="198">
                  <c:v>44406</c:v>
                </c:pt>
                <c:pt idx="199">
                  <c:v>44407</c:v>
                </c:pt>
                <c:pt idx="200">
                  <c:v>44408</c:v>
                </c:pt>
                <c:pt idx="201">
                  <c:v>44409</c:v>
                </c:pt>
                <c:pt idx="202">
                  <c:v>44410</c:v>
                </c:pt>
                <c:pt idx="203">
                  <c:v>44411</c:v>
                </c:pt>
                <c:pt idx="204">
                  <c:v>44412</c:v>
                </c:pt>
                <c:pt idx="205">
                  <c:v>44413</c:v>
                </c:pt>
                <c:pt idx="206">
                  <c:v>44414</c:v>
                </c:pt>
                <c:pt idx="207">
                  <c:v>44415</c:v>
                </c:pt>
                <c:pt idx="208">
                  <c:v>44416</c:v>
                </c:pt>
                <c:pt idx="209">
                  <c:v>44417</c:v>
                </c:pt>
                <c:pt idx="210">
                  <c:v>44418</c:v>
                </c:pt>
                <c:pt idx="211">
                  <c:v>44419</c:v>
                </c:pt>
                <c:pt idx="212">
                  <c:v>44420</c:v>
                </c:pt>
                <c:pt idx="213">
                  <c:v>44421</c:v>
                </c:pt>
                <c:pt idx="214">
                  <c:v>44422</c:v>
                </c:pt>
                <c:pt idx="215">
                  <c:v>44423</c:v>
                </c:pt>
                <c:pt idx="216">
                  <c:v>44424</c:v>
                </c:pt>
                <c:pt idx="217">
                  <c:v>44425</c:v>
                </c:pt>
                <c:pt idx="218">
                  <c:v>44426</c:v>
                </c:pt>
                <c:pt idx="219">
                  <c:v>44427</c:v>
                </c:pt>
                <c:pt idx="220">
                  <c:v>44428</c:v>
                </c:pt>
                <c:pt idx="221">
                  <c:v>44429</c:v>
                </c:pt>
                <c:pt idx="222">
                  <c:v>44430</c:v>
                </c:pt>
                <c:pt idx="223">
                  <c:v>44431</c:v>
                </c:pt>
                <c:pt idx="224">
                  <c:v>44432</c:v>
                </c:pt>
                <c:pt idx="225">
                  <c:v>44433</c:v>
                </c:pt>
                <c:pt idx="226">
                  <c:v>44434</c:v>
                </c:pt>
                <c:pt idx="227">
                  <c:v>44435</c:v>
                </c:pt>
                <c:pt idx="228">
                  <c:v>44436</c:v>
                </c:pt>
                <c:pt idx="229">
                  <c:v>44437</c:v>
                </c:pt>
                <c:pt idx="230">
                  <c:v>44438</c:v>
                </c:pt>
                <c:pt idx="231">
                  <c:v>44439</c:v>
                </c:pt>
                <c:pt idx="232">
                  <c:v>44440</c:v>
                </c:pt>
                <c:pt idx="233">
                  <c:v>44441</c:v>
                </c:pt>
                <c:pt idx="234">
                  <c:v>44442</c:v>
                </c:pt>
                <c:pt idx="235">
                  <c:v>44443</c:v>
                </c:pt>
                <c:pt idx="236">
                  <c:v>44444</c:v>
                </c:pt>
                <c:pt idx="237">
                  <c:v>44445</c:v>
                </c:pt>
                <c:pt idx="238">
                  <c:v>44446</c:v>
                </c:pt>
                <c:pt idx="239">
                  <c:v>44447</c:v>
                </c:pt>
                <c:pt idx="240">
                  <c:v>44448</c:v>
                </c:pt>
                <c:pt idx="241">
                  <c:v>44449</c:v>
                </c:pt>
                <c:pt idx="242">
                  <c:v>44450</c:v>
                </c:pt>
                <c:pt idx="243">
                  <c:v>44451</c:v>
                </c:pt>
                <c:pt idx="244">
                  <c:v>44452</c:v>
                </c:pt>
                <c:pt idx="245">
                  <c:v>44453</c:v>
                </c:pt>
                <c:pt idx="246">
                  <c:v>44454</c:v>
                </c:pt>
                <c:pt idx="247">
                  <c:v>44455</c:v>
                </c:pt>
                <c:pt idx="248">
                  <c:v>44456</c:v>
                </c:pt>
                <c:pt idx="249">
                  <c:v>44457</c:v>
                </c:pt>
                <c:pt idx="250">
                  <c:v>44458</c:v>
                </c:pt>
                <c:pt idx="251">
                  <c:v>44459</c:v>
                </c:pt>
                <c:pt idx="252">
                  <c:v>44460</c:v>
                </c:pt>
                <c:pt idx="253">
                  <c:v>44461</c:v>
                </c:pt>
                <c:pt idx="254">
                  <c:v>44462</c:v>
                </c:pt>
                <c:pt idx="255">
                  <c:v>44463</c:v>
                </c:pt>
                <c:pt idx="256">
                  <c:v>44464</c:v>
                </c:pt>
                <c:pt idx="257">
                  <c:v>44465</c:v>
                </c:pt>
                <c:pt idx="258">
                  <c:v>44466</c:v>
                </c:pt>
                <c:pt idx="259">
                  <c:v>44467</c:v>
                </c:pt>
                <c:pt idx="260">
                  <c:v>44468</c:v>
                </c:pt>
                <c:pt idx="261">
                  <c:v>44469</c:v>
                </c:pt>
                <c:pt idx="262">
                  <c:v>44470</c:v>
                </c:pt>
                <c:pt idx="263">
                  <c:v>44471</c:v>
                </c:pt>
                <c:pt idx="264">
                  <c:v>44472</c:v>
                </c:pt>
                <c:pt idx="265">
                  <c:v>44473</c:v>
                </c:pt>
                <c:pt idx="266">
                  <c:v>44474</c:v>
                </c:pt>
                <c:pt idx="267">
                  <c:v>44475</c:v>
                </c:pt>
                <c:pt idx="268">
                  <c:v>44476</c:v>
                </c:pt>
                <c:pt idx="269">
                  <c:v>44477</c:v>
                </c:pt>
                <c:pt idx="270">
                  <c:v>44478</c:v>
                </c:pt>
                <c:pt idx="271">
                  <c:v>44479</c:v>
                </c:pt>
                <c:pt idx="272">
                  <c:v>44480</c:v>
                </c:pt>
                <c:pt idx="273">
                  <c:v>44481</c:v>
                </c:pt>
                <c:pt idx="274">
                  <c:v>44482</c:v>
                </c:pt>
                <c:pt idx="275">
                  <c:v>44483</c:v>
                </c:pt>
                <c:pt idx="276">
                  <c:v>44484</c:v>
                </c:pt>
                <c:pt idx="277">
                  <c:v>44485</c:v>
                </c:pt>
                <c:pt idx="278">
                  <c:v>44486</c:v>
                </c:pt>
                <c:pt idx="279">
                  <c:v>44487</c:v>
                </c:pt>
                <c:pt idx="280">
                  <c:v>44488</c:v>
                </c:pt>
                <c:pt idx="281">
                  <c:v>44489</c:v>
                </c:pt>
                <c:pt idx="282">
                  <c:v>44490</c:v>
                </c:pt>
                <c:pt idx="283">
                  <c:v>44491</c:v>
                </c:pt>
                <c:pt idx="284">
                  <c:v>44492</c:v>
                </c:pt>
                <c:pt idx="285">
                  <c:v>44493</c:v>
                </c:pt>
                <c:pt idx="286">
                  <c:v>44494</c:v>
                </c:pt>
                <c:pt idx="287">
                  <c:v>44495</c:v>
                </c:pt>
                <c:pt idx="288">
                  <c:v>44496</c:v>
                </c:pt>
                <c:pt idx="289">
                  <c:v>44497</c:v>
                </c:pt>
                <c:pt idx="290">
                  <c:v>44498</c:v>
                </c:pt>
                <c:pt idx="291">
                  <c:v>44499</c:v>
                </c:pt>
                <c:pt idx="292">
                  <c:v>44500</c:v>
                </c:pt>
                <c:pt idx="293">
                  <c:v>44501</c:v>
                </c:pt>
                <c:pt idx="294">
                  <c:v>44502</c:v>
                </c:pt>
                <c:pt idx="295">
                  <c:v>44503</c:v>
                </c:pt>
                <c:pt idx="296">
                  <c:v>44504</c:v>
                </c:pt>
                <c:pt idx="297">
                  <c:v>44505</c:v>
                </c:pt>
                <c:pt idx="298">
                  <c:v>44506</c:v>
                </c:pt>
                <c:pt idx="299">
                  <c:v>44507</c:v>
                </c:pt>
                <c:pt idx="300">
                  <c:v>44508</c:v>
                </c:pt>
                <c:pt idx="301">
                  <c:v>44509</c:v>
                </c:pt>
                <c:pt idx="302">
                  <c:v>44510</c:v>
                </c:pt>
                <c:pt idx="303">
                  <c:v>44511</c:v>
                </c:pt>
                <c:pt idx="304">
                  <c:v>44512</c:v>
                </c:pt>
                <c:pt idx="305">
                  <c:v>44513</c:v>
                </c:pt>
                <c:pt idx="306">
                  <c:v>44514</c:v>
                </c:pt>
                <c:pt idx="307">
                  <c:v>44515</c:v>
                </c:pt>
                <c:pt idx="308">
                  <c:v>44516</c:v>
                </c:pt>
                <c:pt idx="309">
                  <c:v>44517</c:v>
                </c:pt>
                <c:pt idx="310">
                  <c:v>44518</c:v>
                </c:pt>
                <c:pt idx="311">
                  <c:v>44519</c:v>
                </c:pt>
                <c:pt idx="312">
                  <c:v>44520</c:v>
                </c:pt>
                <c:pt idx="313">
                  <c:v>44521</c:v>
                </c:pt>
                <c:pt idx="314">
                  <c:v>44522</c:v>
                </c:pt>
                <c:pt idx="315">
                  <c:v>44523</c:v>
                </c:pt>
                <c:pt idx="316">
                  <c:v>44524</c:v>
                </c:pt>
                <c:pt idx="317">
                  <c:v>44525</c:v>
                </c:pt>
                <c:pt idx="318">
                  <c:v>44526</c:v>
                </c:pt>
                <c:pt idx="319">
                  <c:v>44527</c:v>
                </c:pt>
                <c:pt idx="320">
                  <c:v>44528</c:v>
                </c:pt>
                <c:pt idx="321">
                  <c:v>44529</c:v>
                </c:pt>
                <c:pt idx="322">
                  <c:v>44530</c:v>
                </c:pt>
                <c:pt idx="323">
                  <c:v>44531</c:v>
                </c:pt>
                <c:pt idx="324">
                  <c:v>44532</c:v>
                </c:pt>
                <c:pt idx="325">
                  <c:v>44533</c:v>
                </c:pt>
                <c:pt idx="326">
                  <c:v>44534</c:v>
                </c:pt>
                <c:pt idx="327">
                  <c:v>44535</c:v>
                </c:pt>
                <c:pt idx="328">
                  <c:v>44536</c:v>
                </c:pt>
                <c:pt idx="329">
                  <c:v>44537</c:v>
                </c:pt>
                <c:pt idx="330">
                  <c:v>44538</c:v>
                </c:pt>
                <c:pt idx="331">
                  <c:v>44539</c:v>
                </c:pt>
                <c:pt idx="332">
                  <c:v>44540</c:v>
                </c:pt>
                <c:pt idx="333">
                  <c:v>44541</c:v>
                </c:pt>
                <c:pt idx="334">
                  <c:v>44542</c:v>
                </c:pt>
                <c:pt idx="335">
                  <c:v>44543</c:v>
                </c:pt>
                <c:pt idx="336">
                  <c:v>44544</c:v>
                </c:pt>
                <c:pt idx="337">
                  <c:v>44545</c:v>
                </c:pt>
                <c:pt idx="338">
                  <c:v>44546</c:v>
                </c:pt>
                <c:pt idx="339">
                  <c:v>44547</c:v>
                </c:pt>
                <c:pt idx="340">
                  <c:v>44548</c:v>
                </c:pt>
                <c:pt idx="341">
                  <c:v>44549</c:v>
                </c:pt>
                <c:pt idx="342">
                  <c:v>44550</c:v>
                </c:pt>
                <c:pt idx="343">
                  <c:v>44551</c:v>
                </c:pt>
                <c:pt idx="344">
                  <c:v>44552</c:v>
                </c:pt>
                <c:pt idx="345">
                  <c:v>44553</c:v>
                </c:pt>
                <c:pt idx="346">
                  <c:v>44554</c:v>
                </c:pt>
                <c:pt idx="347">
                  <c:v>44555</c:v>
                </c:pt>
                <c:pt idx="348">
                  <c:v>44556</c:v>
                </c:pt>
                <c:pt idx="349">
                  <c:v>44557</c:v>
                </c:pt>
                <c:pt idx="350">
                  <c:v>44558</c:v>
                </c:pt>
                <c:pt idx="351">
                  <c:v>44559</c:v>
                </c:pt>
                <c:pt idx="352">
                  <c:v>44560</c:v>
                </c:pt>
                <c:pt idx="353">
                  <c:v>44561</c:v>
                </c:pt>
                <c:pt idx="354">
                  <c:v>44562</c:v>
                </c:pt>
                <c:pt idx="355">
                  <c:v>44563</c:v>
                </c:pt>
                <c:pt idx="356">
                  <c:v>44564</c:v>
                </c:pt>
                <c:pt idx="357">
                  <c:v>44565</c:v>
                </c:pt>
                <c:pt idx="358">
                  <c:v>44566</c:v>
                </c:pt>
                <c:pt idx="359">
                  <c:v>44567</c:v>
                </c:pt>
                <c:pt idx="360">
                  <c:v>44568</c:v>
                </c:pt>
                <c:pt idx="361">
                  <c:v>44569</c:v>
                </c:pt>
                <c:pt idx="362">
                  <c:v>44570</c:v>
                </c:pt>
                <c:pt idx="363">
                  <c:v>44571</c:v>
                </c:pt>
                <c:pt idx="364">
                  <c:v>44572</c:v>
                </c:pt>
                <c:pt idx="365">
                  <c:v>44573</c:v>
                </c:pt>
                <c:pt idx="366">
                  <c:v>44574</c:v>
                </c:pt>
              </c:numCache>
            </c:numRef>
          </c:cat>
          <c:val>
            <c:numRef>
              <c:f>BB!$O$1:$O$367</c:f>
              <c:numCache>
                <c:formatCode>0.00</c:formatCode>
                <c:ptCount val="367"/>
                <c:pt idx="0">
                  <c:v>100.01436693142868</c:v>
                </c:pt>
                <c:pt idx="1">
                  <c:v>100</c:v>
                </c:pt>
                <c:pt idx="2">
                  <c:v>100.01436693142868</c:v>
                </c:pt>
                <c:pt idx="3">
                  <c:v>100.05131046938816</c:v>
                </c:pt>
                <c:pt idx="4">
                  <c:v>100.05131046938816</c:v>
                </c:pt>
                <c:pt idx="5">
                  <c:v>100.05131046938816</c:v>
                </c:pt>
                <c:pt idx="6">
                  <c:v>100.03899595673502</c:v>
                </c:pt>
                <c:pt idx="7">
                  <c:v>100.03489111918395</c:v>
                </c:pt>
                <c:pt idx="8">
                  <c:v>100.03489111918395</c:v>
                </c:pt>
                <c:pt idx="9">
                  <c:v>100.0451532130616</c:v>
                </c:pt>
                <c:pt idx="10">
                  <c:v>100.05952014449029</c:v>
                </c:pt>
                <c:pt idx="11">
                  <c:v>100.05952014449029</c:v>
                </c:pt>
                <c:pt idx="12">
                  <c:v>100.05952014449029</c:v>
                </c:pt>
                <c:pt idx="13">
                  <c:v>100.03899595673502</c:v>
                </c:pt>
                <c:pt idx="14">
                  <c:v>100.07183465714344</c:v>
                </c:pt>
                <c:pt idx="15">
                  <c:v>100.11288303265398</c:v>
                </c:pt>
                <c:pt idx="16">
                  <c:v>100.11493545142952</c:v>
                </c:pt>
                <c:pt idx="17">
                  <c:v>100.03489111918395</c:v>
                </c:pt>
                <c:pt idx="18">
                  <c:v>100.03489111918395</c:v>
                </c:pt>
                <c:pt idx="19">
                  <c:v>100.03489111918395</c:v>
                </c:pt>
                <c:pt idx="20">
                  <c:v>100.07593949469451</c:v>
                </c:pt>
                <c:pt idx="21">
                  <c:v>99.936375017958667</c:v>
                </c:pt>
                <c:pt idx="22">
                  <c:v>100.0451532130616</c:v>
                </c:pt>
                <c:pt idx="23">
                  <c:v>100.05541530693922</c:v>
                </c:pt>
                <c:pt idx="24">
                  <c:v>100.05541530693922</c:v>
                </c:pt>
                <c:pt idx="25">
                  <c:v>100.05541530693922</c:v>
                </c:pt>
                <c:pt idx="26">
                  <c:v>100.05541530693922</c:v>
                </c:pt>
                <c:pt idx="27">
                  <c:v>100.05541530693922</c:v>
                </c:pt>
                <c:pt idx="28">
                  <c:v>100.06157256326583</c:v>
                </c:pt>
                <c:pt idx="29">
                  <c:v>100.05131046938816</c:v>
                </c:pt>
                <c:pt idx="30">
                  <c:v>100.06567740081687</c:v>
                </c:pt>
                <c:pt idx="31">
                  <c:v>100.05541530693922</c:v>
                </c:pt>
                <c:pt idx="32">
                  <c:v>100.05541530693922</c:v>
                </c:pt>
                <c:pt idx="33">
                  <c:v>100.05541530693922</c:v>
                </c:pt>
                <c:pt idx="34">
                  <c:v>100.04720563183712</c:v>
                </c:pt>
                <c:pt idx="35">
                  <c:v>100.05541530693922</c:v>
                </c:pt>
                <c:pt idx="36">
                  <c:v>100.05541530693922</c:v>
                </c:pt>
                <c:pt idx="37">
                  <c:v>100.06567740081687</c:v>
                </c:pt>
                <c:pt idx="38">
                  <c:v>100.08004433224555</c:v>
                </c:pt>
                <c:pt idx="39">
                  <c:v>100.08004433224555</c:v>
                </c:pt>
                <c:pt idx="40">
                  <c:v>100.08004433224555</c:v>
                </c:pt>
                <c:pt idx="41">
                  <c:v>100.07388707591896</c:v>
                </c:pt>
                <c:pt idx="42">
                  <c:v>100.04310079428606</c:v>
                </c:pt>
                <c:pt idx="43">
                  <c:v>100.03489111918395</c:v>
                </c:pt>
                <c:pt idx="44">
                  <c:v>100.05541530693922</c:v>
                </c:pt>
                <c:pt idx="45">
                  <c:v>100.06567740081687</c:v>
                </c:pt>
                <c:pt idx="46">
                  <c:v>100.06567740081687</c:v>
                </c:pt>
                <c:pt idx="47">
                  <c:v>100.06567740081687</c:v>
                </c:pt>
                <c:pt idx="48">
                  <c:v>100.06362498204133</c:v>
                </c:pt>
                <c:pt idx="49">
                  <c:v>100.07593949469451</c:v>
                </c:pt>
                <c:pt idx="50">
                  <c:v>100.09030642612318</c:v>
                </c:pt>
                <c:pt idx="51">
                  <c:v>100.16829833959319</c:v>
                </c:pt>
                <c:pt idx="52">
                  <c:v>100.18882252734849</c:v>
                </c:pt>
                <c:pt idx="53">
                  <c:v>100.18882252734849</c:v>
                </c:pt>
                <c:pt idx="54">
                  <c:v>100.18882252734849</c:v>
                </c:pt>
                <c:pt idx="55">
                  <c:v>100.29965314122693</c:v>
                </c:pt>
                <c:pt idx="56">
                  <c:v>100.27091927836958</c:v>
                </c:pt>
                <c:pt idx="57">
                  <c:v>100.3119676538801</c:v>
                </c:pt>
                <c:pt idx="58">
                  <c:v>100.22576606530798</c:v>
                </c:pt>
                <c:pt idx="59">
                  <c:v>100.2442378342877</c:v>
                </c:pt>
                <c:pt idx="60">
                  <c:v>100.2442378342877</c:v>
                </c:pt>
                <c:pt idx="61">
                  <c:v>100.2442378342877</c:v>
                </c:pt>
                <c:pt idx="62">
                  <c:v>100.2606571844919</c:v>
                </c:pt>
                <c:pt idx="63">
                  <c:v>100.27502411592062</c:v>
                </c:pt>
                <c:pt idx="64">
                  <c:v>100.29554830367589</c:v>
                </c:pt>
                <c:pt idx="65">
                  <c:v>100.27707653469614</c:v>
                </c:pt>
                <c:pt idx="66">
                  <c:v>100.22987090285902</c:v>
                </c:pt>
                <c:pt idx="67">
                  <c:v>100.22987090285902</c:v>
                </c:pt>
                <c:pt idx="68">
                  <c:v>100.22987090285902</c:v>
                </c:pt>
                <c:pt idx="69">
                  <c:v>100.342753935513</c:v>
                </c:pt>
                <c:pt idx="70">
                  <c:v>100.34070151673747</c:v>
                </c:pt>
                <c:pt idx="71">
                  <c:v>100.30786281632903</c:v>
                </c:pt>
                <c:pt idx="72">
                  <c:v>100.24218541551218</c:v>
                </c:pt>
                <c:pt idx="73">
                  <c:v>100.29760072245142</c:v>
                </c:pt>
                <c:pt idx="74">
                  <c:v>100.29760072245142</c:v>
                </c:pt>
                <c:pt idx="75">
                  <c:v>100.29760072245142</c:v>
                </c:pt>
                <c:pt idx="76">
                  <c:v>100.83122960408841</c:v>
                </c:pt>
                <c:pt idx="77">
                  <c:v>100.98721343102845</c:v>
                </c:pt>
                <c:pt idx="78">
                  <c:v>100.99131826857952</c:v>
                </c:pt>
                <c:pt idx="79">
                  <c:v>100.81686267265972</c:v>
                </c:pt>
                <c:pt idx="80">
                  <c:v>101.00568520000819</c:v>
                </c:pt>
                <c:pt idx="81">
                  <c:v>101.00568520000819</c:v>
                </c:pt>
                <c:pt idx="82">
                  <c:v>101.00568520000819</c:v>
                </c:pt>
                <c:pt idx="83">
                  <c:v>100.86817314204791</c:v>
                </c:pt>
                <c:pt idx="84">
                  <c:v>100.85380621061921</c:v>
                </c:pt>
                <c:pt idx="85">
                  <c:v>100.95437473062003</c:v>
                </c:pt>
                <c:pt idx="86">
                  <c:v>100.99952794368163</c:v>
                </c:pt>
                <c:pt idx="87">
                  <c:v>100.99952794368163</c:v>
                </c:pt>
                <c:pt idx="88">
                  <c:v>100.99952794368163</c:v>
                </c:pt>
                <c:pt idx="89">
                  <c:v>100.99952794368163</c:v>
                </c:pt>
                <c:pt idx="90">
                  <c:v>101.00363278123268</c:v>
                </c:pt>
                <c:pt idx="91">
                  <c:v>101.0200521314369</c:v>
                </c:pt>
                <c:pt idx="92">
                  <c:v>101.11446339511112</c:v>
                </c:pt>
                <c:pt idx="93">
                  <c:v>101.10830613878457</c:v>
                </c:pt>
                <c:pt idx="94">
                  <c:v>101.0816246947027</c:v>
                </c:pt>
                <c:pt idx="95">
                  <c:v>101.0816246947027</c:v>
                </c:pt>
                <c:pt idx="96">
                  <c:v>101.0816246947027</c:v>
                </c:pt>
                <c:pt idx="97">
                  <c:v>101.09188678858034</c:v>
                </c:pt>
                <c:pt idx="98">
                  <c:v>101.14114483919299</c:v>
                </c:pt>
                <c:pt idx="99">
                  <c:v>101.09804404490691</c:v>
                </c:pt>
                <c:pt idx="100">
                  <c:v>101.11651581388668</c:v>
                </c:pt>
                <c:pt idx="101">
                  <c:v>101.0426287379677</c:v>
                </c:pt>
                <c:pt idx="102">
                  <c:v>101.0426287379677</c:v>
                </c:pt>
                <c:pt idx="103">
                  <c:v>101.0426287379677</c:v>
                </c:pt>
                <c:pt idx="104">
                  <c:v>101.06110050694745</c:v>
                </c:pt>
                <c:pt idx="105">
                  <c:v>101.16372144572378</c:v>
                </c:pt>
                <c:pt idx="106">
                  <c:v>101.13909242041747</c:v>
                </c:pt>
                <c:pt idx="107">
                  <c:v>101.11856823266218</c:v>
                </c:pt>
                <c:pt idx="108">
                  <c:v>101.08778195102927</c:v>
                </c:pt>
                <c:pt idx="109">
                  <c:v>101.08778195102927</c:v>
                </c:pt>
                <c:pt idx="110">
                  <c:v>101.08778195102927</c:v>
                </c:pt>
                <c:pt idx="111">
                  <c:v>101.14524967674403</c:v>
                </c:pt>
                <c:pt idx="112">
                  <c:v>101.14319725796852</c:v>
                </c:pt>
                <c:pt idx="113">
                  <c:v>101.10625372000904</c:v>
                </c:pt>
                <c:pt idx="114">
                  <c:v>101.10625372000904</c:v>
                </c:pt>
                <c:pt idx="115">
                  <c:v>101.10009646368245</c:v>
                </c:pt>
                <c:pt idx="116">
                  <c:v>101.10009646368245</c:v>
                </c:pt>
                <c:pt idx="117">
                  <c:v>101.10009646368245</c:v>
                </c:pt>
                <c:pt idx="118">
                  <c:v>101.12062065143772</c:v>
                </c:pt>
                <c:pt idx="119">
                  <c:v>101.12883032653983</c:v>
                </c:pt>
                <c:pt idx="120">
                  <c:v>101.14319725796852</c:v>
                </c:pt>
                <c:pt idx="121">
                  <c:v>101.12267307021324</c:v>
                </c:pt>
                <c:pt idx="122">
                  <c:v>101.08778195102927</c:v>
                </c:pt>
                <c:pt idx="123">
                  <c:v>101.08778195102927</c:v>
                </c:pt>
                <c:pt idx="124">
                  <c:v>101.08778195102927</c:v>
                </c:pt>
                <c:pt idx="125">
                  <c:v>101.10214888245798</c:v>
                </c:pt>
                <c:pt idx="126">
                  <c:v>101.11446339511112</c:v>
                </c:pt>
                <c:pt idx="127">
                  <c:v>101.13498758286642</c:v>
                </c:pt>
                <c:pt idx="128">
                  <c:v>101.14524967674403</c:v>
                </c:pt>
                <c:pt idx="129">
                  <c:v>101.12062065143772</c:v>
                </c:pt>
                <c:pt idx="130">
                  <c:v>101.12062065143772</c:v>
                </c:pt>
                <c:pt idx="131">
                  <c:v>101.12062065143772</c:v>
                </c:pt>
                <c:pt idx="132">
                  <c:v>101.10214888245798</c:v>
                </c:pt>
                <c:pt idx="133">
                  <c:v>101.06725776327401</c:v>
                </c:pt>
                <c:pt idx="134">
                  <c:v>100.92153603021161</c:v>
                </c:pt>
                <c:pt idx="135">
                  <c:v>100.92153603021161</c:v>
                </c:pt>
                <c:pt idx="136">
                  <c:v>100.97489891837532</c:v>
                </c:pt>
                <c:pt idx="137">
                  <c:v>100.97489891837532</c:v>
                </c:pt>
                <c:pt idx="138">
                  <c:v>100.97489891837532</c:v>
                </c:pt>
                <c:pt idx="139">
                  <c:v>100.92974570531372</c:v>
                </c:pt>
                <c:pt idx="140">
                  <c:v>100.95026989306896</c:v>
                </c:pt>
                <c:pt idx="141">
                  <c:v>101.01184245633479</c:v>
                </c:pt>
                <c:pt idx="142">
                  <c:v>101.03031422531454</c:v>
                </c:pt>
                <c:pt idx="143">
                  <c:v>101.0426287379677</c:v>
                </c:pt>
                <c:pt idx="144">
                  <c:v>101.0426287379677</c:v>
                </c:pt>
                <c:pt idx="145">
                  <c:v>101.0426287379677</c:v>
                </c:pt>
                <c:pt idx="146">
                  <c:v>101.0426287379677</c:v>
                </c:pt>
                <c:pt idx="147">
                  <c:v>101.04878599429428</c:v>
                </c:pt>
                <c:pt idx="148">
                  <c:v>101.02620938776347</c:v>
                </c:pt>
                <c:pt idx="149">
                  <c:v>101.00773761878375</c:v>
                </c:pt>
                <c:pt idx="150">
                  <c:v>100.95847956817107</c:v>
                </c:pt>
                <c:pt idx="151">
                  <c:v>100.95847956817107</c:v>
                </c:pt>
                <c:pt idx="152">
                  <c:v>100.95847956817107</c:v>
                </c:pt>
                <c:pt idx="153">
                  <c:v>101.01799971266136</c:v>
                </c:pt>
                <c:pt idx="154">
                  <c:v>101.05083841306978</c:v>
                </c:pt>
                <c:pt idx="155">
                  <c:v>101.06110050694745</c:v>
                </c:pt>
                <c:pt idx="156">
                  <c:v>101.07546743837612</c:v>
                </c:pt>
                <c:pt idx="157">
                  <c:v>101.12062065143772</c:v>
                </c:pt>
                <c:pt idx="158">
                  <c:v>101.12062065143772</c:v>
                </c:pt>
                <c:pt idx="159">
                  <c:v>101.12062065143772</c:v>
                </c:pt>
                <c:pt idx="160">
                  <c:v>101.16166902694826</c:v>
                </c:pt>
                <c:pt idx="161">
                  <c:v>101.09804404490691</c:v>
                </c:pt>
                <c:pt idx="162">
                  <c:v>101.08983436980481</c:v>
                </c:pt>
                <c:pt idx="163">
                  <c:v>101.06725776327401</c:v>
                </c:pt>
                <c:pt idx="164">
                  <c:v>101.16372144572378</c:v>
                </c:pt>
                <c:pt idx="165">
                  <c:v>101.16372144572378</c:v>
                </c:pt>
                <c:pt idx="166">
                  <c:v>101.16372144572378</c:v>
                </c:pt>
                <c:pt idx="167">
                  <c:v>101.13909242041747</c:v>
                </c:pt>
                <c:pt idx="168">
                  <c:v>101.13088274531535</c:v>
                </c:pt>
                <c:pt idx="169">
                  <c:v>101.13293516409088</c:v>
                </c:pt>
                <c:pt idx="170">
                  <c:v>101.12883032653983</c:v>
                </c:pt>
                <c:pt idx="171">
                  <c:v>101.14524967674403</c:v>
                </c:pt>
                <c:pt idx="172">
                  <c:v>101.14524967674403</c:v>
                </c:pt>
                <c:pt idx="173">
                  <c:v>101.14524967674403</c:v>
                </c:pt>
                <c:pt idx="174">
                  <c:v>101.1042013012335</c:v>
                </c:pt>
                <c:pt idx="175">
                  <c:v>101.1042013012335</c:v>
                </c:pt>
                <c:pt idx="176">
                  <c:v>101.13909242041747</c:v>
                </c:pt>
                <c:pt idx="177">
                  <c:v>101.15756418939721</c:v>
                </c:pt>
                <c:pt idx="178">
                  <c:v>101.14114483919299</c:v>
                </c:pt>
                <c:pt idx="179">
                  <c:v>101.14114483919299</c:v>
                </c:pt>
                <c:pt idx="180">
                  <c:v>101.14114483919299</c:v>
                </c:pt>
                <c:pt idx="181">
                  <c:v>101.13293516409088</c:v>
                </c:pt>
                <c:pt idx="182">
                  <c:v>101.15345935184614</c:v>
                </c:pt>
                <c:pt idx="183">
                  <c:v>101.15961660817273</c:v>
                </c:pt>
                <c:pt idx="184">
                  <c:v>101.16372144572378</c:v>
                </c:pt>
                <c:pt idx="185">
                  <c:v>101.14730209551956</c:v>
                </c:pt>
                <c:pt idx="186">
                  <c:v>101.14730209551956</c:v>
                </c:pt>
                <c:pt idx="187">
                  <c:v>101.14730209551956</c:v>
                </c:pt>
                <c:pt idx="188">
                  <c:v>101.10830613878457</c:v>
                </c:pt>
                <c:pt idx="189">
                  <c:v>101.09804404490691</c:v>
                </c:pt>
                <c:pt idx="190">
                  <c:v>101.07546743837612</c:v>
                </c:pt>
                <c:pt idx="191">
                  <c:v>101.04468115674321</c:v>
                </c:pt>
                <c:pt idx="192">
                  <c:v>101.03031422531454</c:v>
                </c:pt>
                <c:pt idx="193">
                  <c:v>101.03031422531454</c:v>
                </c:pt>
                <c:pt idx="194">
                  <c:v>101.03031422531454</c:v>
                </c:pt>
                <c:pt idx="195">
                  <c:v>100.92564086776265</c:v>
                </c:pt>
                <c:pt idx="196">
                  <c:v>100.93385054286476</c:v>
                </c:pt>
                <c:pt idx="197">
                  <c:v>100.99337068735505</c:v>
                </c:pt>
                <c:pt idx="198">
                  <c:v>100.98105617470188</c:v>
                </c:pt>
                <c:pt idx="199">
                  <c:v>100.87638281715002</c:v>
                </c:pt>
                <c:pt idx="200">
                  <c:v>100.87638281715002</c:v>
                </c:pt>
                <c:pt idx="201">
                  <c:v>100.87638281715002</c:v>
                </c:pt>
                <c:pt idx="202">
                  <c:v>100.94411263674242</c:v>
                </c:pt>
                <c:pt idx="203">
                  <c:v>100.95026989306896</c:v>
                </c:pt>
                <c:pt idx="204">
                  <c:v>100.93590296164029</c:v>
                </c:pt>
                <c:pt idx="205">
                  <c:v>100.85380621061921</c:v>
                </c:pt>
                <c:pt idx="206">
                  <c:v>100.83122960408841</c:v>
                </c:pt>
                <c:pt idx="207">
                  <c:v>100.83122960408841</c:v>
                </c:pt>
                <c:pt idx="208">
                  <c:v>100.83122960408841</c:v>
                </c:pt>
                <c:pt idx="209">
                  <c:v>100.8455965355171</c:v>
                </c:pt>
                <c:pt idx="210">
                  <c:v>100.87227797959895</c:v>
                </c:pt>
                <c:pt idx="211">
                  <c:v>100.85585862939472</c:v>
                </c:pt>
                <c:pt idx="212">
                  <c:v>100.79428606612892</c:v>
                </c:pt>
                <c:pt idx="213">
                  <c:v>100.79223364735338</c:v>
                </c:pt>
                <c:pt idx="214">
                  <c:v>100.79223364735338</c:v>
                </c:pt>
                <c:pt idx="215">
                  <c:v>100.79223364735338</c:v>
                </c:pt>
                <c:pt idx="216">
                  <c:v>100.9133263551095</c:v>
                </c:pt>
                <c:pt idx="217">
                  <c:v>101.0816246947027</c:v>
                </c:pt>
                <c:pt idx="218">
                  <c:v>101.06931018204955</c:v>
                </c:pt>
                <c:pt idx="219">
                  <c:v>101.22529400898961</c:v>
                </c:pt>
                <c:pt idx="220">
                  <c:v>101.30328592245962</c:v>
                </c:pt>
                <c:pt idx="221">
                  <c:v>101.30328592245962</c:v>
                </c:pt>
                <c:pt idx="222">
                  <c:v>101.30328592245962</c:v>
                </c:pt>
                <c:pt idx="223">
                  <c:v>101.1719311208259</c:v>
                </c:pt>
                <c:pt idx="224">
                  <c:v>101.18835047103012</c:v>
                </c:pt>
                <c:pt idx="225">
                  <c:v>101.15961660817273</c:v>
                </c:pt>
                <c:pt idx="226">
                  <c:v>101.27455205960226</c:v>
                </c:pt>
                <c:pt idx="227">
                  <c:v>101.29918108490857</c:v>
                </c:pt>
                <c:pt idx="228">
                  <c:v>101.29918108490857</c:v>
                </c:pt>
                <c:pt idx="229">
                  <c:v>101.29918108490857</c:v>
                </c:pt>
                <c:pt idx="230">
                  <c:v>101.30739076001068</c:v>
                </c:pt>
                <c:pt idx="231">
                  <c:v>101.27455205960226</c:v>
                </c:pt>
                <c:pt idx="232">
                  <c:v>101.2950762473575</c:v>
                </c:pt>
                <c:pt idx="233">
                  <c:v>101.37306816082751</c:v>
                </c:pt>
                <c:pt idx="234">
                  <c:v>101.4756890996039</c:v>
                </c:pt>
                <c:pt idx="235">
                  <c:v>101.4756890996039</c:v>
                </c:pt>
                <c:pt idx="236">
                  <c:v>101.4756890996039</c:v>
                </c:pt>
                <c:pt idx="237">
                  <c:v>101.55368101307391</c:v>
                </c:pt>
                <c:pt idx="238">
                  <c:v>101.59678180735997</c:v>
                </c:pt>
                <c:pt idx="239">
                  <c:v>101.50237054368574</c:v>
                </c:pt>
                <c:pt idx="240">
                  <c:v>101.4777415183794</c:v>
                </c:pt>
                <c:pt idx="241">
                  <c:v>101.45926974939965</c:v>
                </c:pt>
                <c:pt idx="242">
                  <c:v>101.45926974939965</c:v>
                </c:pt>
                <c:pt idx="243">
                  <c:v>101.45926974939965</c:v>
                </c:pt>
                <c:pt idx="244">
                  <c:v>101.55162859429838</c:v>
                </c:pt>
                <c:pt idx="245">
                  <c:v>101.56189068817602</c:v>
                </c:pt>
                <c:pt idx="246">
                  <c:v>101.55368101307391</c:v>
                </c:pt>
                <c:pt idx="247">
                  <c:v>101.55162859429838</c:v>
                </c:pt>
                <c:pt idx="248">
                  <c:v>101.52699956899205</c:v>
                </c:pt>
                <c:pt idx="249">
                  <c:v>101.52699956899205</c:v>
                </c:pt>
                <c:pt idx="250">
                  <c:v>101.52699956899205</c:v>
                </c:pt>
                <c:pt idx="251">
                  <c:v>101.57625761960469</c:v>
                </c:pt>
                <c:pt idx="252">
                  <c:v>101.55983826940047</c:v>
                </c:pt>
                <c:pt idx="253">
                  <c:v>101.60499148246207</c:v>
                </c:pt>
                <c:pt idx="254">
                  <c:v>101.60909632001314</c:v>
                </c:pt>
                <c:pt idx="255">
                  <c:v>101.59883422613549</c:v>
                </c:pt>
                <c:pt idx="256">
                  <c:v>101.59883422613549</c:v>
                </c:pt>
                <c:pt idx="257">
                  <c:v>101.59883422613549</c:v>
                </c:pt>
                <c:pt idx="258">
                  <c:v>101.57420520082918</c:v>
                </c:pt>
                <c:pt idx="259">
                  <c:v>101.61730599511525</c:v>
                </c:pt>
                <c:pt idx="260">
                  <c:v>101.51263263756336</c:v>
                </c:pt>
                <c:pt idx="261">
                  <c:v>101.57010036327814</c:v>
                </c:pt>
                <c:pt idx="262">
                  <c:v>101.49621328735914</c:v>
                </c:pt>
                <c:pt idx="263">
                  <c:v>101.49621328735914</c:v>
                </c:pt>
                <c:pt idx="264">
                  <c:v>101.49621328735914</c:v>
                </c:pt>
                <c:pt idx="265">
                  <c:v>101.66245920817683</c:v>
                </c:pt>
                <c:pt idx="266">
                  <c:v>101.48389877470601</c:v>
                </c:pt>
                <c:pt idx="267">
                  <c:v>101.51673747511443</c:v>
                </c:pt>
                <c:pt idx="268">
                  <c:v>101.54341891919627</c:v>
                </c:pt>
                <c:pt idx="269">
                  <c:v>101.56599552572708</c:v>
                </c:pt>
                <c:pt idx="270">
                  <c:v>101.56599552572708</c:v>
                </c:pt>
                <c:pt idx="271">
                  <c:v>101.56599552572708</c:v>
                </c:pt>
                <c:pt idx="272">
                  <c:v>101.60088664491103</c:v>
                </c:pt>
                <c:pt idx="273">
                  <c:v>101.6070439012376</c:v>
                </c:pt>
                <c:pt idx="274">
                  <c:v>101.5844672947068</c:v>
                </c:pt>
                <c:pt idx="275">
                  <c:v>101.58857213225787</c:v>
                </c:pt>
                <c:pt idx="276">
                  <c:v>101.56599552572708</c:v>
                </c:pt>
                <c:pt idx="277">
                  <c:v>101.56599552572708</c:v>
                </c:pt>
                <c:pt idx="278">
                  <c:v>101.56599552572708</c:v>
                </c:pt>
                <c:pt idx="279">
                  <c:v>101.55983826940047</c:v>
                </c:pt>
                <c:pt idx="280">
                  <c:v>101.57010036327814</c:v>
                </c:pt>
                <c:pt idx="281">
                  <c:v>101.50237054368574</c:v>
                </c:pt>
                <c:pt idx="282">
                  <c:v>101.522894731441</c:v>
                </c:pt>
                <c:pt idx="283">
                  <c:v>101.522894731441</c:v>
                </c:pt>
                <c:pt idx="284">
                  <c:v>101.522894731441</c:v>
                </c:pt>
                <c:pt idx="285">
                  <c:v>101.522894731441</c:v>
                </c:pt>
                <c:pt idx="286">
                  <c:v>101.54957617552284</c:v>
                </c:pt>
                <c:pt idx="287">
                  <c:v>101.53520924409416</c:v>
                </c:pt>
                <c:pt idx="288">
                  <c:v>101.58241487593128</c:v>
                </c:pt>
                <c:pt idx="289">
                  <c:v>101.57420520082918</c:v>
                </c:pt>
                <c:pt idx="290">
                  <c:v>101.57010036327814</c:v>
                </c:pt>
                <c:pt idx="291">
                  <c:v>101.57010036327814</c:v>
                </c:pt>
                <c:pt idx="292">
                  <c:v>101.57010036327814</c:v>
                </c:pt>
                <c:pt idx="293">
                  <c:v>101.57831003838022</c:v>
                </c:pt>
                <c:pt idx="294">
                  <c:v>101.6070439012376</c:v>
                </c:pt>
                <c:pt idx="295">
                  <c:v>101.5844672947068</c:v>
                </c:pt>
                <c:pt idx="296">
                  <c:v>101.58857213225787</c:v>
                </c:pt>
                <c:pt idx="297">
                  <c:v>101.55778585062495</c:v>
                </c:pt>
                <c:pt idx="298">
                  <c:v>101.55778585062495</c:v>
                </c:pt>
                <c:pt idx="299">
                  <c:v>101.55778585062495</c:v>
                </c:pt>
                <c:pt idx="300">
                  <c:v>101.56394310695154</c:v>
                </c:pt>
                <c:pt idx="301">
                  <c:v>101.57420520082918</c:v>
                </c:pt>
                <c:pt idx="302">
                  <c:v>101.56394310695154</c:v>
                </c:pt>
                <c:pt idx="303">
                  <c:v>101.50647538123681</c:v>
                </c:pt>
                <c:pt idx="304">
                  <c:v>101.56394310695154</c:v>
                </c:pt>
                <c:pt idx="305">
                  <c:v>101.56394310695154</c:v>
                </c:pt>
                <c:pt idx="306">
                  <c:v>101.56394310695154</c:v>
                </c:pt>
                <c:pt idx="307">
                  <c:v>101.59472938858445</c:v>
                </c:pt>
                <c:pt idx="308">
                  <c:v>101.55983826940047</c:v>
                </c:pt>
                <c:pt idx="309">
                  <c:v>101.57831003838022</c:v>
                </c:pt>
                <c:pt idx="310">
                  <c:v>101.5844672947068</c:v>
                </c:pt>
                <c:pt idx="311">
                  <c:v>101.58857213225787</c:v>
                </c:pt>
                <c:pt idx="312">
                  <c:v>101.58857213225787</c:v>
                </c:pt>
                <c:pt idx="313">
                  <c:v>101.58857213225787</c:v>
                </c:pt>
                <c:pt idx="314">
                  <c:v>101.59062455103339</c:v>
                </c:pt>
                <c:pt idx="315">
                  <c:v>101.57831003838022</c:v>
                </c:pt>
                <c:pt idx="316">
                  <c:v>101.5844672947068</c:v>
                </c:pt>
                <c:pt idx="317">
                  <c:v>101.57420520082918</c:v>
                </c:pt>
                <c:pt idx="318">
                  <c:v>101.59472938858445</c:v>
                </c:pt>
                <c:pt idx="319">
                  <c:v>101.59472938858445</c:v>
                </c:pt>
                <c:pt idx="320">
                  <c:v>101.59472938858445</c:v>
                </c:pt>
                <c:pt idx="321">
                  <c:v>101.62756808899287</c:v>
                </c:pt>
                <c:pt idx="322">
                  <c:v>101.53520924409416</c:v>
                </c:pt>
                <c:pt idx="323">
                  <c:v>101.55983826940047</c:v>
                </c:pt>
                <c:pt idx="324">
                  <c:v>101.59883422613549</c:v>
                </c:pt>
                <c:pt idx="325">
                  <c:v>101.57420520082918</c:v>
                </c:pt>
                <c:pt idx="326">
                  <c:v>101.57420520082918</c:v>
                </c:pt>
                <c:pt idx="327">
                  <c:v>101.57420520082918</c:v>
                </c:pt>
                <c:pt idx="328">
                  <c:v>101.56599552572708</c:v>
                </c:pt>
                <c:pt idx="329">
                  <c:v>101.53726166286967</c:v>
                </c:pt>
                <c:pt idx="330">
                  <c:v>101.57420520082918</c:v>
                </c:pt>
                <c:pt idx="331">
                  <c:v>101.57831003838022</c:v>
                </c:pt>
                <c:pt idx="332">
                  <c:v>101.58036245715576</c:v>
                </c:pt>
                <c:pt idx="333">
                  <c:v>101.58036245715576</c:v>
                </c:pt>
                <c:pt idx="334">
                  <c:v>101.58036245715576</c:v>
                </c:pt>
                <c:pt idx="335">
                  <c:v>101.58241487593128</c:v>
                </c:pt>
                <c:pt idx="336">
                  <c:v>101.58857213225787</c:v>
                </c:pt>
                <c:pt idx="337">
                  <c:v>101.58857213225787</c:v>
                </c:pt>
                <c:pt idx="338">
                  <c:v>101.59062455103339</c:v>
                </c:pt>
                <c:pt idx="339">
                  <c:v>101.59678180735997</c:v>
                </c:pt>
                <c:pt idx="340">
                  <c:v>101.59678180735997</c:v>
                </c:pt>
                <c:pt idx="341">
                  <c:v>101.59678180735997</c:v>
                </c:pt>
                <c:pt idx="342">
                  <c:v>101.57420520082918</c:v>
                </c:pt>
                <c:pt idx="343">
                  <c:v>101.56599552572708</c:v>
                </c:pt>
                <c:pt idx="344">
                  <c:v>101.59678180735997</c:v>
                </c:pt>
                <c:pt idx="345">
                  <c:v>101.59062455103339</c:v>
                </c:pt>
                <c:pt idx="346">
                  <c:v>101.58857213225787</c:v>
                </c:pt>
                <c:pt idx="347">
                  <c:v>101.58857213225787</c:v>
                </c:pt>
                <c:pt idx="348">
                  <c:v>101.58857213225787</c:v>
                </c:pt>
                <c:pt idx="349">
                  <c:v>101.59062455103339</c:v>
                </c:pt>
                <c:pt idx="350">
                  <c:v>101.59267696980893</c:v>
                </c:pt>
                <c:pt idx="351">
                  <c:v>101.61525357633971</c:v>
                </c:pt>
                <c:pt idx="352">
                  <c:v>101.58651971348233</c:v>
                </c:pt>
                <c:pt idx="353">
                  <c:v>101.55778585062495</c:v>
                </c:pt>
                <c:pt idx="354">
                  <c:v>101.55778585062495</c:v>
                </c:pt>
                <c:pt idx="355">
                  <c:v>101.55778585062495</c:v>
                </c:pt>
                <c:pt idx="356">
                  <c:v>101.57215278205365</c:v>
                </c:pt>
                <c:pt idx="357">
                  <c:v>101.54341891919627</c:v>
                </c:pt>
                <c:pt idx="358">
                  <c:v>101.50852780001232</c:v>
                </c:pt>
                <c:pt idx="359">
                  <c:v>101.44695523674652</c:v>
                </c:pt>
                <c:pt idx="360">
                  <c:v>101.45721733062413</c:v>
                </c:pt>
                <c:pt idx="361">
                  <c:v>101.45721733062413</c:v>
                </c:pt>
                <c:pt idx="362">
                  <c:v>101.45721733062413</c:v>
                </c:pt>
                <c:pt idx="363">
                  <c:v>101.49416086858363</c:v>
                </c:pt>
                <c:pt idx="364">
                  <c:v>101.48800361225705</c:v>
                </c:pt>
                <c:pt idx="365">
                  <c:v>101.46542700572626</c:v>
                </c:pt>
                <c:pt idx="366">
                  <c:v>101.46542700572626</c:v>
                </c:pt>
              </c:numCache>
            </c:numRef>
          </c:val>
          <c:smooth val="0"/>
          <c:extLst>
            <c:ext xmlns:c16="http://schemas.microsoft.com/office/drawing/2014/chart" uri="{C3380CC4-5D6E-409C-BE32-E72D297353CC}">
              <c16:uniqueId val="{00000003-EE55-45A6-A4BC-6747CB85D179}"/>
            </c:ext>
          </c:extLst>
        </c:ser>
        <c:dLbls>
          <c:showLegendKey val="0"/>
          <c:showVal val="0"/>
          <c:showCatName val="0"/>
          <c:showSerName val="0"/>
          <c:showPercent val="0"/>
          <c:showBubbleSize val="0"/>
        </c:dLbls>
        <c:smooth val="0"/>
        <c:axId val="110158208"/>
        <c:axId val="110159744"/>
      </c:lineChart>
      <c:dateAx>
        <c:axId val="110158208"/>
        <c:scaling>
          <c:orientation val="minMax"/>
        </c:scaling>
        <c:delete val="0"/>
        <c:axPos val="b"/>
        <c:numFmt formatCode="yy\.mmm" sourceLinked="0"/>
        <c:majorTickMark val="none"/>
        <c:minorTickMark val="none"/>
        <c:tickLblPos val="low"/>
        <c:spPr>
          <a:ln w="3175">
            <a:noFill/>
            <a:prstDash val="solid"/>
          </a:ln>
        </c:spPr>
        <c:txPr>
          <a:bodyPr rot="0" vert="horz"/>
          <a:lstStyle/>
          <a:p>
            <a:pPr>
              <a:defRPr sz="700" b="0" i="0" u="none" strike="noStrike" baseline="0">
                <a:solidFill>
                  <a:srgbClr val="000000"/>
                </a:solidFill>
                <a:latin typeface="Calibri"/>
                <a:ea typeface="Calibri"/>
                <a:cs typeface="Calibri"/>
              </a:defRPr>
            </a:pPr>
            <a:endParaRPr lang="hu-HU"/>
          </a:p>
        </c:txPr>
        <c:crossAx val="110159744"/>
        <c:crosses val="autoZero"/>
        <c:auto val="1"/>
        <c:lblOffset val="100"/>
        <c:baseTimeUnit val="days"/>
        <c:majorUnit val="2"/>
        <c:majorTimeUnit val="months"/>
        <c:minorUnit val="1"/>
        <c:minorTimeUnit val="months"/>
      </c:dateAx>
      <c:valAx>
        <c:axId val="110159744"/>
        <c:scaling>
          <c:orientation val="minMax"/>
          <c:max val="106"/>
          <c:min val="92"/>
        </c:scaling>
        <c:delete val="0"/>
        <c:axPos val="l"/>
        <c:majorGridlines>
          <c:spPr>
            <a:ln w="3175">
              <a:solidFill>
                <a:srgbClr val="C0C0C0"/>
              </a:solidFill>
              <a:prstDash val="solid"/>
            </a:ln>
          </c:spPr>
        </c:majorGridlines>
        <c:numFmt formatCode="0.0" sourceLinked="0"/>
        <c:majorTickMark val="none"/>
        <c:minorTickMark val="none"/>
        <c:tickLblPos val="low"/>
        <c:spPr>
          <a:ln w="3175">
            <a:noFill/>
            <a:prstDash val="solid"/>
          </a:ln>
        </c:spPr>
        <c:txPr>
          <a:bodyPr rot="0" vert="horz"/>
          <a:lstStyle/>
          <a:p>
            <a:pPr>
              <a:defRPr sz="700" b="0" i="0" u="none" strike="noStrike" baseline="0">
                <a:solidFill>
                  <a:srgbClr val="000000"/>
                </a:solidFill>
                <a:latin typeface="Calibri"/>
                <a:ea typeface="Calibri"/>
                <a:cs typeface="Calibri"/>
              </a:defRPr>
            </a:pPr>
            <a:endParaRPr lang="hu-HU"/>
          </a:p>
        </c:txPr>
        <c:crossAx val="110158208"/>
        <c:crosses val="autoZero"/>
        <c:crossBetween val="between"/>
        <c:majorUnit val="2"/>
      </c:valAx>
      <c:spPr>
        <a:solidFill>
          <a:srgbClr val="FFFFFF"/>
        </a:solidFill>
        <a:ln w="25400">
          <a:noFill/>
        </a:ln>
      </c:spPr>
    </c:plotArea>
    <c:legend>
      <c:legendPos val="r"/>
      <c:layout>
        <c:manualLayout>
          <c:xMode val="edge"/>
          <c:yMode val="edge"/>
          <c:x val="0"/>
          <c:y val="7.1189613526569818E-3"/>
          <c:w val="1"/>
          <c:h val="4.4148550724637678E-2"/>
        </c:manualLayout>
      </c:layout>
      <c:overlay val="0"/>
      <c:spPr>
        <a:noFill/>
        <a:ln w="25400">
          <a:noFill/>
        </a:ln>
      </c:spPr>
      <c:txPr>
        <a:bodyPr/>
        <a:lstStyle/>
        <a:p>
          <a:pPr>
            <a:defRPr sz="700" b="0" i="0" u="none" strike="noStrike" baseline="0">
              <a:solidFill>
                <a:srgbClr val="000000"/>
              </a:solidFill>
              <a:latin typeface="Calibri"/>
              <a:ea typeface="Calibri"/>
              <a:cs typeface="Calibri"/>
            </a:defRPr>
          </a:pPr>
          <a:endParaRPr lang="hu-HU"/>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Calibri"/>
          <a:ea typeface="Calibri"/>
          <a:cs typeface="Calibri"/>
        </a:defRPr>
      </a:pPr>
      <a:endParaRPr lang="hu-H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01699346405229"/>
          <c:y val="0.15006680794734911"/>
          <c:w val="0.83715395262996006"/>
          <c:h val="0.72095345816579548"/>
        </c:manualLayout>
      </c:layout>
      <c:lineChart>
        <c:grouping val="standard"/>
        <c:varyColors val="0"/>
        <c:ser>
          <c:idx val="0"/>
          <c:order val="0"/>
          <c:tx>
            <c:v>magyar</c:v>
          </c:tx>
          <c:spPr>
            <a:ln w="25400">
              <a:solidFill>
                <a:srgbClr val="005B99"/>
              </a:solidFill>
              <a:prstDash val="solid"/>
            </a:ln>
          </c:spPr>
          <c:marker>
            <c:symbol val="none"/>
          </c:marker>
          <c:cat>
            <c:numRef>
              <c:f>BB!$A$503:$A$563</c:f>
              <c:numCache>
                <c:formatCode>m/d/yyyy</c:formatCode>
                <c:ptCount val="61"/>
                <c:pt idx="0">
                  <c:v>44491</c:v>
                </c:pt>
                <c:pt idx="1">
                  <c:v>44494</c:v>
                </c:pt>
                <c:pt idx="2">
                  <c:v>44495</c:v>
                </c:pt>
                <c:pt idx="3">
                  <c:v>44496</c:v>
                </c:pt>
                <c:pt idx="4">
                  <c:v>44497</c:v>
                </c:pt>
                <c:pt idx="5">
                  <c:v>44498</c:v>
                </c:pt>
                <c:pt idx="6">
                  <c:v>44501</c:v>
                </c:pt>
                <c:pt idx="7">
                  <c:v>44502</c:v>
                </c:pt>
                <c:pt idx="8">
                  <c:v>44503</c:v>
                </c:pt>
                <c:pt idx="9">
                  <c:v>44504</c:v>
                </c:pt>
                <c:pt idx="10">
                  <c:v>44505</c:v>
                </c:pt>
                <c:pt idx="11">
                  <c:v>44508</c:v>
                </c:pt>
                <c:pt idx="12">
                  <c:v>44509</c:v>
                </c:pt>
                <c:pt idx="13">
                  <c:v>44510</c:v>
                </c:pt>
                <c:pt idx="14">
                  <c:v>44511</c:v>
                </c:pt>
                <c:pt idx="15">
                  <c:v>44512</c:v>
                </c:pt>
                <c:pt idx="16">
                  <c:v>44515</c:v>
                </c:pt>
                <c:pt idx="17">
                  <c:v>44516</c:v>
                </c:pt>
                <c:pt idx="18">
                  <c:v>44517</c:v>
                </c:pt>
                <c:pt idx="19">
                  <c:v>44518</c:v>
                </c:pt>
                <c:pt idx="20">
                  <c:v>44519</c:v>
                </c:pt>
                <c:pt idx="21">
                  <c:v>44522</c:v>
                </c:pt>
                <c:pt idx="22">
                  <c:v>44523</c:v>
                </c:pt>
                <c:pt idx="23">
                  <c:v>44524</c:v>
                </c:pt>
                <c:pt idx="24">
                  <c:v>44525</c:v>
                </c:pt>
                <c:pt idx="25">
                  <c:v>44526</c:v>
                </c:pt>
                <c:pt idx="26">
                  <c:v>44529</c:v>
                </c:pt>
                <c:pt idx="27">
                  <c:v>44530</c:v>
                </c:pt>
                <c:pt idx="28">
                  <c:v>44531</c:v>
                </c:pt>
                <c:pt idx="29">
                  <c:v>44532</c:v>
                </c:pt>
                <c:pt idx="30">
                  <c:v>44533</c:v>
                </c:pt>
                <c:pt idx="31">
                  <c:v>44536</c:v>
                </c:pt>
                <c:pt idx="32">
                  <c:v>44537</c:v>
                </c:pt>
                <c:pt idx="33">
                  <c:v>44538</c:v>
                </c:pt>
                <c:pt idx="34">
                  <c:v>44539</c:v>
                </c:pt>
                <c:pt idx="35">
                  <c:v>44540</c:v>
                </c:pt>
                <c:pt idx="36">
                  <c:v>44543</c:v>
                </c:pt>
                <c:pt idx="37">
                  <c:v>44544</c:v>
                </c:pt>
                <c:pt idx="38">
                  <c:v>44545</c:v>
                </c:pt>
                <c:pt idx="39">
                  <c:v>44546</c:v>
                </c:pt>
                <c:pt idx="40">
                  <c:v>44547</c:v>
                </c:pt>
                <c:pt idx="41">
                  <c:v>44550</c:v>
                </c:pt>
                <c:pt idx="42">
                  <c:v>44551</c:v>
                </c:pt>
                <c:pt idx="43">
                  <c:v>44552</c:v>
                </c:pt>
                <c:pt idx="44">
                  <c:v>44553</c:v>
                </c:pt>
                <c:pt idx="45">
                  <c:v>44554</c:v>
                </c:pt>
                <c:pt idx="46">
                  <c:v>44557</c:v>
                </c:pt>
                <c:pt idx="47">
                  <c:v>44558</c:v>
                </c:pt>
                <c:pt idx="48">
                  <c:v>44559</c:v>
                </c:pt>
                <c:pt idx="49">
                  <c:v>44560</c:v>
                </c:pt>
                <c:pt idx="50">
                  <c:v>44561</c:v>
                </c:pt>
                <c:pt idx="51">
                  <c:v>44564</c:v>
                </c:pt>
                <c:pt idx="52">
                  <c:v>44565</c:v>
                </c:pt>
                <c:pt idx="53">
                  <c:v>44566</c:v>
                </c:pt>
                <c:pt idx="54">
                  <c:v>44567</c:v>
                </c:pt>
                <c:pt idx="55">
                  <c:v>44568</c:v>
                </c:pt>
                <c:pt idx="56">
                  <c:v>44571</c:v>
                </c:pt>
                <c:pt idx="57">
                  <c:v>44572</c:v>
                </c:pt>
                <c:pt idx="58">
                  <c:v>44573</c:v>
                </c:pt>
                <c:pt idx="59">
                  <c:v>44574</c:v>
                </c:pt>
                <c:pt idx="60">
                  <c:v>44575</c:v>
                </c:pt>
              </c:numCache>
            </c:numRef>
          </c:cat>
          <c:val>
            <c:numRef>
              <c:f>BB!$AG$503:$AG$563</c:f>
              <c:numCache>
                <c:formatCode>General</c:formatCode>
                <c:ptCount val="61"/>
                <c:pt idx="0">
                  <c:v>54.29</c:v>
                </c:pt>
                <c:pt idx="1">
                  <c:v>54.19</c:v>
                </c:pt>
                <c:pt idx="2">
                  <c:v>54.18</c:v>
                </c:pt>
                <c:pt idx="3">
                  <c:v>53.6</c:v>
                </c:pt>
                <c:pt idx="4">
                  <c:v>53.83</c:v>
                </c:pt>
                <c:pt idx="5">
                  <c:v>53.854999999999997</c:v>
                </c:pt>
                <c:pt idx="6">
                  <c:v>53.414999999999999</c:v>
                </c:pt>
                <c:pt idx="7">
                  <c:v>53.74</c:v>
                </c:pt>
                <c:pt idx="8">
                  <c:v>53.79</c:v>
                </c:pt>
                <c:pt idx="9">
                  <c:v>53.82</c:v>
                </c:pt>
                <c:pt idx="10">
                  <c:v>53.36</c:v>
                </c:pt>
                <c:pt idx="11">
                  <c:v>53.33</c:v>
                </c:pt>
                <c:pt idx="12">
                  <c:v>53.29</c:v>
                </c:pt>
                <c:pt idx="13">
                  <c:v>53.35</c:v>
                </c:pt>
                <c:pt idx="14">
                  <c:v>53.28</c:v>
                </c:pt>
                <c:pt idx="15">
                  <c:v>53.34</c:v>
                </c:pt>
                <c:pt idx="16">
                  <c:v>53.15</c:v>
                </c:pt>
                <c:pt idx="17">
                  <c:v>53.1</c:v>
                </c:pt>
                <c:pt idx="18">
                  <c:v>53.26</c:v>
                </c:pt>
                <c:pt idx="19">
                  <c:v>53.22</c:v>
                </c:pt>
                <c:pt idx="20">
                  <c:v>52.42</c:v>
                </c:pt>
                <c:pt idx="21">
                  <c:v>52.67</c:v>
                </c:pt>
                <c:pt idx="22">
                  <c:v>52.85</c:v>
                </c:pt>
                <c:pt idx="23">
                  <c:v>53.53</c:v>
                </c:pt>
                <c:pt idx="24">
                  <c:v>54.77</c:v>
                </c:pt>
                <c:pt idx="25">
                  <c:v>54.88</c:v>
                </c:pt>
                <c:pt idx="26">
                  <c:v>54.49</c:v>
                </c:pt>
                <c:pt idx="27">
                  <c:v>54.39</c:v>
                </c:pt>
                <c:pt idx="28">
                  <c:v>54.39</c:v>
                </c:pt>
                <c:pt idx="29">
                  <c:v>53.81</c:v>
                </c:pt>
                <c:pt idx="30">
                  <c:v>53.33</c:v>
                </c:pt>
                <c:pt idx="31">
                  <c:v>53.35</c:v>
                </c:pt>
                <c:pt idx="32">
                  <c:v>53.29</c:v>
                </c:pt>
                <c:pt idx="33">
                  <c:v>53.29</c:v>
                </c:pt>
                <c:pt idx="34">
                  <c:v>53.3</c:v>
                </c:pt>
                <c:pt idx="35">
                  <c:v>51.97</c:v>
                </c:pt>
                <c:pt idx="36">
                  <c:v>49.18</c:v>
                </c:pt>
                <c:pt idx="37">
                  <c:v>48.715000000000003</c:v>
                </c:pt>
                <c:pt idx="38">
                  <c:v>48.634999999999998</c:v>
                </c:pt>
                <c:pt idx="39">
                  <c:v>48.645000000000003</c:v>
                </c:pt>
                <c:pt idx="40">
                  <c:v>49.225000000000001</c:v>
                </c:pt>
                <c:pt idx="41">
                  <c:v>48.63</c:v>
                </c:pt>
                <c:pt idx="42">
                  <c:v>48.655000000000001</c:v>
                </c:pt>
                <c:pt idx="43">
                  <c:v>46.325000000000003</c:v>
                </c:pt>
                <c:pt idx="44">
                  <c:v>45.234999999999999</c:v>
                </c:pt>
                <c:pt idx="45">
                  <c:v>44.924999999999997</c:v>
                </c:pt>
                <c:pt idx="46">
                  <c:v>44.46</c:v>
                </c:pt>
                <c:pt idx="47">
                  <c:v>44.71</c:v>
                </c:pt>
                <c:pt idx="48">
                  <c:v>44.715000000000003</c:v>
                </c:pt>
                <c:pt idx="49">
                  <c:v>44.704999999999998</c:v>
                </c:pt>
                <c:pt idx="50">
                  <c:v>44.72</c:v>
                </c:pt>
                <c:pt idx="51">
                  <c:v>44.71</c:v>
                </c:pt>
                <c:pt idx="52">
                  <c:v>44.66</c:v>
                </c:pt>
                <c:pt idx="53">
                  <c:v>44.71</c:v>
                </c:pt>
                <c:pt idx="54">
                  <c:v>44.67</c:v>
                </c:pt>
                <c:pt idx="55">
                  <c:v>45.45</c:v>
                </c:pt>
                <c:pt idx="56">
                  <c:v>45.8</c:v>
                </c:pt>
                <c:pt idx="57">
                  <c:v>47.78</c:v>
                </c:pt>
                <c:pt idx="58">
                  <c:v>48.39</c:v>
                </c:pt>
                <c:pt idx="59">
                  <c:v>48.54</c:v>
                </c:pt>
                <c:pt idx="60">
                  <c:v>49.4</c:v>
                </c:pt>
              </c:numCache>
            </c:numRef>
          </c:val>
          <c:smooth val="0"/>
          <c:extLst>
            <c:ext xmlns:c16="http://schemas.microsoft.com/office/drawing/2014/chart" uri="{C3380CC4-5D6E-409C-BE32-E72D297353CC}">
              <c16:uniqueId val="{00000000-57CB-4519-A161-59BF5B2F602E}"/>
            </c:ext>
          </c:extLst>
        </c:ser>
        <c:ser>
          <c:idx val="1"/>
          <c:order val="1"/>
          <c:tx>
            <c:v>lengyel</c:v>
          </c:tx>
          <c:spPr>
            <a:ln w="25400">
              <a:solidFill>
                <a:srgbClr val="51B5E0"/>
              </a:solidFill>
              <a:prstDash val="solid"/>
            </a:ln>
          </c:spPr>
          <c:marker>
            <c:symbol val="none"/>
          </c:marker>
          <c:cat>
            <c:numRef>
              <c:f>BB!$A$503:$A$563</c:f>
              <c:numCache>
                <c:formatCode>m/d/yyyy</c:formatCode>
                <c:ptCount val="61"/>
                <c:pt idx="0">
                  <c:v>44491</c:v>
                </c:pt>
                <c:pt idx="1">
                  <c:v>44494</c:v>
                </c:pt>
                <c:pt idx="2">
                  <c:v>44495</c:v>
                </c:pt>
                <c:pt idx="3">
                  <c:v>44496</c:v>
                </c:pt>
                <c:pt idx="4">
                  <c:v>44497</c:v>
                </c:pt>
                <c:pt idx="5">
                  <c:v>44498</c:v>
                </c:pt>
                <c:pt idx="6">
                  <c:v>44501</c:v>
                </c:pt>
                <c:pt idx="7">
                  <c:v>44502</c:v>
                </c:pt>
                <c:pt idx="8">
                  <c:v>44503</c:v>
                </c:pt>
                <c:pt idx="9">
                  <c:v>44504</c:v>
                </c:pt>
                <c:pt idx="10">
                  <c:v>44505</c:v>
                </c:pt>
                <c:pt idx="11">
                  <c:v>44508</c:v>
                </c:pt>
                <c:pt idx="12">
                  <c:v>44509</c:v>
                </c:pt>
                <c:pt idx="13">
                  <c:v>44510</c:v>
                </c:pt>
                <c:pt idx="14">
                  <c:v>44511</c:v>
                </c:pt>
                <c:pt idx="15">
                  <c:v>44512</c:v>
                </c:pt>
                <c:pt idx="16">
                  <c:v>44515</c:v>
                </c:pt>
                <c:pt idx="17">
                  <c:v>44516</c:v>
                </c:pt>
                <c:pt idx="18">
                  <c:v>44517</c:v>
                </c:pt>
                <c:pt idx="19">
                  <c:v>44518</c:v>
                </c:pt>
                <c:pt idx="20">
                  <c:v>44519</c:v>
                </c:pt>
                <c:pt idx="21">
                  <c:v>44522</c:v>
                </c:pt>
                <c:pt idx="22">
                  <c:v>44523</c:v>
                </c:pt>
                <c:pt idx="23">
                  <c:v>44524</c:v>
                </c:pt>
                <c:pt idx="24">
                  <c:v>44525</c:v>
                </c:pt>
                <c:pt idx="25">
                  <c:v>44526</c:v>
                </c:pt>
                <c:pt idx="26">
                  <c:v>44529</c:v>
                </c:pt>
                <c:pt idx="27">
                  <c:v>44530</c:v>
                </c:pt>
                <c:pt idx="28">
                  <c:v>44531</c:v>
                </c:pt>
                <c:pt idx="29">
                  <c:v>44532</c:v>
                </c:pt>
                <c:pt idx="30">
                  <c:v>44533</c:v>
                </c:pt>
                <c:pt idx="31">
                  <c:v>44536</c:v>
                </c:pt>
                <c:pt idx="32">
                  <c:v>44537</c:v>
                </c:pt>
                <c:pt idx="33">
                  <c:v>44538</c:v>
                </c:pt>
                <c:pt idx="34">
                  <c:v>44539</c:v>
                </c:pt>
                <c:pt idx="35">
                  <c:v>44540</c:v>
                </c:pt>
                <c:pt idx="36">
                  <c:v>44543</c:v>
                </c:pt>
                <c:pt idx="37">
                  <c:v>44544</c:v>
                </c:pt>
                <c:pt idx="38">
                  <c:v>44545</c:v>
                </c:pt>
                <c:pt idx="39">
                  <c:v>44546</c:v>
                </c:pt>
                <c:pt idx="40">
                  <c:v>44547</c:v>
                </c:pt>
                <c:pt idx="41">
                  <c:v>44550</c:v>
                </c:pt>
                <c:pt idx="42">
                  <c:v>44551</c:v>
                </c:pt>
                <c:pt idx="43">
                  <c:v>44552</c:v>
                </c:pt>
                <c:pt idx="44">
                  <c:v>44553</c:v>
                </c:pt>
                <c:pt idx="45">
                  <c:v>44554</c:v>
                </c:pt>
                <c:pt idx="46">
                  <c:v>44557</c:v>
                </c:pt>
                <c:pt idx="47">
                  <c:v>44558</c:v>
                </c:pt>
                <c:pt idx="48">
                  <c:v>44559</c:v>
                </c:pt>
                <c:pt idx="49">
                  <c:v>44560</c:v>
                </c:pt>
                <c:pt idx="50">
                  <c:v>44561</c:v>
                </c:pt>
                <c:pt idx="51">
                  <c:v>44564</c:v>
                </c:pt>
                <c:pt idx="52">
                  <c:v>44565</c:v>
                </c:pt>
                <c:pt idx="53">
                  <c:v>44566</c:v>
                </c:pt>
                <c:pt idx="54">
                  <c:v>44567</c:v>
                </c:pt>
                <c:pt idx="55">
                  <c:v>44568</c:v>
                </c:pt>
                <c:pt idx="56">
                  <c:v>44571</c:v>
                </c:pt>
                <c:pt idx="57">
                  <c:v>44572</c:v>
                </c:pt>
                <c:pt idx="58">
                  <c:v>44573</c:v>
                </c:pt>
                <c:pt idx="59">
                  <c:v>44574</c:v>
                </c:pt>
                <c:pt idx="60">
                  <c:v>44575</c:v>
                </c:pt>
              </c:numCache>
            </c:numRef>
          </c:cat>
          <c:val>
            <c:numRef>
              <c:f>BB!$AH$503:$AH$563</c:f>
              <c:numCache>
                <c:formatCode>General</c:formatCode>
                <c:ptCount val="61"/>
                <c:pt idx="0">
                  <c:v>50.88</c:v>
                </c:pt>
                <c:pt idx="1">
                  <c:v>50.88</c:v>
                </c:pt>
                <c:pt idx="2">
                  <c:v>50.88</c:v>
                </c:pt>
                <c:pt idx="3">
                  <c:v>50.86</c:v>
                </c:pt>
                <c:pt idx="4">
                  <c:v>50.88</c:v>
                </c:pt>
                <c:pt idx="5">
                  <c:v>50.844999999999999</c:v>
                </c:pt>
                <c:pt idx="6">
                  <c:v>51.38</c:v>
                </c:pt>
                <c:pt idx="7">
                  <c:v>51.25</c:v>
                </c:pt>
                <c:pt idx="8">
                  <c:v>51.28</c:v>
                </c:pt>
                <c:pt idx="9">
                  <c:v>51.53</c:v>
                </c:pt>
                <c:pt idx="10">
                  <c:v>51.63</c:v>
                </c:pt>
                <c:pt idx="11">
                  <c:v>52.1</c:v>
                </c:pt>
                <c:pt idx="12">
                  <c:v>52.12</c:v>
                </c:pt>
                <c:pt idx="13">
                  <c:v>52.35</c:v>
                </c:pt>
                <c:pt idx="14">
                  <c:v>52.35</c:v>
                </c:pt>
                <c:pt idx="15">
                  <c:v>52.4</c:v>
                </c:pt>
                <c:pt idx="16">
                  <c:v>51.74</c:v>
                </c:pt>
                <c:pt idx="17">
                  <c:v>52.1</c:v>
                </c:pt>
                <c:pt idx="18">
                  <c:v>53.65</c:v>
                </c:pt>
                <c:pt idx="19">
                  <c:v>54</c:v>
                </c:pt>
                <c:pt idx="20">
                  <c:v>54.11</c:v>
                </c:pt>
                <c:pt idx="21">
                  <c:v>54.38</c:v>
                </c:pt>
                <c:pt idx="22">
                  <c:v>54.5</c:v>
                </c:pt>
                <c:pt idx="23">
                  <c:v>54.85</c:v>
                </c:pt>
                <c:pt idx="24">
                  <c:v>54.65</c:v>
                </c:pt>
                <c:pt idx="25">
                  <c:v>54.13</c:v>
                </c:pt>
                <c:pt idx="26">
                  <c:v>54.99</c:v>
                </c:pt>
                <c:pt idx="27">
                  <c:v>54.47</c:v>
                </c:pt>
                <c:pt idx="28">
                  <c:v>55.15</c:v>
                </c:pt>
                <c:pt idx="29">
                  <c:v>54.17</c:v>
                </c:pt>
                <c:pt idx="30">
                  <c:v>53.89</c:v>
                </c:pt>
                <c:pt idx="31">
                  <c:v>53.83</c:v>
                </c:pt>
                <c:pt idx="32">
                  <c:v>53.465000000000003</c:v>
                </c:pt>
                <c:pt idx="33">
                  <c:v>53.395000000000003</c:v>
                </c:pt>
                <c:pt idx="34">
                  <c:v>53.164999999999999</c:v>
                </c:pt>
                <c:pt idx="35">
                  <c:v>52.534999999999997</c:v>
                </c:pt>
                <c:pt idx="36">
                  <c:v>50.244999999999997</c:v>
                </c:pt>
                <c:pt idx="37">
                  <c:v>50.45</c:v>
                </c:pt>
                <c:pt idx="38">
                  <c:v>48.145000000000003</c:v>
                </c:pt>
                <c:pt idx="39">
                  <c:v>47.5</c:v>
                </c:pt>
                <c:pt idx="40">
                  <c:v>46.44</c:v>
                </c:pt>
                <c:pt idx="41">
                  <c:v>45.39</c:v>
                </c:pt>
                <c:pt idx="42">
                  <c:v>44.7</c:v>
                </c:pt>
                <c:pt idx="43">
                  <c:v>42.06</c:v>
                </c:pt>
                <c:pt idx="44">
                  <c:v>40.869999999999997</c:v>
                </c:pt>
                <c:pt idx="45">
                  <c:v>40.274999999999999</c:v>
                </c:pt>
                <c:pt idx="46">
                  <c:v>40.46</c:v>
                </c:pt>
                <c:pt idx="47">
                  <c:v>40.159999999999997</c:v>
                </c:pt>
                <c:pt idx="48">
                  <c:v>40.200000000000003</c:v>
                </c:pt>
                <c:pt idx="49">
                  <c:v>40.335000000000001</c:v>
                </c:pt>
                <c:pt idx="50">
                  <c:v>39.585000000000001</c:v>
                </c:pt>
                <c:pt idx="51">
                  <c:v>39.630000000000003</c:v>
                </c:pt>
                <c:pt idx="52">
                  <c:v>39.57</c:v>
                </c:pt>
                <c:pt idx="53">
                  <c:v>39.72</c:v>
                </c:pt>
                <c:pt idx="54">
                  <c:v>39.72</c:v>
                </c:pt>
                <c:pt idx="55">
                  <c:v>40.200000000000003</c:v>
                </c:pt>
                <c:pt idx="56">
                  <c:v>40.26</c:v>
                </c:pt>
                <c:pt idx="57">
                  <c:v>40.200000000000003</c:v>
                </c:pt>
                <c:pt idx="58">
                  <c:v>40.32</c:v>
                </c:pt>
                <c:pt idx="59">
                  <c:v>40.69</c:v>
                </c:pt>
                <c:pt idx="60">
                  <c:v>40.75</c:v>
                </c:pt>
              </c:numCache>
            </c:numRef>
          </c:val>
          <c:smooth val="0"/>
          <c:extLst>
            <c:ext xmlns:c16="http://schemas.microsoft.com/office/drawing/2014/chart" uri="{C3380CC4-5D6E-409C-BE32-E72D297353CC}">
              <c16:uniqueId val="{00000001-57CB-4519-A161-59BF5B2F602E}"/>
            </c:ext>
          </c:extLst>
        </c:ser>
        <c:ser>
          <c:idx val="2"/>
          <c:order val="2"/>
          <c:tx>
            <c:v>cseh</c:v>
          </c:tx>
          <c:spPr>
            <a:ln w="25400">
              <a:solidFill>
                <a:srgbClr val="FC9E49"/>
              </a:solidFill>
            </a:ln>
          </c:spPr>
          <c:marker>
            <c:symbol val="none"/>
          </c:marker>
          <c:cat>
            <c:numRef>
              <c:f>BB!$A$503:$A$563</c:f>
              <c:numCache>
                <c:formatCode>m/d/yyyy</c:formatCode>
                <c:ptCount val="61"/>
                <c:pt idx="0">
                  <c:v>44491</c:v>
                </c:pt>
                <c:pt idx="1">
                  <c:v>44494</c:v>
                </c:pt>
                <c:pt idx="2">
                  <c:v>44495</c:v>
                </c:pt>
                <c:pt idx="3">
                  <c:v>44496</c:v>
                </c:pt>
                <c:pt idx="4">
                  <c:v>44497</c:v>
                </c:pt>
                <c:pt idx="5">
                  <c:v>44498</c:v>
                </c:pt>
                <c:pt idx="6">
                  <c:v>44501</c:v>
                </c:pt>
                <c:pt idx="7">
                  <c:v>44502</c:v>
                </c:pt>
                <c:pt idx="8">
                  <c:v>44503</c:v>
                </c:pt>
                <c:pt idx="9">
                  <c:v>44504</c:v>
                </c:pt>
                <c:pt idx="10">
                  <c:v>44505</c:v>
                </c:pt>
                <c:pt idx="11">
                  <c:v>44508</c:v>
                </c:pt>
                <c:pt idx="12">
                  <c:v>44509</c:v>
                </c:pt>
                <c:pt idx="13">
                  <c:v>44510</c:v>
                </c:pt>
                <c:pt idx="14">
                  <c:v>44511</c:v>
                </c:pt>
                <c:pt idx="15">
                  <c:v>44512</c:v>
                </c:pt>
                <c:pt idx="16">
                  <c:v>44515</c:v>
                </c:pt>
                <c:pt idx="17">
                  <c:v>44516</c:v>
                </c:pt>
                <c:pt idx="18">
                  <c:v>44517</c:v>
                </c:pt>
                <c:pt idx="19">
                  <c:v>44518</c:v>
                </c:pt>
                <c:pt idx="20">
                  <c:v>44519</c:v>
                </c:pt>
                <c:pt idx="21">
                  <c:v>44522</c:v>
                </c:pt>
                <c:pt idx="22">
                  <c:v>44523</c:v>
                </c:pt>
                <c:pt idx="23">
                  <c:v>44524</c:v>
                </c:pt>
                <c:pt idx="24">
                  <c:v>44525</c:v>
                </c:pt>
                <c:pt idx="25">
                  <c:v>44526</c:v>
                </c:pt>
                <c:pt idx="26">
                  <c:v>44529</c:v>
                </c:pt>
                <c:pt idx="27">
                  <c:v>44530</c:v>
                </c:pt>
                <c:pt idx="28">
                  <c:v>44531</c:v>
                </c:pt>
                <c:pt idx="29">
                  <c:v>44532</c:v>
                </c:pt>
                <c:pt idx="30">
                  <c:v>44533</c:v>
                </c:pt>
                <c:pt idx="31">
                  <c:v>44536</c:v>
                </c:pt>
                <c:pt idx="32">
                  <c:v>44537</c:v>
                </c:pt>
                <c:pt idx="33">
                  <c:v>44538</c:v>
                </c:pt>
                <c:pt idx="34">
                  <c:v>44539</c:v>
                </c:pt>
                <c:pt idx="35">
                  <c:v>44540</c:v>
                </c:pt>
                <c:pt idx="36">
                  <c:v>44543</c:v>
                </c:pt>
                <c:pt idx="37">
                  <c:v>44544</c:v>
                </c:pt>
                <c:pt idx="38">
                  <c:v>44545</c:v>
                </c:pt>
                <c:pt idx="39">
                  <c:v>44546</c:v>
                </c:pt>
                <c:pt idx="40">
                  <c:v>44547</c:v>
                </c:pt>
                <c:pt idx="41">
                  <c:v>44550</c:v>
                </c:pt>
                <c:pt idx="42">
                  <c:v>44551</c:v>
                </c:pt>
                <c:pt idx="43">
                  <c:v>44552</c:v>
                </c:pt>
                <c:pt idx="44">
                  <c:v>44553</c:v>
                </c:pt>
                <c:pt idx="45">
                  <c:v>44554</c:v>
                </c:pt>
                <c:pt idx="46">
                  <c:v>44557</c:v>
                </c:pt>
                <c:pt idx="47">
                  <c:v>44558</c:v>
                </c:pt>
                <c:pt idx="48">
                  <c:v>44559</c:v>
                </c:pt>
                <c:pt idx="49">
                  <c:v>44560</c:v>
                </c:pt>
                <c:pt idx="50">
                  <c:v>44561</c:v>
                </c:pt>
                <c:pt idx="51">
                  <c:v>44564</c:v>
                </c:pt>
                <c:pt idx="52">
                  <c:v>44565</c:v>
                </c:pt>
                <c:pt idx="53">
                  <c:v>44566</c:v>
                </c:pt>
                <c:pt idx="54">
                  <c:v>44567</c:v>
                </c:pt>
                <c:pt idx="55">
                  <c:v>44568</c:v>
                </c:pt>
                <c:pt idx="56">
                  <c:v>44571</c:v>
                </c:pt>
                <c:pt idx="57">
                  <c:v>44572</c:v>
                </c:pt>
                <c:pt idx="58">
                  <c:v>44573</c:v>
                </c:pt>
                <c:pt idx="59">
                  <c:v>44574</c:v>
                </c:pt>
                <c:pt idx="60">
                  <c:v>44575</c:v>
                </c:pt>
              </c:numCache>
            </c:numRef>
          </c:cat>
          <c:val>
            <c:numRef>
              <c:f>BB!$AI$503:$AI$563</c:f>
              <c:numCache>
                <c:formatCode>General</c:formatCode>
                <c:ptCount val="61"/>
                <c:pt idx="0">
                  <c:v>34.33</c:v>
                </c:pt>
                <c:pt idx="1">
                  <c:v>34.33</c:v>
                </c:pt>
                <c:pt idx="2">
                  <c:v>34.33</c:v>
                </c:pt>
                <c:pt idx="3">
                  <c:v>34.31</c:v>
                </c:pt>
                <c:pt idx="4">
                  <c:v>34.340000000000003</c:v>
                </c:pt>
                <c:pt idx="5">
                  <c:v>34.17</c:v>
                </c:pt>
                <c:pt idx="6">
                  <c:v>33.92</c:v>
                </c:pt>
                <c:pt idx="7">
                  <c:v>33.93</c:v>
                </c:pt>
                <c:pt idx="8">
                  <c:v>34.21</c:v>
                </c:pt>
                <c:pt idx="9">
                  <c:v>34.24</c:v>
                </c:pt>
                <c:pt idx="10">
                  <c:v>34.270000000000003</c:v>
                </c:pt>
                <c:pt idx="11">
                  <c:v>34.25</c:v>
                </c:pt>
                <c:pt idx="12">
                  <c:v>34.21</c:v>
                </c:pt>
                <c:pt idx="13">
                  <c:v>34.270000000000003</c:v>
                </c:pt>
                <c:pt idx="14">
                  <c:v>33.950000000000003</c:v>
                </c:pt>
                <c:pt idx="15">
                  <c:v>34.299999999999997</c:v>
                </c:pt>
                <c:pt idx="16">
                  <c:v>34.35</c:v>
                </c:pt>
                <c:pt idx="17">
                  <c:v>34.39</c:v>
                </c:pt>
                <c:pt idx="18">
                  <c:v>34.409999999999997</c:v>
                </c:pt>
                <c:pt idx="19">
                  <c:v>34.47</c:v>
                </c:pt>
                <c:pt idx="20">
                  <c:v>34.799999999999997</c:v>
                </c:pt>
                <c:pt idx="21">
                  <c:v>34.880000000000003</c:v>
                </c:pt>
                <c:pt idx="22">
                  <c:v>34.99</c:v>
                </c:pt>
                <c:pt idx="23">
                  <c:v>34.950000000000003</c:v>
                </c:pt>
                <c:pt idx="24">
                  <c:v>35.06</c:v>
                </c:pt>
                <c:pt idx="25">
                  <c:v>34.61</c:v>
                </c:pt>
                <c:pt idx="26">
                  <c:v>35.5</c:v>
                </c:pt>
                <c:pt idx="27">
                  <c:v>35.64</c:v>
                </c:pt>
                <c:pt idx="28">
                  <c:v>35.43</c:v>
                </c:pt>
                <c:pt idx="29">
                  <c:v>35.47</c:v>
                </c:pt>
                <c:pt idx="30">
                  <c:v>35.299999999999997</c:v>
                </c:pt>
                <c:pt idx="31">
                  <c:v>35.44</c:v>
                </c:pt>
                <c:pt idx="32">
                  <c:v>35.29</c:v>
                </c:pt>
                <c:pt idx="33">
                  <c:v>35.28</c:v>
                </c:pt>
                <c:pt idx="34">
                  <c:v>35.26</c:v>
                </c:pt>
                <c:pt idx="35">
                  <c:v>35.200000000000003</c:v>
                </c:pt>
                <c:pt idx="36">
                  <c:v>35.81</c:v>
                </c:pt>
                <c:pt idx="37">
                  <c:v>35.729999999999997</c:v>
                </c:pt>
                <c:pt idx="38">
                  <c:v>35.82</c:v>
                </c:pt>
                <c:pt idx="39">
                  <c:v>35.884999999999998</c:v>
                </c:pt>
                <c:pt idx="40">
                  <c:v>35.89</c:v>
                </c:pt>
                <c:pt idx="41">
                  <c:v>36.384999999999998</c:v>
                </c:pt>
                <c:pt idx="42">
                  <c:v>36.454999999999998</c:v>
                </c:pt>
                <c:pt idx="43">
                  <c:v>35.76</c:v>
                </c:pt>
                <c:pt idx="44">
                  <c:v>35.380000000000003</c:v>
                </c:pt>
                <c:pt idx="45">
                  <c:v>35.344999999999999</c:v>
                </c:pt>
                <c:pt idx="46">
                  <c:v>35.244999999999997</c:v>
                </c:pt>
                <c:pt idx="47">
                  <c:v>35.344999999999999</c:v>
                </c:pt>
                <c:pt idx="48">
                  <c:v>35.354999999999997</c:v>
                </c:pt>
                <c:pt idx="49">
                  <c:v>35.344999999999999</c:v>
                </c:pt>
                <c:pt idx="50">
                  <c:v>35.619999999999997</c:v>
                </c:pt>
                <c:pt idx="51">
                  <c:v>35.58</c:v>
                </c:pt>
                <c:pt idx="52">
                  <c:v>35.5</c:v>
                </c:pt>
                <c:pt idx="53">
                  <c:v>35.340000000000003</c:v>
                </c:pt>
                <c:pt idx="54">
                  <c:v>35.31</c:v>
                </c:pt>
                <c:pt idx="55">
                  <c:v>35.299999999999997</c:v>
                </c:pt>
                <c:pt idx="56">
                  <c:v>35.31</c:v>
                </c:pt>
                <c:pt idx="57">
                  <c:v>35.25</c:v>
                </c:pt>
                <c:pt idx="58">
                  <c:v>35.24</c:v>
                </c:pt>
                <c:pt idx="59">
                  <c:v>35.28</c:v>
                </c:pt>
                <c:pt idx="60">
                  <c:v>35.26</c:v>
                </c:pt>
              </c:numCache>
            </c:numRef>
          </c:val>
          <c:smooth val="0"/>
          <c:extLst>
            <c:ext xmlns:c16="http://schemas.microsoft.com/office/drawing/2014/chart" uri="{C3380CC4-5D6E-409C-BE32-E72D297353CC}">
              <c16:uniqueId val="{00000002-57CB-4519-A161-59BF5B2F602E}"/>
            </c:ext>
          </c:extLst>
        </c:ser>
        <c:ser>
          <c:idx val="3"/>
          <c:order val="3"/>
          <c:tx>
            <c:v>román</c:v>
          </c:tx>
          <c:spPr>
            <a:ln w="25400">
              <a:solidFill>
                <a:srgbClr val="83837B"/>
              </a:solidFill>
            </a:ln>
          </c:spPr>
          <c:marker>
            <c:symbol val="none"/>
          </c:marker>
          <c:cat>
            <c:numRef>
              <c:f>BB!$A$503:$A$563</c:f>
              <c:numCache>
                <c:formatCode>m/d/yyyy</c:formatCode>
                <c:ptCount val="61"/>
                <c:pt idx="0">
                  <c:v>44491</c:v>
                </c:pt>
                <c:pt idx="1">
                  <c:v>44494</c:v>
                </c:pt>
                <c:pt idx="2">
                  <c:v>44495</c:v>
                </c:pt>
                <c:pt idx="3">
                  <c:v>44496</c:v>
                </c:pt>
                <c:pt idx="4">
                  <c:v>44497</c:v>
                </c:pt>
                <c:pt idx="5">
                  <c:v>44498</c:v>
                </c:pt>
                <c:pt idx="6">
                  <c:v>44501</c:v>
                </c:pt>
                <c:pt idx="7">
                  <c:v>44502</c:v>
                </c:pt>
                <c:pt idx="8">
                  <c:v>44503</c:v>
                </c:pt>
                <c:pt idx="9">
                  <c:v>44504</c:v>
                </c:pt>
                <c:pt idx="10">
                  <c:v>44505</c:v>
                </c:pt>
                <c:pt idx="11">
                  <c:v>44508</c:v>
                </c:pt>
                <c:pt idx="12">
                  <c:v>44509</c:v>
                </c:pt>
                <c:pt idx="13">
                  <c:v>44510</c:v>
                </c:pt>
                <c:pt idx="14">
                  <c:v>44511</c:v>
                </c:pt>
                <c:pt idx="15">
                  <c:v>44512</c:v>
                </c:pt>
                <c:pt idx="16">
                  <c:v>44515</c:v>
                </c:pt>
                <c:pt idx="17">
                  <c:v>44516</c:v>
                </c:pt>
                <c:pt idx="18">
                  <c:v>44517</c:v>
                </c:pt>
                <c:pt idx="19">
                  <c:v>44518</c:v>
                </c:pt>
                <c:pt idx="20">
                  <c:v>44519</c:v>
                </c:pt>
                <c:pt idx="21">
                  <c:v>44522</c:v>
                </c:pt>
                <c:pt idx="22">
                  <c:v>44523</c:v>
                </c:pt>
                <c:pt idx="23">
                  <c:v>44524</c:v>
                </c:pt>
                <c:pt idx="24">
                  <c:v>44525</c:v>
                </c:pt>
                <c:pt idx="25">
                  <c:v>44526</c:v>
                </c:pt>
                <c:pt idx="26">
                  <c:v>44529</c:v>
                </c:pt>
                <c:pt idx="27">
                  <c:v>44530</c:v>
                </c:pt>
                <c:pt idx="28">
                  <c:v>44531</c:v>
                </c:pt>
                <c:pt idx="29">
                  <c:v>44532</c:v>
                </c:pt>
                <c:pt idx="30">
                  <c:v>44533</c:v>
                </c:pt>
                <c:pt idx="31">
                  <c:v>44536</c:v>
                </c:pt>
                <c:pt idx="32">
                  <c:v>44537</c:v>
                </c:pt>
                <c:pt idx="33">
                  <c:v>44538</c:v>
                </c:pt>
                <c:pt idx="34">
                  <c:v>44539</c:v>
                </c:pt>
                <c:pt idx="35">
                  <c:v>44540</c:v>
                </c:pt>
                <c:pt idx="36">
                  <c:v>44543</c:v>
                </c:pt>
                <c:pt idx="37">
                  <c:v>44544</c:v>
                </c:pt>
                <c:pt idx="38">
                  <c:v>44545</c:v>
                </c:pt>
                <c:pt idx="39">
                  <c:v>44546</c:v>
                </c:pt>
                <c:pt idx="40">
                  <c:v>44547</c:v>
                </c:pt>
                <c:pt idx="41">
                  <c:v>44550</c:v>
                </c:pt>
                <c:pt idx="42">
                  <c:v>44551</c:v>
                </c:pt>
                <c:pt idx="43">
                  <c:v>44552</c:v>
                </c:pt>
                <c:pt idx="44">
                  <c:v>44553</c:v>
                </c:pt>
                <c:pt idx="45">
                  <c:v>44554</c:v>
                </c:pt>
                <c:pt idx="46">
                  <c:v>44557</c:v>
                </c:pt>
                <c:pt idx="47">
                  <c:v>44558</c:v>
                </c:pt>
                <c:pt idx="48">
                  <c:v>44559</c:v>
                </c:pt>
                <c:pt idx="49">
                  <c:v>44560</c:v>
                </c:pt>
                <c:pt idx="50">
                  <c:v>44561</c:v>
                </c:pt>
                <c:pt idx="51">
                  <c:v>44564</c:v>
                </c:pt>
                <c:pt idx="52">
                  <c:v>44565</c:v>
                </c:pt>
                <c:pt idx="53">
                  <c:v>44566</c:v>
                </c:pt>
                <c:pt idx="54">
                  <c:v>44567</c:v>
                </c:pt>
                <c:pt idx="55">
                  <c:v>44568</c:v>
                </c:pt>
                <c:pt idx="56">
                  <c:v>44571</c:v>
                </c:pt>
                <c:pt idx="57">
                  <c:v>44572</c:v>
                </c:pt>
                <c:pt idx="58">
                  <c:v>44573</c:v>
                </c:pt>
                <c:pt idx="59">
                  <c:v>44574</c:v>
                </c:pt>
                <c:pt idx="60">
                  <c:v>44575</c:v>
                </c:pt>
              </c:numCache>
            </c:numRef>
          </c:cat>
          <c:val>
            <c:numRef>
              <c:f>BB!$AJ$503:$AJ$563</c:f>
              <c:numCache>
                <c:formatCode>General</c:formatCode>
                <c:ptCount val="61"/>
                <c:pt idx="0">
                  <c:v>74.8</c:v>
                </c:pt>
                <c:pt idx="1">
                  <c:v>74.8</c:v>
                </c:pt>
                <c:pt idx="2">
                  <c:v>74.819999999999993</c:v>
                </c:pt>
                <c:pt idx="3">
                  <c:v>74.790000000000006</c:v>
                </c:pt>
                <c:pt idx="4">
                  <c:v>74.819999999999993</c:v>
                </c:pt>
                <c:pt idx="5">
                  <c:v>74.78</c:v>
                </c:pt>
                <c:pt idx="6">
                  <c:v>74.805000000000007</c:v>
                </c:pt>
                <c:pt idx="7">
                  <c:v>79.83</c:v>
                </c:pt>
                <c:pt idx="8">
                  <c:v>79.849999999999994</c:v>
                </c:pt>
                <c:pt idx="9">
                  <c:v>79.849999999999994</c:v>
                </c:pt>
                <c:pt idx="10">
                  <c:v>79.86</c:v>
                </c:pt>
                <c:pt idx="11">
                  <c:v>79.849999999999994</c:v>
                </c:pt>
                <c:pt idx="12">
                  <c:v>79.83</c:v>
                </c:pt>
                <c:pt idx="13">
                  <c:v>79.849999999999994</c:v>
                </c:pt>
                <c:pt idx="14">
                  <c:v>79.819999999999993</c:v>
                </c:pt>
                <c:pt idx="15">
                  <c:v>79.849999999999994</c:v>
                </c:pt>
                <c:pt idx="16">
                  <c:v>79.84</c:v>
                </c:pt>
                <c:pt idx="17">
                  <c:v>79.84</c:v>
                </c:pt>
                <c:pt idx="18">
                  <c:v>79.84</c:v>
                </c:pt>
                <c:pt idx="19">
                  <c:v>79.849999999999994</c:v>
                </c:pt>
                <c:pt idx="20">
                  <c:v>79.84</c:v>
                </c:pt>
                <c:pt idx="21">
                  <c:v>79.849999999999994</c:v>
                </c:pt>
                <c:pt idx="22">
                  <c:v>79.819999999999993</c:v>
                </c:pt>
                <c:pt idx="23">
                  <c:v>79.83</c:v>
                </c:pt>
                <c:pt idx="24">
                  <c:v>81.36</c:v>
                </c:pt>
                <c:pt idx="25">
                  <c:v>81.36</c:v>
                </c:pt>
                <c:pt idx="26">
                  <c:v>83.89</c:v>
                </c:pt>
                <c:pt idx="27">
                  <c:v>84.87</c:v>
                </c:pt>
                <c:pt idx="28">
                  <c:v>87.4</c:v>
                </c:pt>
                <c:pt idx="29">
                  <c:v>84.89</c:v>
                </c:pt>
                <c:pt idx="30">
                  <c:v>83.87</c:v>
                </c:pt>
                <c:pt idx="31">
                  <c:v>83.89</c:v>
                </c:pt>
                <c:pt idx="32">
                  <c:v>83.864999999999995</c:v>
                </c:pt>
                <c:pt idx="33">
                  <c:v>83.864999999999995</c:v>
                </c:pt>
                <c:pt idx="34">
                  <c:v>83.87</c:v>
                </c:pt>
                <c:pt idx="35">
                  <c:v>83.375</c:v>
                </c:pt>
                <c:pt idx="36">
                  <c:v>82.87</c:v>
                </c:pt>
                <c:pt idx="37">
                  <c:v>82.88</c:v>
                </c:pt>
                <c:pt idx="38">
                  <c:v>79.844999999999999</c:v>
                </c:pt>
                <c:pt idx="39">
                  <c:v>79.855000000000004</c:v>
                </c:pt>
                <c:pt idx="40">
                  <c:v>79.864999999999995</c:v>
                </c:pt>
                <c:pt idx="41">
                  <c:v>79.855000000000004</c:v>
                </c:pt>
                <c:pt idx="42">
                  <c:v>79.86</c:v>
                </c:pt>
                <c:pt idx="43">
                  <c:v>74.805000000000007</c:v>
                </c:pt>
                <c:pt idx="44">
                  <c:v>74.819999999999993</c:v>
                </c:pt>
                <c:pt idx="45">
                  <c:v>74.819999999999993</c:v>
                </c:pt>
                <c:pt idx="46">
                  <c:v>74.819999999999993</c:v>
                </c:pt>
                <c:pt idx="47">
                  <c:v>74.819999999999993</c:v>
                </c:pt>
                <c:pt idx="48">
                  <c:v>74.83</c:v>
                </c:pt>
                <c:pt idx="49">
                  <c:v>74.819999999999993</c:v>
                </c:pt>
                <c:pt idx="50">
                  <c:v>74.819999999999993</c:v>
                </c:pt>
                <c:pt idx="51">
                  <c:v>74.819999999999993</c:v>
                </c:pt>
                <c:pt idx="52">
                  <c:v>74.790000000000006</c:v>
                </c:pt>
                <c:pt idx="53">
                  <c:v>77.83</c:v>
                </c:pt>
                <c:pt idx="54">
                  <c:v>77.819999999999993</c:v>
                </c:pt>
                <c:pt idx="55">
                  <c:v>79.819999999999993</c:v>
                </c:pt>
                <c:pt idx="56">
                  <c:v>79.83</c:v>
                </c:pt>
                <c:pt idx="57">
                  <c:v>82.35</c:v>
                </c:pt>
                <c:pt idx="58">
                  <c:v>82.36</c:v>
                </c:pt>
                <c:pt idx="59">
                  <c:v>82.37</c:v>
                </c:pt>
                <c:pt idx="60">
                  <c:v>84.61</c:v>
                </c:pt>
              </c:numCache>
            </c:numRef>
          </c:val>
          <c:smooth val="0"/>
          <c:extLst>
            <c:ext xmlns:c16="http://schemas.microsoft.com/office/drawing/2014/chart" uri="{C3380CC4-5D6E-409C-BE32-E72D297353CC}">
              <c16:uniqueId val="{00000003-57CB-4519-A161-59BF5B2F602E}"/>
            </c:ext>
          </c:extLst>
        </c:ser>
        <c:ser>
          <c:idx val="4"/>
          <c:order val="4"/>
          <c:tx>
            <c:v>orosz</c:v>
          </c:tx>
          <c:spPr>
            <a:ln w="25400">
              <a:solidFill>
                <a:schemeClr val="accent6">
                  <a:lumMod val="50000"/>
                </a:schemeClr>
              </a:solidFill>
            </a:ln>
          </c:spPr>
          <c:marker>
            <c:symbol val="none"/>
          </c:marker>
          <c:cat>
            <c:numRef>
              <c:f>BB!$A$503:$A$563</c:f>
              <c:numCache>
                <c:formatCode>m/d/yyyy</c:formatCode>
                <c:ptCount val="61"/>
                <c:pt idx="0">
                  <c:v>44491</c:v>
                </c:pt>
                <c:pt idx="1">
                  <c:v>44494</c:v>
                </c:pt>
                <c:pt idx="2">
                  <c:v>44495</c:v>
                </c:pt>
                <c:pt idx="3">
                  <c:v>44496</c:v>
                </c:pt>
                <c:pt idx="4">
                  <c:v>44497</c:v>
                </c:pt>
                <c:pt idx="5">
                  <c:v>44498</c:v>
                </c:pt>
                <c:pt idx="6">
                  <c:v>44501</c:v>
                </c:pt>
                <c:pt idx="7">
                  <c:v>44502</c:v>
                </c:pt>
                <c:pt idx="8">
                  <c:v>44503</c:v>
                </c:pt>
                <c:pt idx="9">
                  <c:v>44504</c:v>
                </c:pt>
                <c:pt idx="10">
                  <c:v>44505</c:v>
                </c:pt>
                <c:pt idx="11">
                  <c:v>44508</c:v>
                </c:pt>
                <c:pt idx="12">
                  <c:v>44509</c:v>
                </c:pt>
                <c:pt idx="13">
                  <c:v>44510</c:v>
                </c:pt>
                <c:pt idx="14">
                  <c:v>44511</c:v>
                </c:pt>
                <c:pt idx="15">
                  <c:v>44512</c:v>
                </c:pt>
                <c:pt idx="16">
                  <c:v>44515</c:v>
                </c:pt>
                <c:pt idx="17">
                  <c:v>44516</c:v>
                </c:pt>
                <c:pt idx="18">
                  <c:v>44517</c:v>
                </c:pt>
                <c:pt idx="19">
                  <c:v>44518</c:v>
                </c:pt>
                <c:pt idx="20">
                  <c:v>44519</c:v>
                </c:pt>
                <c:pt idx="21">
                  <c:v>44522</c:v>
                </c:pt>
                <c:pt idx="22">
                  <c:v>44523</c:v>
                </c:pt>
                <c:pt idx="23">
                  <c:v>44524</c:v>
                </c:pt>
                <c:pt idx="24">
                  <c:v>44525</c:v>
                </c:pt>
                <c:pt idx="25">
                  <c:v>44526</c:v>
                </c:pt>
                <c:pt idx="26">
                  <c:v>44529</c:v>
                </c:pt>
                <c:pt idx="27">
                  <c:v>44530</c:v>
                </c:pt>
                <c:pt idx="28">
                  <c:v>44531</c:v>
                </c:pt>
                <c:pt idx="29">
                  <c:v>44532</c:v>
                </c:pt>
                <c:pt idx="30">
                  <c:v>44533</c:v>
                </c:pt>
                <c:pt idx="31">
                  <c:v>44536</c:v>
                </c:pt>
                <c:pt idx="32">
                  <c:v>44537</c:v>
                </c:pt>
                <c:pt idx="33">
                  <c:v>44538</c:v>
                </c:pt>
                <c:pt idx="34">
                  <c:v>44539</c:v>
                </c:pt>
                <c:pt idx="35">
                  <c:v>44540</c:v>
                </c:pt>
                <c:pt idx="36">
                  <c:v>44543</c:v>
                </c:pt>
                <c:pt idx="37">
                  <c:v>44544</c:v>
                </c:pt>
                <c:pt idx="38">
                  <c:v>44545</c:v>
                </c:pt>
                <c:pt idx="39">
                  <c:v>44546</c:v>
                </c:pt>
                <c:pt idx="40">
                  <c:v>44547</c:v>
                </c:pt>
                <c:pt idx="41">
                  <c:v>44550</c:v>
                </c:pt>
                <c:pt idx="42">
                  <c:v>44551</c:v>
                </c:pt>
                <c:pt idx="43">
                  <c:v>44552</c:v>
                </c:pt>
                <c:pt idx="44">
                  <c:v>44553</c:v>
                </c:pt>
                <c:pt idx="45">
                  <c:v>44554</c:v>
                </c:pt>
                <c:pt idx="46">
                  <c:v>44557</c:v>
                </c:pt>
                <c:pt idx="47">
                  <c:v>44558</c:v>
                </c:pt>
                <c:pt idx="48">
                  <c:v>44559</c:v>
                </c:pt>
                <c:pt idx="49">
                  <c:v>44560</c:v>
                </c:pt>
                <c:pt idx="50">
                  <c:v>44561</c:v>
                </c:pt>
                <c:pt idx="51">
                  <c:v>44564</c:v>
                </c:pt>
                <c:pt idx="52">
                  <c:v>44565</c:v>
                </c:pt>
                <c:pt idx="53">
                  <c:v>44566</c:v>
                </c:pt>
                <c:pt idx="54">
                  <c:v>44567</c:v>
                </c:pt>
                <c:pt idx="55">
                  <c:v>44568</c:v>
                </c:pt>
                <c:pt idx="56">
                  <c:v>44571</c:v>
                </c:pt>
                <c:pt idx="57">
                  <c:v>44572</c:v>
                </c:pt>
                <c:pt idx="58">
                  <c:v>44573</c:v>
                </c:pt>
                <c:pt idx="59">
                  <c:v>44574</c:v>
                </c:pt>
                <c:pt idx="60">
                  <c:v>44575</c:v>
                </c:pt>
              </c:numCache>
            </c:numRef>
          </c:cat>
          <c:val>
            <c:numRef>
              <c:f>BB!$AK$503:$AK$563</c:f>
              <c:numCache>
                <c:formatCode>General</c:formatCode>
                <c:ptCount val="61"/>
                <c:pt idx="0">
                  <c:v>82.96</c:v>
                </c:pt>
                <c:pt idx="1">
                  <c:v>81.22</c:v>
                </c:pt>
                <c:pt idx="2">
                  <c:v>79.92</c:v>
                </c:pt>
                <c:pt idx="3">
                  <c:v>80.02</c:v>
                </c:pt>
                <c:pt idx="4">
                  <c:v>80.53</c:v>
                </c:pt>
                <c:pt idx="5">
                  <c:v>82.82</c:v>
                </c:pt>
                <c:pt idx="6">
                  <c:v>84.69</c:v>
                </c:pt>
                <c:pt idx="7">
                  <c:v>85.13</c:v>
                </c:pt>
                <c:pt idx="8">
                  <c:v>87.46</c:v>
                </c:pt>
                <c:pt idx="9">
                  <c:v>85.33</c:v>
                </c:pt>
                <c:pt idx="10">
                  <c:v>81.86</c:v>
                </c:pt>
                <c:pt idx="11">
                  <c:v>79.930000000000007</c:v>
                </c:pt>
                <c:pt idx="12">
                  <c:v>82.92</c:v>
                </c:pt>
                <c:pt idx="13">
                  <c:v>84.1</c:v>
                </c:pt>
                <c:pt idx="14">
                  <c:v>85.9</c:v>
                </c:pt>
                <c:pt idx="15">
                  <c:v>94.95</c:v>
                </c:pt>
                <c:pt idx="16">
                  <c:v>98.5</c:v>
                </c:pt>
                <c:pt idx="17">
                  <c:v>101.95</c:v>
                </c:pt>
                <c:pt idx="18">
                  <c:v>99.4</c:v>
                </c:pt>
                <c:pt idx="19">
                  <c:v>100.93</c:v>
                </c:pt>
                <c:pt idx="20">
                  <c:v>102.74</c:v>
                </c:pt>
                <c:pt idx="21">
                  <c:v>113.82</c:v>
                </c:pt>
                <c:pt idx="22">
                  <c:v>108.41</c:v>
                </c:pt>
                <c:pt idx="23">
                  <c:v>112.34</c:v>
                </c:pt>
                <c:pt idx="24">
                  <c:v>112.87</c:v>
                </c:pt>
                <c:pt idx="25">
                  <c:v>122.29</c:v>
                </c:pt>
                <c:pt idx="26">
                  <c:v>114.65</c:v>
                </c:pt>
                <c:pt idx="27">
                  <c:v>116.67</c:v>
                </c:pt>
                <c:pt idx="28">
                  <c:v>112.27</c:v>
                </c:pt>
                <c:pt idx="29">
                  <c:v>112.04</c:v>
                </c:pt>
                <c:pt idx="30">
                  <c:v>112.51</c:v>
                </c:pt>
                <c:pt idx="31">
                  <c:v>114.88</c:v>
                </c:pt>
                <c:pt idx="32">
                  <c:v>112.235</c:v>
                </c:pt>
                <c:pt idx="33">
                  <c:v>105.66</c:v>
                </c:pt>
                <c:pt idx="34">
                  <c:v>105.565</c:v>
                </c:pt>
                <c:pt idx="35">
                  <c:v>106.22</c:v>
                </c:pt>
                <c:pt idx="36">
                  <c:v>105.315</c:v>
                </c:pt>
                <c:pt idx="37">
                  <c:v>108.215</c:v>
                </c:pt>
                <c:pt idx="38">
                  <c:v>112.47499999999999</c:v>
                </c:pt>
                <c:pt idx="39">
                  <c:v>122.505</c:v>
                </c:pt>
                <c:pt idx="40">
                  <c:v>132.29499999999999</c:v>
                </c:pt>
                <c:pt idx="41">
                  <c:v>134.755</c:v>
                </c:pt>
                <c:pt idx="42">
                  <c:v>131.86500000000001</c:v>
                </c:pt>
                <c:pt idx="43">
                  <c:v>133.82499999999999</c:v>
                </c:pt>
                <c:pt idx="44">
                  <c:v>129.57</c:v>
                </c:pt>
                <c:pt idx="45">
                  <c:v>129.57</c:v>
                </c:pt>
                <c:pt idx="46">
                  <c:v>129.57</c:v>
                </c:pt>
                <c:pt idx="47">
                  <c:v>129.57</c:v>
                </c:pt>
                <c:pt idx="48">
                  <c:v>129.57</c:v>
                </c:pt>
                <c:pt idx="49">
                  <c:v>123.955</c:v>
                </c:pt>
                <c:pt idx="50">
                  <c:v>124.42</c:v>
                </c:pt>
                <c:pt idx="51">
                  <c:v>124.42</c:v>
                </c:pt>
                <c:pt idx="52">
                  <c:v>120.15</c:v>
                </c:pt>
                <c:pt idx="53">
                  <c:v>119.99</c:v>
                </c:pt>
                <c:pt idx="54">
                  <c:v>124.57</c:v>
                </c:pt>
                <c:pt idx="55">
                  <c:v>124.87</c:v>
                </c:pt>
                <c:pt idx="56">
                  <c:v>130.53</c:v>
                </c:pt>
                <c:pt idx="57">
                  <c:v>128.55000000000001</c:v>
                </c:pt>
                <c:pt idx="58">
                  <c:v>134.61000000000001</c:v>
                </c:pt>
                <c:pt idx="59">
                  <c:v>159.36000000000001</c:v>
                </c:pt>
                <c:pt idx="60">
                  <c:v>176.07</c:v>
                </c:pt>
              </c:numCache>
            </c:numRef>
          </c:val>
          <c:smooth val="0"/>
          <c:extLst>
            <c:ext xmlns:c16="http://schemas.microsoft.com/office/drawing/2014/chart" uri="{C3380CC4-5D6E-409C-BE32-E72D297353CC}">
              <c16:uniqueId val="{00000004-57CB-4519-A161-59BF5B2F602E}"/>
            </c:ext>
          </c:extLst>
        </c:ser>
        <c:dLbls>
          <c:showLegendKey val="0"/>
          <c:showVal val="0"/>
          <c:showCatName val="0"/>
          <c:showSerName val="0"/>
          <c:showPercent val="0"/>
          <c:showBubbleSize val="0"/>
        </c:dLbls>
        <c:smooth val="0"/>
        <c:axId val="112523136"/>
        <c:axId val="112524672"/>
      </c:lineChart>
      <c:dateAx>
        <c:axId val="112523136"/>
        <c:scaling>
          <c:orientation val="minMax"/>
        </c:scaling>
        <c:delete val="0"/>
        <c:axPos val="b"/>
        <c:numFmt formatCode="mmmdd" sourceLinked="0"/>
        <c:majorTickMark val="none"/>
        <c:minorTickMark val="none"/>
        <c:tickLblPos val="low"/>
        <c:spPr>
          <a:ln w="3175">
            <a:noFill/>
            <a:prstDash val="solid"/>
          </a:ln>
        </c:spPr>
        <c:txPr>
          <a:bodyPr rot="0" vert="horz"/>
          <a:lstStyle/>
          <a:p>
            <a:pPr>
              <a:defRPr sz="800" b="0" i="0" u="none" strike="noStrike" baseline="0">
                <a:solidFill>
                  <a:srgbClr val="000000"/>
                </a:solidFill>
                <a:latin typeface="Calibri"/>
                <a:ea typeface="Calibri"/>
                <a:cs typeface="Calibri"/>
              </a:defRPr>
            </a:pPr>
            <a:endParaRPr lang="hu-HU"/>
          </a:p>
        </c:txPr>
        <c:crossAx val="112524672"/>
        <c:crosses val="autoZero"/>
        <c:auto val="1"/>
        <c:lblOffset val="100"/>
        <c:baseTimeUnit val="days"/>
      </c:dateAx>
      <c:valAx>
        <c:axId val="112524672"/>
        <c:scaling>
          <c:orientation val="minMax"/>
          <c:max val="180"/>
          <c:min val="30"/>
        </c:scaling>
        <c:delete val="0"/>
        <c:axPos val="l"/>
        <c:majorGridlines>
          <c:spPr>
            <a:ln w="3175">
              <a:solidFill>
                <a:srgbClr val="C0C0C0"/>
              </a:solidFill>
              <a:prstDash val="solid"/>
            </a:ln>
          </c:spPr>
        </c:majorGridlines>
        <c:title>
          <c:tx>
            <c:rich>
              <a:bodyPr rot="-5400000" vert="horz"/>
              <a:lstStyle/>
              <a:p>
                <a:pPr>
                  <a:defRPr sz="800" b="1"/>
                </a:pPr>
                <a:r>
                  <a:rPr lang="en-US" sz="800" b="1"/>
                  <a:t>bázispont</a:t>
                </a:r>
              </a:p>
            </c:rich>
          </c:tx>
          <c:layout>
            <c:manualLayout>
              <c:xMode val="edge"/>
              <c:yMode val="edge"/>
              <c:x val="0"/>
              <c:y val="0.35232532051282051"/>
            </c:manualLayout>
          </c:layout>
          <c:overlay val="0"/>
        </c:title>
        <c:numFmt formatCode="0" sourceLinked="0"/>
        <c:majorTickMark val="none"/>
        <c:minorTickMark val="none"/>
        <c:tickLblPos val="low"/>
        <c:spPr>
          <a:ln w="3175">
            <a:noFill/>
            <a:prstDash val="solid"/>
          </a:ln>
        </c:spPr>
        <c:txPr>
          <a:bodyPr rot="0" vert="horz"/>
          <a:lstStyle/>
          <a:p>
            <a:pPr>
              <a:defRPr sz="800" b="0" i="0" u="none" strike="noStrike" baseline="0">
                <a:solidFill>
                  <a:srgbClr val="000000"/>
                </a:solidFill>
                <a:latin typeface="Calibri"/>
                <a:ea typeface="Calibri"/>
                <a:cs typeface="Calibri"/>
              </a:defRPr>
            </a:pPr>
            <a:endParaRPr lang="hu-HU"/>
          </a:p>
        </c:txPr>
        <c:crossAx val="112523136"/>
        <c:crosses val="autoZero"/>
        <c:crossBetween val="between"/>
        <c:majorUnit val="10"/>
      </c:valAx>
      <c:spPr>
        <a:solidFill>
          <a:srgbClr val="FFFFFF"/>
        </a:solidFill>
        <a:ln w="25400">
          <a:noFill/>
        </a:ln>
      </c:spPr>
    </c:plotArea>
    <c:legend>
      <c:legendPos val="t"/>
      <c:layout>
        <c:manualLayout>
          <c:xMode val="edge"/>
          <c:yMode val="edge"/>
          <c:x val="0"/>
          <c:y val="4.2646748954763732E-3"/>
          <c:w val="1"/>
          <c:h val="0.14690352932402787"/>
        </c:manualLayout>
      </c:layout>
      <c:overlay val="0"/>
      <c:spPr>
        <a:noFill/>
        <a:ln w="25400">
          <a:noFill/>
        </a:ln>
      </c:spPr>
      <c:txPr>
        <a:bodyPr/>
        <a:lstStyle/>
        <a:p>
          <a:pPr>
            <a:defRPr sz="800" b="0" i="0" u="none" strike="noStrike" baseline="0">
              <a:solidFill>
                <a:srgbClr val="000000"/>
              </a:solidFill>
              <a:latin typeface="Calibri"/>
              <a:ea typeface="Calibri"/>
              <a:cs typeface="Calibri"/>
            </a:defRPr>
          </a:pPr>
          <a:endParaRPr lang="hu-HU"/>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Calibri"/>
          <a:ea typeface="Calibri"/>
          <a:cs typeface="Calibri"/>
        </a:defRPr>
      </a:pPr>
      <a:endParaRPr lang="hu-H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83660130718954"/>
          <c:y val="8.8774038461538474E-2"/>
          <c:w val="0.87332156862745103"/>
          <c:h val="0.80036057692307694"/>
        </c:manualLayout>
      </c:layout>
      <c:lineChart>
        <c:grouping val="standard"/>
        <c:varyColors val="0"/>
        <c:ser>
          <c:idx val="0"/>
          <c:order val="0"/>
          <c:tx>
            <c:v>legutóbbi</c:v>
          </c:tx>
          <c:spPr>
            <a:ln w="31750">
              <a:solidFill>
                <a:srgbClr val="005B99"/>
              </a:solidFill>
              <a:prstDash val="solid"/>
            </a:ln>
          </c:spPr>
          <c:marker>
            <c:symbol val="none"/>
          </c:marker>
          <c:cat>
            <c:strRef>
              <c:f>Segédszámítások!$O$1:$O$7</c:f>
              <c:strCache>
                <c:ptCount val="7"/>
                <c:pt idx="0">
                  <c:v>3 hó</c:v>
                </c:pt>
                <c:pt idx="1">
                  <c:v>6 hó</c:v>
                </c:pt>
                <c:pt idx="2">
                  <c:v>12 hó</c:v>
                </c:pt>
                <c:pt idx="3">
                  <c:v>2 év</c:v>
                </c:pt>
                <c:pt idx="4">
                  <c:v>5 év</c:v>
                </c:pt>
                <c:pt idx="5">
                  <c:v>10 év</c:v>
                </c:pt>
                <c:pt idx="6">
                  <c:v>30 év</c:v>
                </c:pt>
              </c:strCache>
            </c:strRef>
          </c:cat>
          <c:val>
            <c:numRef>
              <c:f>Segédszámítások!$P$1:$P$7</c:f>
              <c:numCache>
                <c:formatCode>General</c:formatCode>
                <c:ptCount val="7"/>
                <c:pt idx="0">
                  <c:v>-0.66600000000000004</c:v>
                </c:pt>
                <c:pt idx="1">
                  <c:v>-0.66500000000000004</c:v>
                </c:pt>
                <c:pt idx="2">
                  <c:v>-0.66300000000000003</c:v>
                </c:pt>
                <c:pt idx="3">
                  <c:v>-0.58799999999999997</c:v>
                </c:pt>
                <c:pt idx="4">
                  <c:v>-0.36699999999999999</c:v>
                </c:pt>
                <c:pt idx="5">
                  <c:v>-4.8000000000000001E-2</c:v>
                </c:pt>
                <c:pt idx="6">
                  <c:v>0.249</c:v>
                </c:pt>
              </c:numCache>
            </c:numRef>
          </c:val>
          <c:smooth val="0"/>
          <c:extLst>
            <c:ext xmlns:c16="http://schemas.microsoft.com/office/drawing/2014/chart" uri="{C3380CC4-5D6E-409C-BE32-E72D297353CC}">
              <c16:uniqueId val="{00000000-D771-4B36-8D94-2F6FD560B6BD}"/>
            </c:ext>
          </c:extLst>
        </c:ser>
        <c:ser>
          <c:idx val="2"/>
          <c:order val="1"/>
          <c:tx>
            <c:v>1 hete</c:v>
          </c:tx>
          <c:spPr>
            <a:ln w="19050">
              <a:solidFill>
                <a:srgbClr val="005B99"/>
              </a:solidFill>
              <a:prstDash val="lgDash"/>
            </a:ln>
          </c:spPr>
          <c:marker>
            <c:symbol val="none"/>
          </c:marker>
          <c:cat>
            <c:strRef>
              <c:f>Segédszámítások!$O$1:$O$7</c:f>
              <c:strCache>
                <c:ptCount val="7"/>
                <c:pt idx="0">
                  <c:v>3 hó</c:v>
                </c:pt>
                <c:pt idx="1">
                  <c:v>6 hó</c:v>
                </c:pt>
                <c:pt idx="2">
                  <c:v>12 hó</c:v>
                </c:pt>
                <c:pt idx="3">
                  <c:v>2 év</c:v>
                </c:pt>
                <c:pt idx="4">
                  <c:v>5 év</c:v>
                </c:pt>
                <c:pt idx="5">
                  <c:v>10 év</c:v>
                </c:pt>
                <c:pt idx="6">
                  <c:v>30 év</c:v>
                </c:pt>
              </c:strCache>
            </c:strRef>
          </c:cat>
          <c:val>
            <c:numRef>
              <c:f>Segédszámítások!$Q$1:$Q$7</c:f>
              <c:numCache>
                <c:formatCode>General</c:formatCode>
                <c:ptCount val="7"/>
                <c:pt idx="0">
                  <c:v>-0.64500000000000002</c:v>
                </c:pt>
                <c:pt idx="1">
                  <c:v>-0.65800000000000003</c:v>
                </c:pt>
                <c:pt idx="2">
                  <c:v>-0.66100000000000003</c:v>
                </c:pt>
                <c:pt idx="3">
                  <c:v>-0.59899999999999998</c:v>
                </c:pt>
                <c:pt idx="4">
                  <c:v>-0.38300000000000001</c:v>
                </c:pt>
                <c:pt idx="5">
                  <c:v>-4.4999999999999998E-2</c:v>
                </c:pt>
                <c:pt idx="6">
                  <c:v>0.27400000000000002</c:v>
                </c:pt>
              </c:numCache>
            </c:numRef>
          </c:val>
          <c:smooth val="0"/>
          <c:extLst>
            <c:ext xmlns:c16="http://schemas.microsoft.com/office/drawing/2014/chart" uri="{C3380CC4-5D6E-409C-BE32-E72D297353CC}">
              <c16:uniqueId val="{00000001-D771-4B36-8D94-2F6FD560B6BD}"/>
            </c:ext>
          </c:extLst>
        </c:ser>
        <c:ser>
          <c:idx val="3"/>
          <c:order val="2"/>
          <c:tx>
            <c:v>1 hónapja</c:v>
          </c:tx>
          <c:spPr>
            <a:ln w="19050">
              <a:solidFill>
                <a:srgbClr val="005B99"/>
              </a:solidFill>
              <a:prstDash val="dash"/>
            </a:ln>
          </c:spPr>
          <c:marker>
            <c:symbol val="none"/>
          </c:marker>
          <c:cat>
            <c:strRef>
              <c:f>Segédszámítások!$O$1:$O$7</c:f>
              <c:strCache>
                <c:ptCount val="7"/>
                <c:pt idx="0">
                  <c:v>3 hó</c:v>
                </c:pt>
                <c:pt idx="1">
                  <c:v>6 hó</c:v>
                </c:pt>
                <c:pt idx="2">
                  <c:v>12 hó</c:v>
                </c:pt>
                <c:pt idx="3">
                  <c:v>2 év</c:v>
                </c:pt>
                <c:pt idx="4">
                  <c:v>5 év</c:v>
                </c:pt>
                <c:pt idx="5">
                  <c:v>10 év</c:v>
                </c:pt>
                <c:pt idx="6">
                  <c:v>30 év</c:v>
                </c:pt>
              </c:strCache>
            </c:strRef>
          </c:cat>
          <c:val>
            <c:numRef>
              <c:f>Segédszámítások!$R$1:$R$7</c:f>
              <c:numCache>
                <c:formatCode>General</c:formatCode>
                <c:ptCount val="7"/>
                <c:pt idx="0">
                  <c:v>-0.80200000000000005</c:v>
                </c:pt>
                <c:pt idx="1">
                  <c:v>-0.754</c:v>
                </c:pt>
                <c:pt idx="2">
                  <c:v>-0.66700000000000004</c:v>
                </c:pt>
                <c:pt idx="3">
                  <c:v>-0.68799999999999994</c:v>
                </c:pt>
                <c:pt idx="4">
                  <c:v>-0.58799999999999997</c:v>
                </c:pt>
                <c:pt idx="5">
                  <c:v>-0.36399999999999999</c:v>
                </c:pt>
                <c:pt idx="6">
                  <c:v>-0.05</c:v>
                </c:pt>
              </c:numCache>
            </c:numRef>
          </c:val>
          <c:smooth val="0"/>
          <c:extLst>
            <c:ext xmlns:c16="http://schemas.microsoft.com/office/drawing/2014/chart" uri="{C3380CC4-5D6E-409C-BE32-E72D297353CC}">
              <c16:uniqueId val="{00000002-D771-4B36-8D94-2F6FD560B6BD}"/>
            </c:ext>
          </c:extLst>
        </c:ser>
        <c:ser>
          <c:idx val="4"/>
          <c:order val="3"/>
          <c:tx>
            <c:v>1 éve</c:v>
          </c:tx>
          <c:spPr>
            <a:ln w="19050">
              <a:solidFill>
                <a:srgbClr val="005B99"/>
              </a:solidFill>
              <a:prstDash val="sysDot"/>
            </a:ln>
          </c:spPr>
          <c:marker>
            <c:symbol val="none"/>
          </c:marker>
          <c:cat>
            <c:strRef>
              <c:f>Segédszámítások!$O$1:$O$7</c:f>
              <c:strCache>
                <c:ptCount val="7"/>
                <c:pt idx="0">
                  <c:v>3 hó</c:v>
                </c:pt>
                <c:pt idx="1">
                  <c:v>6 hó</c:v>
                </c:pt>
                <c:pt idx="2">
                  <c:v>12 hó</c:v>
                </c:pt>
                <c:pt idx="3">
                  <c:v>2 év</c:v>
                </c:pt>
                <c:pt idx="4">
                  <c:v>5 év</c:v>
                </c:pt>
                <c:pt idx="5">
                  <c:v>10 év</c:v>
                </c:pt>
                <c:pt idx="6">
                  <c:v>30 év</c:v>
                </c:pt>
              </c:strCache>
            </c:strRef>
          </c:cat>
          <c:val>
            <c:numRef>
              <c:f>Segédszámítások!$S$1:$S$7</c:f>
              <c:numCache>
                <c:formatCode>General</c:formatCode>
                <c:ptCount val="7"/>
                <c:pt idx="0">
                  <c:v>-0.63</c:v>
                </c:pt>
                <c:pt idx="1">
                  <c:v>-0.63200000000000001</c:v>
                </c:pt>
                <c:pt idx="2">
                  <c:v>-0.64700000000000002</c:v>
                </c:pt>
                <c:pt idx="3">
                  <c:v>-0.73199999999999998</c:v>
                </c:pt>
                <c:pt idx="4">
                  <c:v>-0.74299999999999999</c:v>
                </c:pt>
                <c:pt idx="5">
                  <c:v>-0.55000000000000004</c:v>
                </c:pt>
                <c:pt idx="6">
                  <c:v>-0.15</c:v>
                </c:pt>
              </c:numCache>
            </c:numRef>
          </c:val>
          <c:smooth val="0"/>
          <c:extLst>
            <c:ext xmlns:c16="http://schemas.microsoft.com/office/drawing/2014/chart" uri="{C3380CC4-5D6E-409C-BE32-E72D297353CC}">
              <c16:uniqueId val="{00000003-D771-4B36-8D94-2F6FD560B6BD}"/>
            </c:ext>
          </c:extLst>
        </c:ser>
        <c:dLbls>
          <c:showLegendKey val="0"/>
          <c:showVal val="0"/>
          <c:showCatName val="0"/>
          <c:showSerName val="0"/>
          <c:showPercent val="0"/>
          <c:showBubbleSize val="0"/>
        </c:dLbls>
        <c:smooth val="0"/>
        <c:axId val="78696448"/>
        <c:axId val="78697984"/>
      </c:lineChart>
      <c:dateAx>
        <c:axId val="78696448"/>
        <c:scaling>
          <c:orientation val="minMax"/>
        </c:scaling>
        <c:delete val="0"/>
        <c:axPos val="b"/>
        <c:numFmt formatCode="yy\.mmm" sourceLinked="0"/>
        <c:majorTickMark val="none"/>
        <c:minorTickMark val="none"/>
        <c:tickLblPos val="low"/>
        <c:spPr>
          <a:ln w="3175">
            <a:noFill/>
            <a:prstDash val="solid"/>
          </a:ln>
        </c:spPr>
        <c:txPr>
          <a:bodyPr rot="0" vert="horz"/>
          <a:lstStyle/>
          <a:p>
            <a:pPr>
              <a:defRPr sz="800" b="0" i="0" u="none" strike="noStrike" baseline="0">
                <a:solidFill>
                  <a:srgbClr val="000000"/>
                </a:solidFill>
                <a:latin typeface="Calibri"/>
                <a:ea typeface="Calibri"/>
                <a:cs typeface="Calibri"/>
              </a:defRPr>
            </a:pPr>
            <a:endParaRPr lang="hu-HU"/>
          </a:p>
        </c:txPr>
        <c:crossAx val="78697984"/>
        <c:crosses val="autoZero"/>
        <c:auto val="1"/>
        <c:lblOffset val="100"/>
        <c:baseTimeUnit val="days"/>
        <c:majorUnit val="1"/>
        <c:majorTimeUnit val="months"/>
        <c:minorUnit val="1"/>
        <c:minorTimeUnit val="months"/>
      </c:dateAx>
      <c:valAx>
        <c:axId val="78697984"/>
        <c:scaling>
          <c:orientation val="minMax"/>
          <c:max val="0.5"/>
          <c:min val="-1"/>
        </c:scaling>
        <c:delete val="0"/>
        <c:axPos val="l"/>
        <c:majorGridlines>
          <c:spPr>
            <a:ln w="3175">
              <a:solidFill>
                <a:srgbClr val="C0C0C0"/>
              </a:solidFill>
              <a:prstDash val="solid"/>
            </a:ln>
          </c:spPr>
        </c:majorGridlines>
        <c:title>
          <c:tx>
            <c:rich>
              <a:bodyPr rot="-5400000" vert="horz"/>
              <a:lstStyle/>
              <a:p>
                <a:pPr>
                  <a:defRPr sz="800" b="1"/>
                </a:pPr>
                <a:r>
                  <a:rPr lang="en-US" sz="800" b="1"/>
                  <a:t>százalék</a:t>
                </a:r>
              </a:p>
            </c:rich>
          </c:tx>
          <c:layout>
            <c:manualLayout>
              <c:xMode val="edge"/>
              <c:yMode val="edge"/>
              <c:x val="0"/>
              <c:y val="0.33196794871794871"/>
            </c:manualLayout>
          </c:layout>
          <c:overlay val="0"/>
        </c:title>
        <c:numFmt formatCode="0.0" sourceLinked="0"/>
        <c:majorTickMark val="none"/>
        <c:minorTickMark val="none"/>
        <c:tickLblPos val="low"/>
        <c:spPr>
          <a:ln w="3175">
            <a:noFill/>
            <a:prstDash val="solid"/>
          </a:ln>
        </c:spPr>
        <c:txPr>
          <a:bodyPr rot="0" vert="horz"/>
          <a:lstStyle/>
          <a:p>
            <a:pPr>
              <a:defRPr sz="800" b="0" i="0" u="none" strike="noStrike" baseline="0">
                <a:solidFill>
                  <a:srgbClr val="000000"/>
                </a:solidFill>
                <a:latin typeface="Calibri"/>
                <a:ea typeface="Calibri"/>
                <a:cs typeface="Calibri"/>
              </a:defRPr>
            </a:pPr>
            <a:endParaRPr lang="hu-HU"/>
          </a:p>
        </c:txPr>
        <c:crossAx val="78696448"/>
        <c:crosses val="autoZero"/>
        <c:crossBetween val="between"/>
        <c:majorUnit val="0.5"/>
      </c:valAx>
      <c:spPr>
        <a:solidFill>
          <a:srgbClr val="FFFFFF"/>
        </a:solidFill>
        <a:ln w="25400">
          <a:noFill/>
        </a:ln>
      </c:spPr>
    </c:plotArea>
    <c:legend>
      <c:legendPos val="r"/>
      <c:layout>
        <c:manualLayout>
          <c:xMode val="edge"/>
          <c:yMode val="edge"/>
          <c:x val="0"/>
          <c:y val="5.3627136752136739E-3"/>
          <c:w val="0.97924836601307186"/>
          <c:h val="6.7689102564102557E-2"/>
        </c:manualLayout>
      </c:layout>
      <c:overlay val="0"/>
      <c:spPr>
        <a:noFill/>
        <a:ln w="25400">
          <a:noFill/>
        </a:ln>
      </c:spPr>
      <c:txPr>
        <a:bodyPr/>
        <a:lstStyle/>
        <a:p>
          <a:pPr>
            <a:defRPr sz="800" b="0" i="0" u="none" strike="noStrike" baseline="0">
              <a:solidFill>
                <a:srgbClr val="000000"/>
              </a:solidFill>
              <a:latin typeface="Calibri"/>
              <a:ea typeface="Calibri"/>
              <a:cs typeface="Calibri"/>
            </a:defRPr>
          </a:pPr>
          <a:endParaRPr lang="hu-HU"/>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Calibri"/>
          <a:ea typeface="Calibri"/>
          <a:cs typeface="Calibri"/>
        </a:defRPr>
      </a:pPr>
      <a:endParaRPr lang="hu-H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28758169934641"/>
          <c:y val="7.5205662393162398E-2"/>
          <c:w val="0.84895882352941177"/>
          <c:h val="0.81392895299145296"/>
        </c:manualLayout>
      </c:layout>
      <c:lineChart>
        <c:grouping val="standard"/>
        <c:varyColors val="0"/>
        <c:ser>
          <c:idx val="0"/>
          <c:order val="0"/>
          <c:tx>
            <c:v>legutóbbi</c:v>
          </c:tx>
          <c:spPr>
            <a:ln w="31750">
              <a:solidFill>
                <a:srgbClr val="005B99"/>
              </a:solidFill>
              <a:prstDash val="solid"/>
            </a:ln>
          </c:spPr>
          <c:marker>
            <c:symbol val="none"/>
          </c:marker>
          <c:cat>
            <c:strRef>
              <c:f>Segédszámítások!$O$11:$O$17</c:f>
              <c:strCache>
                <c:ptCount val="7"/>
                <c:pt idx="0">
                  <c:v>3 hó</c:v>
                </c:pt>
                <c:pt idx="1">
                  <c:v>6 hó</c:v>
                </c:pt>
                <c:pt idx="2">
                  <c:v>12 hó</c:v>
                </c:pt>
                <c:pt idx="3">
                  <c:v>3 év</c:v>
                </c:pt>
                <c:pt idx="4">
                  <c:v>5 év</c:v>
                </c:pt>
                <c:pt idx="5">
                  <c:v>10 év</c:v>
                </c:pt>
                <c:pt idx="6">
                  <c:v>30 év</c:v>
                </c:pt>
              </c:strCache>
            </c:strRef>
          </c:cat>
          <c:val>
            <c:numRef>
              <c:f>Segédszámítások!$P$11:$P$17</c:f>
              <c:numCache>
                <c:formatCode>General</c:formatCode>
                <c:ptCount val="7"/>
                <c:pt idx="0">
                  <c:v>0.1116</c:v>
                </c:pt>
                <c:pt idx="1">
                  <c:v>0.28170000000000001</c:v>
                </c:pt>
                <c:pt idx="2">
                  <c:v>0.47560000000000002</c:v>
                </c:pt>
                <c:pt idx="3">
                  <c:v>0.96679999999999999</c:v>
                </c:pt>
                <c:pt idx="4">
                  <c:v>1.5577000000000001</c:v>
                </c:pt>
                <c:pt idx="5">
                  <c:v>1.7841</c:v>
                </c:pt>
                <c:pt idx="6">
                  <c:v>2.1219000000000001</c:v>
                </c:pt>
              </c:numCache>
            </c:numRef>
          </c:val>
          <c:smooth val="0"/>
          <c:extLst>
            <c:ext xmlns:c16="http://schemas.microsoft.com/office/drawing/2014/chart" uri="{C3380CC4-5D6E-409C-BE32-E72D297353CC}">
              <c16:uniqueId val="{00000000-EF43-40EF-B563-B3E189C8EE0B}"/>
            </c:ext>
          </c:extLst>
        </c:ser>
        <c:ser>
          <c:idx val="2"/>
          <c:order val="1"/>
          <c:tx>
            <c:v>1 hete</c:v>
          </c:tx>
          <c:spPr>
            <a:ln w="19050">
              <a:solidFill>
                <a:srgbClr val="005B99"/>
              </a:solidFill>
              <a:prstDash val="lgDash"/>
            </a:ln>
          </c:spPr>
          <c:marker>
            <c:symbol val="none"/>
          </c:marker>
          <c:cat>
            <c:strRef>
              <c:f>Segédszámítások!$O$11:$O$17</c:f>
              <c:strCache>
                <c:ptCount val="7"/>
                <c:pt idx="0">
                  <c:v>3 hó</c:v>
                </c:pt>
                <c:pt idx="1">
                  <c:v>6 hó</c:v>
                </c:pt>
                <c:pt idx="2">
                  <c:v>12 hó</c:v>
                </c:pt>
                <c:pt idx="3">
                  <c:v>3 év</c:v>
                </c:pt>
                <c:pt idx="4">
                  <c:v>5 év</c:v>
                </c:pt>
                <c:pt idx="5">
                  <c:v>10 év</c:v>
                </c:pt>
                <c:pt idx="6">
                  <c:v>30 év</c:v>
                </c:pt>
              </c:strCache>
            </c:strRef>
          </c:cat>
          <c:val>
            <c:numRef>
              <c:f>Segédszámítások!$Q$11:$Q$17</c:f>
              <c:numCache>
                <c:formatCode>General</c:formatCode>
                <c:ptCount val="7"/>
                <c:pt idx="0">
                  <c:v>9.1300000000000006E-2</c:v>
                </c:pt>
                <c:pt idx="1">
                  <c:v>0.23089999999999999</c:v>
                </c:pt>
                <c:pt idx="2">
                  <c:v>0.4093</c:v>
                </c:pt>
                <c:pt idx="3">
                  <c:v>0.86209999999999998</c:v>
                </c:pt>
                <c:pt idx="4">
                  <c:v>1.4986999999999999</c:v>
                </c:pt>
                <c:pt idx="5">
                  <c:v>1.762</c:v>
                </c:pt>
                <c:pt idx="6">
                  <c:v>2.1158999999999999</c:v>
                </c:pt>
              </c:numCache>
            </c:numRef>
          </c:val>
          <c:smooth val="0"/>
          <c:extLst>
            <c:ext xmlns:c16="http://schemas.microsoft.com/office/drawing/2014/chart" uri="{C3380CC4-5D6E-409C-BE32-E72D297353CC}">
              <c16:uniqueId val="{00000001-EF43-40EF-B563-B3E189C8EE0B}"/>
            </c:ext>
          </c:extLst>
        </c:ser>
        <c:ser>
          <c:idx val="3"/>
          <c:order val="2"/>
          <c:tx>
            <c:v>1 hónapja</c:v>
          </c:tx>
          <c:spPr>
            <a:ln w="19050">
              <a:solidFill>
                <a:srgbClr val="005B99"/>
              </a:solidFill>
              <a:prstDash val="dash"/>
            </a:ln>
          </c:spPr>
          <c:marker>
            <c:symbol val="none"/>
          </c:marker>
          <c:cat>
            <c:strRef>
              <c:f>Segédszámítások!$O$11:$O$17</c:f>
              <c:strCache>
                <c:ptCount val="7"/>
                <c:pt idx="0">
                  <c:v>3 hó</c:v>
                </c:pt>
                <c:pt idx="1">
                  <c:v>6 hó</c:v>
                </c:pt>
                <c:pt idx="2">
                  <c:v>12 hó</c:v>
                </c:pt>
                <c:pt idx="3">
                  <c:v>3 év</c:v>
                </c:pt>
                <c:pt idx="4">
                  <c:v>5 év</c:v>
                </c:pt>
                <c:pt idx="5">
                  <c:v>10 év</c:v>
                </c:pt>
                <c:pt idx="6">
                  <c:v>30 év</c:v>
                </c:pt>
              </c:strCache>
            </c:strRef>
          </c:cat>
          <c:val>
            <c:numRef>
              <c:f>Segédszámítások!$R$11:$R$17</c:f>
              <c:numCache>
                <c:formatCode>General</c:formatCode>
                <c:ptCount val="7"/>
                <c:pt idx="0">
                  <c:v>3.7999999999999999E-2</c:v>
                </c:pt>
                <c:pt idx="1">
                  <c:v>0.1167</c:v>
                </c:pt>
                <c:pt idx="2">
                  <c:v>0.25140000000000001</c:v>
                </c:pt>
                <c:pt idx="3">
                  <c:v>0.66310000000000002</c:v>
                </c:pt>
                <c:pt idx="4">
                  <c:v>1.2451000000000001</c:v>
                </c:pt>
                <c:pt idx="5">
                  <c:v>1.4564999999999999</c:v>
                </c:pt>
                <c:pt idx="6">
                  <c:v>1.8599000000000001</c:v>
                </c:pt>
              </c:numCache>
            </c:numRef>
          </c:val>
          <c:smooth val="0"/>
          <c:extLst>
            <c:ext xmlns:c16="http://schemas.microsoft.com/office/drawing/2014/chart" uri="{C3380CC4-5D6E-409C-BE32-E72D297353CC}">
              <c16:uniqueId val="{00000002-EF43-40EF-B563-B3E189C8EE0B}"/>
            </c:ext>
          </c:extLst>
        </c:ser>
        <c:ser>
          <c:idx val="4"/>
          <c:order val="3"/>
          <c:tx>
            <c:v>1 éve</c:v>
          </c:tx>
          <c:spPr>
            <a:ln w="19050">
              <a:solidFill>
                <a:srgbClr val="005B99"/>
              </a:solidFill>
              <a:prstDash val="sysDot"/>
            </a:ln>
          </c:spPr>
          <c:marker>
            <c:symbol val="none"/>
          </c:marker>
          <c:cat>
            <c:strRef>
              <c:f>Segédszámítások!$O$11:$O$17</c:f>
              <c:strCache>
                <c:ptCount val="7"/>
                <c:pt idx="0">
                  <c:v>3 hó</c:v>
                </c:pt>
                <c:pt idx="1">
                  <c:v>6 hó</c:v>
                </c:pt>
                <c:pt idx="2">
                  <c:v>12 hó</c:v>
                </c:pt>
                <c:pt idx="3">
                  <c:v>3 év</c:v>
                </c:pt>
                <c:pt idx="4">
                  <c:v>5 év</c:v>
                </c:pt>
                <c:pt idx="5">
                  <c:v>10 év</c:v>
                </c:pt>
                <c:pt idx="6">
                  <c:v>30 év</c:v>
                </c:pt>
              </c:strCache>
            </c:strRef>
          </c:cat>
          <c:val>
            <c:numRef>
              <c:f>Segédszámítások!$S$11:$S$17</c:f>
              <c:numCache>
                <c:formatCode>General</c:formatCode>
                <c:ptCount val="7"/>
                <c:pt idx="0">
                  <c:v>7.3499999999999996E-2</c:v>
                </c:pt>
                <c:pt idx="1">
                  <c:v>8.6199999999999999E-2</c:v>
                </c:pt>
                <c:pt idx="2">
                  <c:v>9.64E-2</c:v>
                </c:pt>
                <c:pt idx="3">
                  <c:v>0.13900000000000001</c:v>
                </c:pt>
                <c:pt idx="4">
                  <c:v>0.48359999999999997</c:v>
                </c:pt>
                <c:pt idx="5">
                  <c:v>1.1292</c:v>
                </c:pt>
                <c:pt idx="6">
                  <c:v>1.8718999999999999</c:v>
                </c:pt>
              </c:numCache>
            </c:numRef>
          </c:val>
          <c:smooth val="0"/>
          <c:extLst>
            <c:ext xmlns:c16="http://schemas.microsoft.com/office/drawing/2014/chart" uri="{C3380CC4-5D6E-409C-BE32-E72D297353CC}">
              <c16:uniqueId val="{00000003-EF43-40EF-B563-B3E189C8EE0B}"/>
            </c:ext>
          </c:extLst>
        </c:ser>
        <c:dLbls>
          <c:showLegendKey val="0"/>
          <c:showVal val="0"/>
          <c:showCatName val="0"/>
          <c:showSerName val="0"/>
          <c:showPercent val="0"/>
          <c:showBubbleSize val="0"/>
        </c:dLbls>
        <c:smooth val="0"/>
        <c:axId val="111866624"/>
        <c:axId val="111868160"/>
      </c:lineChart>
      <c:dateAx>
        <c:axId val="111866624"/>
        <c:scaling>
          <c:orientation val="minMax"/>
        </c:scaling>
        <c:delete val="0"/>
        <c:axPos val="b"/>
        <c:numFmt formatCode="yy\.mmm" sourceLinked="0"/>
        <c:majorTickMark val="none"/>
        <c:minorTickMark val="none"/>
        <c:tickLblPos val="low"/>
        <c:spPr>
          <a:ln w="3175">
            <a:noFill/>
            <a:prstDash val="solid"/>
          </a:ln>
        </c:spPr>
        <c:txPr>
          <a:bodyPr rot="0" vert="horz"/>
          <a:lstStyle/>
          <a:p>
            <a:pPr>
              <a:defRPr sz="800" b="0" i="0" u="none" strike="noStrike" baseline="0">
                <a:solidFill>
                  <a:srgbClr val="000000"/>
                </a:solidFill>
                <a:latin typeface="Calibri"/>
                <a:ea typeface="Calibri"/>
                <a:cs typeface="Calibri"/>
              </a:defRPr>
            </a:pPr>
            <a:endParaRPr lang="hu-HU"/>
          </a:p>
        </c:txPr>
        <c:crossAx val="111868160"/>
        <c:crosses val="autoZero"/>
        <c:auto val="1"/>
        <c:lblOffset val="100"/>
        <c:baseTimeUnit val="days"/>
        <c:majorUnit val="1"/>
        <c:majorTimeUnit val="months"/>
        <c:minorUnit val="1"/>
        <c:minorTimeUnit val="months"/>
      </c:dateAx>
      <c:valAx>
        <c:axId val="111868160"/>
        <c:scaling>
          <c:orientation val="minMax"/>
          <c:max val="2.5"/>
          <c:min val="-0.5"/>
        </c:scaling>
        <c:delete val="0"/>
        <c:axPos val="l"/>
        <c:majorGridlines>
          <c:spPr>
            <a:ln w="3175">
              <a:solidFill>
                <a:srgbClr val="C0C0C0"/>
              </a:solidFill>
              <a:prstDash val="solid"/>
            </a:ln>
          </c:spPr>
        </c:majorGridlines>
        <c:title>
          <c:tx>
            <c:rich>
              <a:bodyPr rot="-5400000" vert="horz"/>
              <a:lstStyle/>
              <a:p>
                <a:pPr>
                  <a:defRPr sz="800" b="1"/>
                </a:pPr>
                <a:r>
                  <a:rPr lang="en-US" sz="800" b="1"/>
                  <a:t>százalék</a:t>
                </a:r>
              </a:p>
            </c:rich>
          </c:tx>
          <c:overlay val="0"/>
        </c:title>
        <c:numFmt formatCode="0.0" sourceLinked="0"/>
        <c:majorTickMark val="none"/>
        <c:minorTickMark val="none"/>
        <c:tickLblPos val="low"/>
        <c:spPr>
          <a:ln w="3175">
            <a:noFill/>
            <a:prstDash val="solid"/>
          </a:ln>
        </c:spPr>
        <c:txPr>
          <a:bodyPr rot="0" vert="horz"/>
          <a:lstStyle/>
          <a:p>
            <a:pPr>
              <a:defRPr sz="800" b="0" i="0" u="none" strike="noStrike" baseline="0">
                <a:solidFill>
                  <a:srgbClr val="000000"/>
                </a:solidFill>
                <a:latin typeface="Calibri"/>
                <a:ea typeface="Calibri"/>
                <a:cs typeface="Calibri"/>
              </a:defRPr>
            </a:pPr>
            <a:endParaRPr lang="hu-HU"/>
          </a:p>
        </c:txPr>
        <c:crossAx val="111866624"/>
        <c:crosses val="autoZero"/>
        <c:crossBetween val="between"/>
        <c:majorUnit val="0.5"/>
      </c:valAx>
      <c:spPr>
        <a:solidFill>
          <a:srgbClr val="FFFFFF"/>
        </a:solidFill>
        <a:ln w="25400">
          <a:noFill/>
        </a:ln>
      </c:spPr>
    </c:plotArea>
    <c:legend>
      <c:legendPos val="r"/>
      <c:layout>
        <c:manualLayout>
          <c:xMode val="edge"/>
          <c:yMode val="edge"/>
          <c:x val="5.451307189542484E-3"/>
          <c:y val="1.8536324786324772E-3"/>
          <c:w val="0.96964673202614382"/>
          <c:h val="6.0904914529914533E-2"/>
        </c:manualLayout>
      </c:layout>
      <c:overlay val="0"/>
      <c:spPr>
        <a:noFill/>
        <a:ln w="25400">
          <a:noFill/>
        </a:ln>
      </c:spPr>
      <c:txPr>
        <a:bodyPr/>
        <a:lstStyle/>
        <a:p>
          <a:pPr>
            <a:defRPr sz="800" b="0" i="0" u="none" strike="noStrike" baseline="0">
              <a:solidFill>
                <a:srgbClr val="000000"/>
              </a:solidFill>
              <a:latin typeface="Calibri"/>
              <a:ea typeface="Calibri"/>
              <a:cs typeface="Calibri"/>
            </a:defRPr>
          </a:pPr>
          <a:endParaRPr lang="hu-HU"/>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Calibri"/>
          <a:ea typeface="Calibri"/>
          <a:cs typeface="Calibri"/>
        </a:defRPr>
      </a:pPr>
      <a:endParaRPr lang="hu-H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48300653594772"/>
          <c:y val="8.877403846153846E-2"/>
          <c:w val="0.86162712418300658"/>
          <c:h val="0.80036057692307694"/>
        </c:manualLayout>
      </c:layout>
      <c:lineChart>
        <c:grouping val="standard"/>
        <c:varyColors val="0"/>
        <c:ser>
          <c:idx val="0"/>
          <c:order val="0"/>
          <c:tx>
            <c:v>legutóbbi</c:v>
          </c:tx>
          <c:spPr>
            <a:ln w="31750">
              <a:solidFill>
                <a:srgbClr val="005B99"/>
              </a:solidFill>
              <a:prstDash val="solid"/>
            </a:ln>
          </c:spPr>
          <c:marker>
            <c:symbol val="none"/>
          </c:marker>
          <c:cat>
            <c:strRef>
              <c:f>Segédszámítások!$O$21:$O$27</c:f>
              <c:strCache>
                <c:ptCount val="7"/>
                <c:pt idx="0">
                  <c:v>3 hó</c:v>
                </c:pt>
                <c:pt idx="1">
                  <c:v>6 hó</c:v>
                </c:pt>
                <c:pt idx="2">
                  <c:v>12 hó</c:v>
                </c:pt>
                <c:pt idx="3">
                  <c:v>3 év</c:v>
                </c:pt>
                <c:pt idx="4">
                  <c:v>5 év</c:v>
                </c:pt>
                <c:pt idx="5">
                  <c:v>10 év</c:v>
                </c:pt>
                <c:pt idx="6">
                  <c:v>15 év</c:v>
                </c:pt>
              </c:strCache>
            </c:strRef>
          </c:cat>
          <c:val>
            <c:numRef>
              <c:f>Segédszámítások!$P$21:$P$27</c:f>
              <c:numCache>
                <c:formatCode>General</c:formatCode>
                <c:ptCount val="7"/>
                <c:pt idx="0">
                  <c:v>2.91</c:v>
                </c:pt>
                <c:pt idx="1">
                  <c:v>3.15</c:v>
                </c:pt>
                <c:pt idx="2">
                  <c:v>3.88</c:v>
                </c:pt>
                <c:pt idx="3">
                  <c:v>4.3600000000000003</c:v>
                </c:pt>
                <c:pt idx="4">
                  <c:v>4.4000000000000004</c:v>
                </c:pt>
                <c:pt idx="5">
                  <c:v>4.6100000000000003</c:v>
                </c:pt>
                <c:pt idx="6">
                  <c:v>4.7699999999999996</c:v>
                </c:pt>
              </c:numCache>
            </c:numRef>
          </c:val>
          <c:smooth val="0"/>
          <c:extLst>
            <c:ext xmlns:c16="http://schemas.microsoft.com/office/drawing/2014/chart" uri="{C3380CC4-5D6E-409C-BE32-E72D297353CC}">
              <c16:uniqueId val="{00000000-5D60-433E-B136-961D80CF99DB}"/>
            </c:ext>
          </c:extLst>
        </c:ser>
        <c:ser>
          <c:idx val="2"/>
          <c:order val="1"/>
          <c:tx>
            <c:v>1 hete</c:v>
          </c:tx>
          <c:spPr>
            <a:ln w="19050">
              <a:solidFill>
                <a:srgbClr val="005B99"/>
              </a:solidFill>
              <a:prstDash val="lgDash"/>
            </a:ln>
          </c:spPr>
          <c:marker>
            <c:symbol val="none"/>
          </c:marker>
          <c:cat>
            <c:strRef>
              <c:f>Segédszámítások!$O$21:$O$27</c:f>
              <c:strCache>
                <c:ptCount val="7"/>
                <c:pt idx="0">
                  <c:v>3 hó</c:v>
                </c:pt>
                <c:pt idx="1">
                  <c:v>6 hó</c:v>
                </c:pt>
                <c:pt idx="2">
                  <c:v>12 hó</c:v>
                </c:pt>
                <c:pt idx="3">
                  <c:v>3 év</c:v>
                </c:pt>
                <c:pt idx="4">
                  <c:v>5 év</c:v>
                </c:pt>
                <c:pt idx="5">
                  <c:v>10 év</c:v>
                </c:pt>
                <c:pt idx="6">
                  <c:v>15 év</c:v>
                </c:pt>
              </c:strCache>
            </c:strRef>
          </c:cat>
          <c:val>
            <c:numRef>
              <c:f>Segédszámítások!$Q$21:$Q$27</c:f>
              <c:numCache>
                <c:formatCode>General</c:formatCode>
                <c:ptCount val="7"/>
                <c:pt idx="0">
                  <c:v>2.93</c:v>
                </c:pt>
                <c:pt idx="1">
                  <c:v>3.15</c:v>
                </c:pt>
                <c:pt idx="2">
                  <c:v>4.03</c:v>
                </c:pt>
                <c:pt idx="3">
                  <c:v>4.5</c:v>
                </c:pt>
                <c:pt idx="4">
                  <c:v>4.62</c:v>
                </c:pt>
                <c:pt idx="5">
                  <c:v>4.6900000000000004</c:v>
                </c:pt>
                <c:pt idx="6">
                  <c:v>4.84</c:v>
                </c:pt>
              </c:numCache>
            </c:numRef>
          </c:val>
          <c:smooth val="0"/>
          <c:extLst>
            <c:ext xmlns:c16="http://schemas.microsoft.com/office/drawing/2014/chart" uri="{C3380CC4-5D6E-409C-BE32-E72D297353CC}">
              <c16:uniqueId val="{00000001-5D60-433E-B136-961D80CF99DB}"/>
            </c:ext>
          </c:extLst>
        </c:ser>
        <c:ser>
          <c:idx val="3"/>
          <c:order val="2"/>
          <c:tx>
            <c:v>1 hónapja</c:v>
          </c:tx>
          <c:spPr>
            <a:ln w="19050">
              <a:solidFill>
                <a:srgbClr val="005B99"/>
              </a:solidFill>
              <a:prstDash val="dash"/>
            </a:ln>
          </c:spPr>
          <c:marker>
            <c:symbol val="none"/>
          </c:marker>
          <c:cat>
            <c:strRef>
              <c:f>Segédszámítások!$O$21:$O$27</c:f>
              <c:strCache>
                <c:ptCount val="7"/>
                <c:pt idx="0">
                  <c:v>3 hó</c:v>
                </c:pt>
                <c:pt idx="1">
                  <c:v>6 hó</c:v>
                </c:pt>
                <c:pt idx="2">
                  <c:v>12 hó</c:v>
                </c:pt>
                <c:pt idx="3">
                  <c:v>3 év</c:v>
                </c:pt>
                <c:pt idx="4">
                  <c:v>5 év</c:v>
                </c:pt>
                <c:pt idx="5">
                  <c:v>10 év</c:v>
                </c:pt>
                <c:pt idx="6">
                  <c:v>15 év</c:v>
                </c:pt>
              </c:strCache>
            </c:strRef>
          </c:cat>
          <c:val>
            <c:numRef>
              <c:f>Segédszámítások!$R$21:$R$27</c:f>
              <c:numCache>
                <c:formatCode>General</c:formatCode>
                <c:ptCount val="7"/>
                <c:pt idx="0">
                  <c:v>2.7</c:v>
                </c:pt>
                <c:pt idx="1">
                  <c:v>2.64</c:v>
                </c:pt>
                <c:pt idx="2">
                  <c:v>3.01</c:v>
                </c:pt>
                <c:pt idx="3">
                  <c:v>4.09</c:v>
                </c:pt>
                <c:pt idx="4">
                  <c:v>4.3600000000000003</c:v>
                </c:pt>
                <c:pt idx="5">
                  <c:v>4.57</c:v>
                </c:pt>
                <c:pt idx="6">
                  <c:v>4.6100000000000003</c:v>
                </c:pt>
              </c:numCache>
            </c:numRef>
          </c:val>
          <c:smooth val="0"/>
          <c:extLst>
            <c:ext xmlns:c16="http://schemas.microsoft.com/office/drawing/2014/chart" uri="{C3380CC4-5D6E-409C-BE32-E72D297353CC}">
              <c16:uniqueId val="{00000002-5D60-433E-B136-961D80CF99DB}"/>
            </c:ext>
          </c:extLst>
        </c:ser>
        <c:ser>
          <c:idx val="4"/>
          <c:order val="3"/>
          <c:tx>
            <c:v>1 éve</c:v>
          </c:tx>
          <c:spPr>
            <a:ln w="19050">
              <a:solidFill>
                <a:srgbClr val="005B99"/>
              </a:solidFill>
              <a:prstDash val="sysDot"/>
            </a:ln>
          </c:spPr>
          <c:marker>
            <c:symbol val="none"/>
          </c:marker>
          <c:cat>
            <c:strRef>
              <c:f>Segédszámítások!$O$21:$O$27</c:f>
              <c:strCache>
                <c:ptCount val="7"/>
                <c:pt idx="0">
                  <c:v>3 hó</c:v>
                </c:pt>
                <c:pt idx="1">
                  <c:v>6 hó</c:v>
                </c:pt>
                <c:pt idx="2">
                  <c:v>12 hó</c:v>
                </c:pt>
                <c:pt idx="3">
                  <c:v>3 év</c:v>
                </c:pt>
                <c:pt idx="4">
                  <c:v>5 év</c:v>
                </c:pt>
                <c:pt idx="5">
                  <c:v>10 év</c:v>
                </c:pt>
                <c:pt idx="6">
                  <c:v>15 év</c:v>
                </c:pt>
              </c:strCache>
            </c:strRef>
          </c:cat>
          <c:val>
            <c:numRef>
              <c:f>Segédszámítások!$S$21:$S$27</c:f>
              <c:numCache>
                <c:formatCode>General</c:formatCode>
                <c:ptCount val="7"/>
                <c:pt idx="0">
                  <c:v>0.28000000000000003</c:v>
                </c:pt>
                <c:pt idx="1">
                  <c:v>0.35</c:v>
                </c:pt>
                <c:pt idx="2">
                  <c:v>0.41</c:v>
                </c:pt>
                <c:pt idx="3">
                  <c:v>1.02</c:v>
                </c:pt>
                <c:pt idx="4">
                  <c:v>1.43</c:v>
                </c:pt>
                <c:pt idx="5">
                  <c:v>2.2999999999999998</c:v>
                </c:pt>
                <c:pt idx="6">
                  <c:v>2.42</c:v>
                </c:pt>
              </c:numCache>
            </c:numRef>
          </c:val>
          <c:smooth val="0"/>
          <c:extLst>
            <c:ext xmlns:c16="http://schemas.microsoft.com/office/drawing/2014/chart" uri="{C3380CC4-5D6E-409C-BE32-E72D297353CC}">
              <c16:uniqueId val="{00000003-5D60-433E-B136-961D80CF99DB}"/>
            </c:ext>
          </c:extLst>
        </c:ser>
        <c:dLbls>
          <c:showLegendKey val="0"/>
          <c:showVal val="0"/>
          <c:showCatName val="0"/>
          <c:showSerName val="0"/>
          <c:showPercent val="0"/>
          <c:showBubbleSize val="0"/>
        </c:dLbls>
        <c:smooth val="0"/>
        <c:axId val="111913216"/>
        <c:axId val="111915008"/>
      </c:lineChart>
      <c:dateAx>
        <c:axId val="111913216"/>
        <c:scaling>
          <c:orientation val="minMax"/>
        </c:scaling>
        <c:delete val="0"/>
        <c:axPos val="b"/>
        <c:numFmt formatCode="yy\.mmm" sourceLinked="0"/>
        <c:majorTickMark val="none"/>
        <c:minorTickMark val="none"/>
        <c:tickLblPos val="low"/>
        <c:spPr>
          <a:ln w="3175">
            <a:noFill/>
            <a:prstDash val="solid"/>
          </a:ln>
        </c:spPr>
        <c:txPr>
          <a:bodyPr rot="0" vert="horz"/>
          <a:lstStyle/>
          <a:p>
            <a:pPr>
              <a:defRPr sz="800" b="0" i="0" u="none" strike="noStrike" baseline="0">
                <a:solidFill>
                  <a:srgbClr val="000000"/>
                </a:solidFill>
                <a:latin typeface="Calibri"/>
                <a:ea typeface="Calibri"/>
                <a:cs typeface="Calibri"/>
              </a:defRPr>
            </a:pPr>
            <a:endParaRPr lang="hu-HU"/>
          </a:p>
        </c:txPr>
        <c:crossAx val="111915008"/>
        <c:crosses val="autoZero"/>
        <c:auto val="1"/>
        <c:lblOffset val="100"/>
        <c:baseTimeUnit val="days"/>
        <c:majorUnit val="1"/>
        <c:majorTimeUnit val="months"/>
        <c:minorUnit val="1"/>
        <c:minorTimeUnit val="months"/>
      </c:dateAx>
      <c:valAx>
        <c:axId val="111915008"/>
        <c:scaling>
          <c:orientation val="minMax"/>
          <c:max val="5"/>
          <c:min val="0"/>
        </c:scaling>
        <c:delete val="0"/>
        <c:axPos val="l"/>
        <c:majorGridlines>
          <c:spPr>
            <a:ln w="3175">
              <a:solidFill>
                <a:srgbClr val="C0C0C0"/>
              </a:solidFill>
              <a:prstDash val="solid"/>
            </a:ln>
          </c:spPr>
        </c:majorGridlines>
        <c:title>
          <c:tx>
            <c:rich>
              <a:bodyPr rot="-5400000" vert="horz"/>
              <a:lstStyle/>
              <a:p>
                <a:pPr>
                  <a:defRPr sz="800" b="1"/>
                </a:pPr>
                <a:r>
                  <a:rPr lang="en-US" sz="800" b="1"/>
                  <a:t>százalék</a:t>
                </a:r>
              </a:p>
            </c:rich>
          </c:tx>
          <c:layout>
            <c:manualLayout>
              <c:xMode val="edge"/>
              <c:yMode val="edge"/>
              <c:x val="5.4362745098039218E-3"/>
              <c:y val="0.36928098290598288"/>
            </c:manualLayout>
          </c:layout>
          <c:overlay val="0"/>
        </c:title>
        <c:numFmt formatCode="0.0" sourceLinked="0"/>
        <c:majorTickMark val="none"/>
        <c:minorTickMark val="none"/>
        <c:tickLblPos val="low"/>
        <c:spPr>
          <a:ln w="3175">
            <a:noFill/>
            <a:prstDash val="solid"/>
          </a:ln>
        </c:spPr>
        <c:txPr>
          <a:bodyPr rot="0" vert="horz"/>
          <a:lstStyle/>
          <a:p>
            <a:pPr>
              <a:defRPr sz="800" b="0" i="0" u="none" strike="noStrike" baseline="0">
                <a:solidFill>
                  <a:srgbClr val="000000"/>
                </a:solidFill>
                <a:latin typeface="Calibri"/>
                <a:ea typeface="Calibri"/>
                <a:cs typeface="Calibri"/>
              </a:defRPr>
            </a:pPr>
            <a:endParaRPr lang="hu-HU"/>
          </a:p>
        </c:txPr>
        <c:crossAx val="111913216"/>
        <c:crosses val="autoZero"/>
        <c:crossBetween val="between"/>
        <c:majorUnit val="0.5"/>
      </c:valAx>
      <c:spPr>
        <a:solidFill>
          <a:srgbClr val="FFFFFF"/>
        </a:solidFill>
        <a:ln w="25400">
          <a:noFill/>
        </a:ln>
      </c:spPr>
    </c:plotArea>
    <c:legend>
      <c:legendPos val="r"/>
      <c:layout>
        <c:manualLayout>
          <c:xMode val="edge"/>
          <c:yMode val="edge"/>
          <c:x val="0"/>
          <c:y val="2.321581196581195E-3"/>
          <c:w val="0.966797385620915"/>
          <c:h val="3.3768162393162396E-2"/>
        </c:manualLayout>
      </c:layout>
      <c:overlay val="0"/>
      <c:spPr>
        <a:noFill/>
        <a:ln w="25400">
          <a:noFill/>
        </a:ln>
      </c:spPr>
      <c:txPr>
        <a:bodyPr/>
        <a:lstStyle/>
        <a:p>
          <a:pPr>
            <a:defRPr sz="800" b="0" i="0" u="none" strike="noStrike" baseline="0">
              <a:solidFill>
                <a:srgbClr val="000000"/>
              </a:solidFill>
              <a:latin typeface="Calibri"/>
              <a:ea typeface="Calibri"/>
              <a:cs typeface="Calibri"/>
            </a:defRPr>
          </a:pPr>
          <a:endParaRPr lang="hu-HU"/>
        </a:p>
      </c:txPr>
    </c:legend>
    <c:plotVisOnly val="1"/>
    <c:dispBlanksAs val="gap"/>
    <c:showDLblsOverMax val="0"/>
  </c:chart>
  <c:spPr>
    <a:solidFill>
      <a:srgbClr val="FFFFFF"/>
    </a:solidFill>
    <a:ln w="9525">
      <a:noFill/>
    </a:ln>
  </c:spPr>
  <c:txPr>
    <a:bodyPr/>
    <a:lstStyle/>
    <a:p>
      <a:pPr>
        <a:defRPr sz="700" b="0" i="0" u="none" strike="noStrike" baseline="0">
          <a:solidFill>
            <a:srgbClr val="000000"/>
          </a:solidFill>
          <a:latin typeface="Calibri"/>
          <a:ea typeface="Calibri"/>
          <a:cs typeface="Calibri"/>
        </a:defRPr>
      </a:pPr>
      <a:endParaRPr lang="hu-H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Takarekbank szinsema">
    <a:dk1>
      <a:srgbClr val="1D428A"/>
    </a:dk1>
    <a:lt1>
      <a:sysClr val="window" lastClr="FFFFFF"/>
    </a:lt1>
    <a:dk2>
      <a:srgbClr val="1D428A"/>
    </a:dk2>
    <a:lt2>
      <a:srgbClr val="EEECE1"/>
    </a:lt2>
    <a:accent1>
      <a:srgbClr val="1D428A"/>
    </a:accent1>
    <a:accent2>
      <a:srgbClr val="FF8200"/>
    </a:accent2>
    <a:accent3>
      <a:srgbClr val="00B2A9"/>
    </a:accent3>
    <a:accent4>
      <a:srgbClr val="1D428A"/>
    </a:accent4>
    <a:accent5>
      <a:srgbClr val="00B2A9"/>
    </a:accent5>
    <a:accent6>
      <a:srgbClr val="FF8200"/>
    </a:accent6>
    <a:hlink>
      <a:srgbClr val="1D428A"/>
    </a:hlink>
    <a:folHlink>
      <a:srgbClr val="FF820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akarekbank szinsema">
    <a:dk1>
      <a:srgbClr val="1D428A"/>
    </a:dk1>
    <a:lt1>
      <a:sysClr val="window" lastClr="FFFFFF"/>
    </a:lt1>
    <a:dk2>
      <a:srgbClr val="1D428A"/>
    </a:dk2>
    <a:lt2>
      <a:srgbClr val="EEECE1"/>
    </a:lt2>
    <a:accent1>
      <a:srgbClr val="1D428A"/>
    </a:accent1>
    <a:accent2>
      <a:srgbClr val="FF8200"/>
    </a:accent2>
    <a:accent3>
      <a:srgbClr val="00B2A9"/>
    </a:accent3>
    <a:accent4>
      <a:srgbClr val="1D428A"/>
    </a:accent4>
    <a:accent5>
      <a:srgbClr val="00B2A9"/>
    </a:accent5>
    <a:accent6>
      <a:srgbClr val="FF8200"/>
    </a:accent6>
    <a:hlink>
      <a:srgbClr val="1D428A"/>
    </a:hlink>
    <a:folHlink>
      <a:srgbClr val="FF820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Takarekbank szinsema">
    <a:dk1>
      <a:srgbClr val="1D428A"/>
    </a:dk1>
    <a:lt1>
      <a:sysClr val="window" lastClr="FFFFFF"/>
    </a:lt1>
    <a:dk2>
      <a:srgbClr val="1D428A"/>
    </a:dk2>
    <a:lt2>
      <a:srgbClr val="EEECE1"/>
    </a:lt2>
    <a:accent1>
      <a:srgbClr val="1D428A"/>
    </a:accent1>
    <a:accent2>
      <a:srgbClr val="FF8200"/>
    </a:accent2>
    <a:accent3>
      <a:srgbClr val="00B2A9"/>
    </a:accent3>
    <a:accent4>
      <a:srgbClr val="1D428A"/>
    </a:accent4>
    <a:accent5>
      <a:srgbClr val="00B2A9"/>
    </a:accent5>
    <a:accent6>
      <a:srgbClr val="FF8200"/>
    </a:accent6>
    <a:hlink>
      <a:srgbClr val="1D428A"/>
    </a:hlink>
    <a:folHlink>
      <a:srgbClr val="FF820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C0AFA-4006-4E00-9771-811C5891F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51</Pages>
  <Words>17640</Words>
  <Characters>121721</Characters>
  <Application>Microsoft Office Word</Application>
  <DocSecurity>4</DocSecurity>
  <Lines>2254</Lines>
  <Paragraphs>603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Magyar Takarékszövetkezeti Bank Zrt.</Company>
  <LinksUpToDate>false</LinksUpToDate>
  <CharactersWithSpaces>138758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Cserhalmi Tamás</dc:creator>
  <cp:lastModifiedBy>Erdélyi Dóra</cp:lastModifiedBy>
  <cp:revision>2</cp:revision>
  <cp:lastPrinted>2021-01-20T14:58:00Z</cp:lastPrinted>
  <dcterms:created xsi:type="dcterms:W3CDTF">2022-01-19T08:06:00Z</dcterms:created>
  <dcterms:modified xsi:type="dcterms:W3CDTF">2022-01-19T08:06:00Z</dcterms:modified>
</cp:coreProperties>
</file>