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F348E" w14:textId="77777777" w:rsidR="00E660C4" w:rsidRPr="00F34975" w:rsidRDefault="00E660C4" w:rsidP="002D16CB">
      <w:pPr>
        <w:pStyle w:val="Cm"/>
        <w:widowControl w:val="0"/>
        <w:pBdr>
          <w:bottom w:val="single" w:sz="12" w:space="4" w:color="auto"/>
        </w:pBdr>
        <w:shd w:val="clear" w:color="auto" w:fill="1D428A"/>
        <w:spacing w:before="60" w:line="240" w:lineRule="auto"/>
        <w:ind w:left="-90" w:right="-118" w:firstLine="90"/>
        <w:contextualSpacing/>
        <w:outlineLvl w:val="9"/>
        <w:rPr>
          <w:rFonts w:ascii="Arial" w:hAnsi="Arial" w:cs="Arial"/>
          <w:bCs w:val="0"/>
          <w:caps/>
          <w:color w:val="FFFFFF"/>
          <w:spacing w:val="5"/>
          <w:sz w:val="20"/>
          <w:szCs w:val="20"/>
          <w:lang w:val="hu-HU"/>
        </w:rPr>
      </w:pPr>
      <w:bookmarkStart w:id="0" w:name="OLE_LINK3"/>
      <w:bookmarkStart w:id="1" w:name="_GoBack"/>
      <w:bookmarkEnd w:id="1"/>
      <w:r w:rsidRPr="00F34975">
        <w:rPr>
          <w:rFonts w:ascii="Arial" w:hAnsi="Arial" w:cs="Arial"/>
          <w:bCs w:val="0"/>
          <w:caps/>
          <w:color w:val="FFFFFF"/>
          <w:spacing w:val="5"/>
          <w:sz w:val="20"/>
          <w:szCs w:val="20"/>
          <w:lang w:val="hu-HU"/>
        </w:rPr>
        <w:t>Hitelkártya ÜgyfélTájékoztató</w:t>
      </w:r>
    </w:p>
    <w:bookmarkEnd w:id="0"/>
    <w:p w14:paraId="560FFCBB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 is az a Hitelkártya?</w:t>
      </w:r>
    </w:p>
    <w:p w14:paraId="3E5F8746" w14:textId="552699AA" w:rsidR="00E660C4" w:rsidRPr="00F93079" w:rsidRDefault="00E660C4" w:rsidP="00982B2D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hitelkártya egy speciális hiteltermék, amely a bankkártya, és a rulírozó hitelkeret ötvözete, de a vásárlással felhasznált hitelkeret bizonyos ideig kamatmentes (lásd hitelkeret elszámolása pont).</w:t>
      </w:r>
    </w:p>
    <w:p w14:paraId="71D54D23" w14:textId="77777777" w:rsidR="00E660C4" w:rsidRPr="00F93079" w:rsidRDefault="00E660C4" w:rsidP="00982B2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kamatmentesség hossza függ a vásárlási tranzakciók időpontjától. A Hitelintézet a hónap utolsó napján elszámolást készít a forgalmi adatokból. A elszámolási nap után még 15 napja van az adósnak, hogy visszafizesse a felhasznált hitelkeret összegét. Példa: Ha Ön április 10-én vásárol a kártyával, és 30-a az elszámolás napja, akkor Önnek. május 15-ig kell a felhasznált hiteltartozást megfizetnie, hogy az adott vásárlása kamatmentes legyen.</w:t>
      </w:r>
    </w:p>
    <w:p w14:paraId="1EFD2736" w14:textId="77777777" w:rsidR="00E660C4" w:rsidRPr="00F93079" w:rsidRDefault="00E660C4" w:rsidP="00982B2D">
      <w:pPr>
        <w:spacing w:before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F93079">
        <w:rPr>
          <w:rFonts w:ascii="Arial" w:hAnsi="Arial" w:cs="Arial"/>
          <w:sz w:val="18"/>
          <w:szCs w:val="18"/>
        </w:rPr>
        <w:t>Felhívjuk figyelmét, hogy a hitelkeretből ATM-en keresztül felvett összeg azonnal kamatozik, és nem érvényes ezen összegre a fenti példa!</w:t>
      </w:r>
    </w:p>
    <w:p w14:paraId="70D600E1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Ki jogosult hitelkártya igénylésére?</w:t>
      </w:r>
    </w:p>
    <w:p w14:paraId="5CECB5C4" w14:textId="52958CE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Hitelkártyát minden 18. (tizennyolcadik) életévét betöltött, cselekvőképes, rezidens, magyar állampolgárságú természetes személy igényelhet, aki megfelel a </w:t>
      </w:r>
      <w:r w:rsidR="00E4533E" w:rsidRPr="00F93079">
        <w:rPr>
          <w:rFonts w:ascii="Arial" w:hAnsi="Arial" w:cs="Arial"/>
          <w:sz w:val="18"/>
          <w:szCs w:val="18"/>
        </w:rPr>
        <w:t>Hitelintézet</w:t>
      </w:r>
      <w:r w:rsidRPr="00F93079">
        <w:rPr>
          <w:rFonts w:ascii="Arial" w:hAnsi="Arial" w:cs="Arial"/>
          <w:sz w:val="18"/>
          <w:szCs w:val="18"/>
        </w:rPr>
        <w:t xml:space="preserve"> által a Hitelkártya igényléssel szemb</w:t>
      </w:r>
      <w:r w:rsidR="00982B2D">
        <w:rPr>
          <w:rFonts w:ascii="Arial" w:hAnsi="Arial" w:cs="Arial"/>
          <w:sz w:val="18"/>
          <w:szCs w:val="18"/>
        </w:rPr>
        <w:t>en támasztott követelményeknek.</w:t>
      </w:r>
    </w:p>
    <w:p w14:paraId="00060E21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Milyen típusú hitelkártyát igényelhetek?</w:t>
      </w:r>
    </w:p>
    <w:p w14:paraId="0358A703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Hitelintézetünknél</w:t>
      </w:r>
    </w:p>
    <w:p w14:paraId="1098B9D1" w14:textId="22831307" w:rsidR="00E660C4" w:rsidRPr="00982B2D" w:rsidRDefault="00E660C4" w:rsidP="00DD009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982B2D">
        <w:rPr>
          <w:rFonts w:ascii="Arial" w:hAnsi="Arial" w:cs="Arial"/>
          <w:sz w:val="18"/>
          <w:szCs w:val="18"/>
        </w:rPr>
        <w:t>Takarék Hitelkártya (</w:t>
      </w:r>
      <w:r w:rsidR="00883890">
        <w:rPr>
          <w:rFonts w:ascii="Arial" w:hAnsi="Arial" w:cs="Arial"/>
          <w:sz w:val="18"/>
          <w:szCs w:val="18"/>
        </w:rPr>
        <w:t>MasterCard Unembossed PayPass</w:t>
      </w:r>
      <w:r w:rsidRPr="00982B2D">
        <w:rPr>
          <w:rFonts w:ascii="Arial" w:hAnsi="Arial" w:cs="Arial"/>
          <w:sz w:val="18"/>
          <w:szCs w:val="18"/>
        </w:rPr>
        <w:t>)</w:t>
      </w:r>
      <w:r w:rsidR="00982B2D">
        <w:rPr>
          <w:rFonts w:ascii="Arial" w:hAnsi="Arial" w:cs="Arial"/>
          <w:sz w:val="18"/>
          <w:szCs w:val="18"/>
        </w:rPr>
        <w:t xml:space="preserve"> </w:t>
      </w:r>
      <w:r w:rsidRPr="00982B2D">
        <w:rPr>
          <w:rFonts w:ascii="Arial" w:hAnsi="Arial" w:cs="Arial"/>
          <w:sz w:val="18"/>
          <w:szCs w:val="18"/>
        </w:rPr>
        <w:t>igényelhető.</w:t>
      </w:r>
    </w:p>
    <w:p w14:paraId="4E1D360E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Hitelkártyáink forint alapúak, azaz a kártyával végrehajtott tranzakciók minden esetben forintban kerülnek elszámolásra. A kártyák külföldi használata esetén a Hirdetményünkben rögzített elszámolási rendnek megfelelően történik meg a külföldi pénznemben végzett vásárlás, vagy készpénzfelvétel forintra átszámítása.</w:t>
      </w:r>
    </w:p>
    <w:p w14:paraId="51AF9A97" w14:textId="77777777" w:rsidR="00E660C4" w:rsidRPr="00F93079" w:rsidRDefault="00E660C4" w:rsidP="00982B2D">
      <w:pPr>
        <w:spacing w:before="24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Mekkora hitelkeretet igényelhetek?</w:t>
      </w:r>
    </w:p>
    <w:p w14:paraId="58CA7516" w14:textId="3C2C3BE3" w:rsidR="00E660C4" w:rsidRPr="00F93079" w:rsidRDefault="00E660C4" w:rsidP="00982B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</w:t>
      </w:r>
      <w:r w:rsidR="00982B2D">
        <w:rPr>
          <w:rFonts w:ascii="Arial" w:hAnsi="Arial" w:cs="Arial"/>
          <w:sz w:val="18"/>
          <w:szCs w:val="18"/>
        </w:rPr>
        <w:t xml:space="preserve">telkeret minimális összege: 100 </w:t>
      </w:r>
      <w:r w:rsidRPr="00F93079">
        <w:rPr>
          <w:rFonts w:ascii="Arial" w:hAnsi="Arial" w:cs="Arial"/>
          <w:sz w:val="18"/>
          <w:szCs w:val="18"/>
        </w:rPr>
        <w:t>000 forint.</w:t>
      </w:r>
    </w:p>
    <w:p w14:paraId="69FAABD9" w14:textId="00017DB5" w:rsidR="00E660C4" w:rsidRPr="00F93079" w:rsidRDefault="00E660C4" w:rsidP="00982B2D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hite</w:t>
      </w:r>
      <w:r w:rsidR="00982B2D">
        <w:rPr>
          <w:rFonts w:ascii="Arial" w:hAnsi="Arial" w:cs="Arial"/>
          <w:sz w:val="18"/>
          <w:szCs w:val="18"/>
        </w:rPr>
        <w:t xml:space="preserve">lkeret maximális összege: 1 000 </w:t>
      </w:r>
      <w:r w:rsidRPr="00F93079">
        <w:rPr>
          <w:rFonts w:ascii="Arial" w:hAnsi="Arial" w:cs="Arial"/>
          <w:sz w:val="18"/>
          <w:szCs w:val="18"/>
        </w:rPr>
        <w:t>000 forint.</w:t>
      </w:r>
    </w:p>
    <w:p w14:paraId="509FA263" w14:textId="11309F40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Hitelbírálati eljárás keretében a Hitelintézet hitelképesség vizsgálatot végez, és meghatározza az Ön által igénybe</w:t>
      </w:r>
      <w:r w:rsidR="008C009C">
        <w:rPr>
          <w:rFonts w:ascii="Arial" w:hAnsi="Arial" w:cs="Arial"/>
          <w:sz w:val="18"/>
          <w:szCs w:val="18"/>
        </w:rPr>
        <w:t xml:space="preserve"> </w:t>
      </w:r>
      <w:r w:rsidRPr="00F93079">
        <w:rPr>
          <w:rFonts w:ascii="Arial" w:hAnsi="Arial" w:cs="Arial"/>
          <w:sz w:val="18"/>
          <w:szCs w:val="18"/>
        </w:rPr>
        <w:t>vehető hitelkeret mértékét. A jóváhagyható hitelkeret mértéke függ az igénylő személy igazolt havi nettó jövedelmétől. Az igényléshez rendszeres jövedelemmel kell rendelkezni, amelynek havi nettó összege nem lehet kevesebb a mindenkori min</w:t>
      </w:r>
      <w:r w:rsidR="00982B2D">
        <w:rPr>
          <w:rFonts w:ascii="Arial" w:hAnsi="Arial" w:cs="Arial"/>
          <w:sz w:val="18"/>
          <w:szCs w:val="18"/>
        </w:rPr>
        <w:t>imálbérnek megfelelő összegnél.</w:t>
      </w:r>
    </w:p>
    <w:p w14:paraId="172581CA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hitelkeret összege minden esetben a kerekítési szabály szerint 1 000 Ft-ra kerekítetten kerül meghatározásra.</w:t>
      </w:r>
    </w:p>
    <w:p w14:paraId="14F0E359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sz w:val="23"/>
          <w:szCs w:val="23"/>
          <w:lang w:eastAsia="hu-HU"/>
        </w:rPr>
        <w:t>Igényelhetek-e hitelkártyát a családtagjaim részére?</w:t>
      </w:r>
    </w:p>
    <w:p w14:paraId="784E9350" w14:textId="1A232598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Igen, Ön családtagjai részére, (akik legalább a 18. életévét betöltötték, és állandó magyarországi lakhellyel rendelk</w:t>
      </w:r>
      <w:r w:rsidR="00160258">
        <w:rPr>
          <w:rFonts w:ascii="Arial" w:hAnsi="Arial" w:cs="Arial"/>
          <w:sz w:val="18"/>
          <w:szCs w:val="18"/>
        </w:rPr>
        <w:t xml:space="preserve">eznek) társkártyát igényelhet. </w:t>
      </w:r>
      <w:r w:rsidRPr="00F93079">
        <w:rPr>
          <w:rFonts w:ascii="Arial" w:hAnsi="Arial" w:cs="Arial"/>
          <w:sz w:val="18"/>
          <w:szCs w:val="18"/>
        </w:rPr>
        <w:t xml:space="preserve">Egy hitelkerethez 1 főkártya, és maximum </w:t>
      </w:r>
      <w:r w:rsidR="00627142" w:rsidRPr="00F93079">
        <w:rPr>
          <w:rFonts w:ascii="Arial" w:hAnsi="Arial" w:cs="Arial"/>
          <w:sz w:val="18"/>
          <w:szCs w:val="18"/>
        </w:rPr>
        <w:t xml:space="preserve">4 </w:t>
      </w:r>
      <w:r w:rsidRPr="00F93079">
        <w:rPr>
          <w:rFonts w:ascii="Arial" w:hAnsi="Arial" w:cs="Arial"/>
          <w:sz w:val="18"/>
          <w:szCs w:val="18"/>
        </w:rPr>
        <w:t>db társkártya igényelhető. A társkártyák birtokosai az Ön részére jóváhagyott hitelkeret terhére használhatják kártyáikat. A társkártyák birtokosai által lebonyolított tranzakciókért Ön tartozik felelősséggel. A társkártyák használatát Ön napi limitek megadásával korlátozhatja.</w:t>
      </w:r>
    </w:p>
    <w:p w14:paraId="797656ED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lastRenderedPageBreak/>
        <w:t>Mire használhatom a hitelkártyámat?</w:t>
      </w:r>
    </w:p>
    <w:p w14:paraId="4BF1AD78" w14:textId="77777777" w:rsidR="00E660C4" w:rsidRPr="00F93079" w:rsidRDefault="00E660C4" w:rsidP="00982B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A hitelkártya használatával Ön a hitelkeret </w:t>
      </w:r>
      <w:r w:rsidR="00C171CB" w:rsidRPr="00F93079">
        <w:rPr>
          <w:rFonts w:ascii="Arial" w:hAnsi="Arial" w:cs="Arial"/>
          <w:sz w:val="18"/>
          <w:szCs w:val="18"/>
        </w:rPr>
        <w:t xml:space="preserve">és a beállított Limitek </w:t>
      </w:r>
      <w:r w:rsidRPr="00F93079">
        <w:rPr>
          <w:rFonts w:ascii="Arial" w:hAnsi="Arial" w:cs="Arial"/>
          <w:sz w:val="18"/>
          <w:szCs w:val="18"/>
        </w:rPr>
        <w:t>erejéig hajthat végre vásárlási tranzakciókat, vagy készpénzt vehet fel. Kártyáink belföldi és nemzetközi használatra egyaránt alkalmasak, ebből adódóan Ön Hitelkártyáját a világ bármely pontján használhatja a MasterCard logóval ellátott elfogadóhelyeken. Hitelkártyáink használatával az interneten keresztül végrehajtott vásárlásait is kifizetheti.</w:t>
      </w:r>
    </w:p>
    <w:p w14:paraId="4C9080A0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bookmarkStart w:id="2" w:name="OLE_LINK121"/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A hitelkártya igénylése magával vonja a lakossági bankszámla megnyitását?</w:t>
      </w:r>
    </w:p>
    <w:p w14:paraId="5EA35A2E" w14:textId="115A0D94" w:rsidR="00E660C4" w:rsidRPr="00F93079" w:rsidRDefault="00E660C4" w:rsidP="00982B2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Nem, Önnek nem kell lakossági bankszámlát nyitni a hitelkártya igényléshez, ezáltal a kártyahasználathoz szükséges fedezetet sem kell előre biztosítania. A </w:t>
      </w:r>
      <w:r w:rsidR="00C171CB" w:rsidRPr="00F93079">
        <w:rPr>
          <w:rFonts w:ascii="Arial" w:hAnsi="Arial" w:cs="Arial"/>
          <w:sz w:val="18"/>
          <w:szCs w:val="18"/>
        </w:rPr>
        <w:t xml:space="preserve">Hitelintézet </w:t>
      </w:r>
      <w:r w:rsidRPr="00F93079">
        <w:rPr>
          <w:rFonts w:ascii="Arial" w:hAnsi="Arial" w:cs="Arial"/>
          <w:sz w:val="18"/>
          <w:szCs w:val="18"/>
        </w:rPr>
        <w:t>hitelkeretet tart az Ön rendelkezésére, melyet az Ön, illetve a társkártya birtokosok nevére kibocsátott hitelkártyákkal használhatnak.</w:t>
      </w:r>
    </w:p>
    <w:bookmarkEnd w:id="2"/>
    <w:p w14:paraId="3BC791AB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Mikor kell visszafizetnem a felhasznált hitelkeretet?</w:t>
      </w:r>
    </w:p>
    <w:p w14:paraId="722C29BB" w14:textId="77777777" w:rsidR="00E660C4" w:rsidRPr="00F93079" w:rsidRDefault="00E660C4" w:rsidP="00982B2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Hitelintézetünk a mindenkor hatályos Hirdetményében teszi közzé az Elszámolási időszak utolsó napját, a Fordulónapot (jelenleg minden hónap utolsó napja). A Fordulónapon megtörténik az adott Elszámolási időszakban a hitelkeret terhére lebonyolított forgalom elszámolása, és a Forgalmi kivonat előállítása. A Fordulónapot követően Önnek 15 naptári nap áll rendelkezésére, hogy visszafizesse a Felhasznált Hitelkeretét. Ezt a 15 napos periódust Türelmi időszaknak tekintjük. Ha a Türelmi időszak utolsó napja munkaszüneti napra esik, akkor a fizetési határidő az azt követő első banki munkanap.</w:t>
      </w:r>
    </w:p>
    <w:p w14:paraId="2349D842" w14:textId="77777777" w:rsidR="00E660C4" w:rsidRPr="00F93079" w:rsidRDefault="00E660C4" w:rsidP="00982B2D">
      <w:pPr>
        <w:pageBreakBefore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lastRenderedPageBreak/>
        <w:t>Mekkora összeget kell visszafizetnem a Türelmi időszak végéig?</w:t>
      </w:r>
    </w:p>
    <w:p w14:paraId="62FA100D" w14:textId="77777777" w:rsidR="00E660C4" w:rsidRPr="00F93079" w:rsidRDefault="00E660C4" w:rsidP="00982B2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pénzügyi helyzete alapján Ön szabadon eldöntheti, hogy visszafizeti-e a teljes fennálló tartozását vagy sem. A Türelmi időszak végéig, vagyis a Fizetési határidőig, azonban legalább a Forgalmi kivonaton meghatározott minimum fizetendő összeget vissza kell fizetnie, amely a Fordulónapon fennálló teljes tartozásának az 5%-a (továbbá az esetlegesen hitelkeret túllépésből, vagy a korábbi elszámolási időszakokban a minimum fizetendő összeg meg nem fizetéséből származó teljes összeg).</w:t>
      </w:r>
    </w:p>
    <w:p w14:paraId="2E46A5C7" w14:textId="77777777" w:rsidR="00E660C4" w:rsidRPr="00F93079" w:rsidRDefault="00E660C4" w:rsidP="00982B2D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Az Ön által teljesített befizetések az alábbi sorrendben törlesztik fennálló tartozását:</w:t>
      </w:r>
    </w:p>
    <w:p w14:paraId="6752A213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Díjak, költségek, jutalékok</w:t>
      </w:r>
    </w:p>
    <w:p w14:paraId="6820AA7C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Késedelmi kamat</w:t>
      </w:r>
    </w:p>
    <w:p w14:paraId="4839535A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Hitelkamat</w:t>
      </w:r>
    </w:p>
    <w:p w14:paraId="5A3F8AA5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Tőke (készpénzfelvételek és vásárlások összege)</w:t>
      </w:r>
    </w:p>
    <w:p w14:paraId="52B6CBCF" w14:textId="77777777" w:rsidR="00E660C4" w:rsidRPr="00F93079" w:rsidRDefault="00E660C4" w:rsidP="00982B2D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Minden esetben először a korábban felszámított díjak, jutalékok, költségek, kamatok és a korábban végrehajtott tranzakciók kerülnek kiegyenlítésre a befizetésekből.</w:t>
      </w:r>
    </w:p>
    <w:p w14:paraId="49B5A54E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 xml:space="preserve">Mit tartalmaz a </w:t>
      </w:r>
      <w:r w:rsidR="00DF3A97"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 xml:space="preserve">Számla </w:t>
      </w: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kivonat és mikor kapom meg?</w:t>
      </w:r>
    </w:p>
    <w:p w14:paraId="58938AC2" w14:textId="77777777" w:rsidR="00E660C4" w:rsidRPr="00F93079" w:rsidRDefault="00E660C4" w:rsidP="00982B2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Forgalmi kivonaton minden egyes fő-, illetve társkártyával végrehajtott tranzakció, azok díjai és költségei feltüntetésre kerülnek, amelyet a Fordulónapot követően küld meg az Ön részére a Hitelintézet. A kivonat tartalmazza a felhasznált hitelkeret összegét, a visszafizetési határidőt, valamint mindazt az adatot és dátumot, amelyet a jogszabály kötelezően előír.</w:t>
      </w:r>
    </w:p>
    <w:p w14:paraId="2F3F241F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Mikor kell kamatot fizetnem a hitelkártya használataim során?</w:t>
      </w:r>
    </w:p>
    <w:p w14:paraId="24598577" w14:textId="77777777" w:rsidR="00E660C4" w:rsidRPr="00F93079" w:rsidRDefault="00E660C4" w:rsidP="00982B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A </w:t>
      </w:r>
      <w:r w:rsidR="00C171CB" w:rsidRPr="00F93079">
        <w:rPr>
          <w:rFonts w:ascii="Arial" w:hAnsi="Arial" w:cs="Arial"/>
          <w:sz w:val="18"/>
          <w:szCs w:val="18"/>
        </w:rPr>
        <w:t xml:space="preserve">Hitelintézet </w:t>
      </w:r>
      <w:r w:rsidRPr="00F93079">
        <w:rPr>
          <w:rFonts w:ascii="Arial" w:hAnsi="Arial" w:cs="Arial"/>
          <w:sz w:val="18"/>
          <w:szCs w:val="18"/>
        </w:rPr>
        <w:t>az Ön, illetve a társkártya birtokosok által hitelkártyával végrehajtott tranzakciók után napi kamatozás szerint számol kamatot. A hitelkamat terhelésére a Hirdetményben meghatározott Türelmi idő lejáratát követően kerül sor. A fizetendő kamat összege az Elszámolási időszak utolsó napján, a Fordulónapon kerül meghatározásra.</w:t>
      </w:r>
    </w:p>
    <w:p w14:paraId="1961F5A8" w14:textId="77777777" w:rsidR="00E660C4" w:rsidRPr="00F93079" w:rsidRDefault="00E660C4" w:rsidP="00982B2D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Az alábbi esetekben kerül kamat felszámításra:</w:t>
      </w:r>
    </w:p>
    <w:p w14:paraId="5E19F630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hitelkártyával végrehajtott készpénzfelvételi tranzakciók összege után minden esetben kamatot kell fizetnie a tranzakció könyvelésének napjától a befizetés napjáig.</w:t>
      </w:r>
    </w:p>
    <w:p w14:paraId="25066635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meg nem fizetett díjak után, ha a Főkártya-birtokos a Fizetési határidőig nem, vagy nem teljes mértékben fizeti meg a Minimum fizetendő összeget</w:t>
      </w:r>
    </w:p>
    <w:p w14:paraId="018BBFC5" w14:textId="74E4D221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vásárlásai után abban az esetben kell kamatot fizetnie, ha a Hitelintézet által meghatározott fizetési határidőig nem, vagy nem teljes mértékben fizeti vissza a hitelkeretből felhasznált részt. Ilyen esetben a kamat felszámítása a felhasznált teljes hitelkeret összegre vonatkozik, a benne foglalt terhelések (vásárlás, készpénzfelvétel, esetleges díjak) könyvelési időpontjától a visszafizetés napjáig. A felszámított hitelkamatot a Hitelintézet az Elszámolási Időszakot követő Elszámolási időszak záró napján (a Fizetési határidőt követő fordulónapon) számolja el visszamenőleg, és a Forgalmi ki</w:t>
      </w:r>
      <w:r w:rsidR="00982B2D">
        <w:rPr>
          <w:rFonts w:ascii="Arial" w:hAnsi="Arial" w:cs="Arial"/>
          <w:sz w:val="18"/>
          <w:szCs w:val="18"/>
        </w:rPr>
        <w:t>vonaton közli Önnel.</w:t>
      </w:r>
    </w:p>
    <w:p w14:paraId="6948AB1A" w14:textId="77777777" w:rsidR="00E660C4" w:rsidRPr="00F93079" w:rsidRDefault="00E660C4" w:rsidP="00982B2D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Az alábbi esetekben késedelmi kamat kerül felszámításra:</w:t>
      </w:r>
    </w:p>
    <w:p w14:paraId="23D8E9AD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Késedelmes fizetés esetén (a meg nem fizetett Minimum fizetendő összeg után)</w:t>
      </w:r>
    </w:p>
    <w:p w14:paraId="53895FFF" w14:textId="77777777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felmondás esetén – ha fennálló tartozás van, és a felmondásban közölt határidőben a tartozás megfizetése nem történik meg, akkor e határidőt követően.</w:t>
      </w:r>
    </w:p>
    <w:p w14:paraId="5834A4C8" w14:textId="698BF9C4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Ha a Felhasznált hitelkeret teljes összege a Forgalmi kivonaton megjelölt Fizetési határidőig visszafizetésre kerül, a Hitelintézet nem számít fel kamatot az adott Elszámolási időszak alatt végrehajtott vásá</w:t>
      </w:r>
      <w:r w:rsidR="00982B2D">
        <w:rPr>
          <w:rFonts w:ascii="Arial" w:hAnsi="Arial" w:cs="Arial"/>
          <w:sz w:val="18"/>
          <w:szCs w:val="18"/>
        </w:rPr>
        <w:t>rlási tranzakciók összege után.</w:t>
      </w:r>
    </w:p>
    <w:p w14:paraId="76A2831D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lastRenderedPageBreak/>
        <w:t>A Hitelintézet által megállapított Teljes Hitelkeretet az Ön befizetése nem növeli, de összege megemeli a rendelkezésre álló hitelkeret összeget. A Hitelszámla kihasznált hitelkeret összegen felüli többletbefizetés összegére a Hitelintézet kamatot nem térít.</w:t>
      </w:r>
    </w:p>
    <w:p w14:paraId="538CF668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Hogyan tehetek eleget fizetési kötelezettségemnek?</w:t>
      </w:r>
    </w:p>
    <w:p w14:paraId="61D5CBD2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Minden hónapban a Fordulónapot követőn a Hitelintézet </w:t>
      </w:r>
      <w:r w:rsidR="00DF3A97" w:rsidRPr="00F93079">
        <w:rPr>
          <w:rFonts w:ascii="Arial" w:hAnsi="Arial" w:cs="Arial"/>
          <w:sz w:val="18"/>
          <w:szCs w:val="18"/>
        </w:rPr>
        <w:t xml:space="preserve">Számla </w:t>
      </w:r>
      <w:r w:rsidRPr="00F93079">
        <w:rPr>
          <w:rFonts w:ascii="Arial" w:hAnsi="Arial" w:cs="Arial"/>
          <w:sz w:val="18"/>
          <w:szCs w:val="18"/>
        </w:rPr>
        <w:t>kivonatot küld az Ön részére, amelyben feltüntetésre kerül a Felhasznált hitelkeret összege és a Minimum fizetendő összeg. Fizetési kötelezettségét teljesítheti pénztári befizetéssel a Hitelintézet bármely fiókjában, a Hitelintézetnél vezetett bankszámlájáról átutalással, más banknál vezetett bankszámlájáról átutalással, illetve postai készpénzátutalással (postai csekkel). Fizetési kötelezettségének a Türelmi időszak utolsó napján is eleget tehet, azonban figyelni kell arra, hogy a Türelmi idő utolsó napjáig érkezzen is meg a jóváírás a Hitelkártya elszámolási számlára. Ez postai csekkel történő befizetés esetén 5 munkanapot igénybe vehet. A tartozása azon a napon tekintendő kiegyenlítettnek, amikor annak a teljes összegével megegyező teljesítés a Hitelkártya elszámolási számlán maradéktalanul elszámolásra került.</w:t>
      </w:r>
    </w:p>
    <w:p w14:paraId="61F92189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Hogyan korlátozhatom a hitelkártya használatát?</w:t>
      </w:r>
    </w:p>
    <w:p w14:paraId="2D887457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Önnek lehetősége van kártyánként eltérő napi készpénzfelvételi, vásárlási, </w:t>
      </w:r>
      <w:r w:rsidR="00DF3A97" w:rsidRPr="00F93079">
        <w:rPr>
          <w:rFonts w:ascii="Arial" w:hAnsi="Arial" w:cs="Arial"/>
          <w:sz w:val="18"/>
          <w:szCs w:val="18"/>
        </w:rPr>
        <w:t xml:space="preserve">internetes, </w:t>
      </w:r>
      <w:r w:rsidRPr="00F93079">
        <w:rPr>
          <w:rFonts w:ascii="Arial" w:hAnsi="Arial" w:cs="Arial"/>
          <w:sz w:val="18"/>
          <w:szCs w:val="18"/>
        </w:rPr>
        <w:t>illetve tranzakció darabszámra vonatkozó limit megadására. Az alapértelmezett napi limitek értékét a mindenkor hatályos Lakossági Hitelkártya Hirdetmény tartalmazza. Ha a megszokottnál nagyobb összegért vásárol, akkor az előzetesen beállított limit megemelését személyesen, írásban kérvényezheti a Hitelintézet Fiókjaiban. A Hitelkeret emelését a Hitelintézet ügyfél-minősítéshez kötheti. Alacsonyabb limitek megadásával csökkenthetők a kártya elvesztése, lopása esetén felmerülő veszteségek.</w:t>
      </w:r>
    </w:p>
    <w:p w14:paraId="66E3F2D6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Milyen többletszolgáltatások kapcsolódnak a hitelkártyához?</w:t>
      </w:r>
    </w:p>
    <w:p w14:paraId="51E7F5A6" w14:textId="4DB1019A" w:rsidR="00E660C4" w:rsidRPr="00F93079" w:rsidRDefault="00160258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Pénz-</w:t>
      </w:r>
      <w:r w:rsidR="00E660C4" w:rsidRPr="00F93079">
        <w:rPr>
          <w:rFonts w:ascii="Arial" w:hAnsi="Arial" w:cs="Arial"/>
          <w:sz w:val="18"/>
          <w:szCs w:val="18"/>
        </w:rPr>
        <w:t>visszatérítési kedvezmény a hitelkártyával fizetett vásárlások után: a Hirdetményben meghatározott mértékű pénz-visszatérítést nyújt a Hitelintézet. A kedvezmény minden hónap utolsó napján, az adott hónapban könyvelésre került vásárlási tranzakciók összege alapján kerül jóváírásra a kártyaszámlán, ezzel automatikusan csökkentve a visszafizetendő tartozást. A kedvezmény a fő- és társkártyával fizetett vásárlásokra egyaránt vonatkozik. A postai és bankfióki kártyaelfogadás készpénzfelvételi tranzakciónak minősül.</w:t>
      </w:r>
    </w:p>
    <w:p w14:paraId="4AC7CF73" w14:textId="5EF4D360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Baleset-, betegség-, poggyász és utazási biztosítás: A Hitelintézet által kibocsátott Hitelkártyákhoz baleset-, betegség-, poggyász és </w:t>
      </w:r>
      <w:r w:rsidR="00982B2D">
        <w:rPr>
          <w:rFonts w:ascii="Arial" w:hAnsi="Arial" w:cs="Arial"/>
          <w:sz w:val="18"/>
          <w:szCs w:val="18"/>
        </w:rPr>
        <w:t>utazási biztosítás igényelhető.</w:t>
      </w:r>
    </w:p>
    <w:p w14:paraId="6E6E4910" w14:textId="1D4CF8A4" w:rsidR="00E660C4" w:rsidRPr="00F93079" w:rsidRDefault="00E660C4" w:rsidP="00E660C4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Strázsa SMS szolgáltatás: szolgáltatásunk igénybevételével Ön folyamatosan nyomon követheti a hitelkártyájával, illetve az ahhoz kapcsolódó társkártyákkal lebonyolított tranzakciókat. Hitelintézetünk minden egyes kártyás tranzakciót követően - illetve az Ön által megadható limitösszegig - SMS üzenetet küld az Ön által megadott mobil telefonszámra. Ezen szolgáltatásunk Fő-, és Társk</w:t>
      </w:r>
      <w:r w:rsidR="00982B2D">
        <w:rPr>
          <w:rFonts w:ascii="Arial" w:hAnsi="Arial" w:cs="Arial"/>
          <w:sz w:val="18"/>
          <w:szCs w:val="18"/>
        </w:rPr>
        <w:t>ártyához egyaránt kapcsolódhat.</w:t>
      </w:r>
    </w:p>
    <w:p w14:paraId="17F5E64C" w14:textId="7D5DAAF5" w:rsidR="00E660C4" w:rsidRPr="00F93079" w:rsidRDefault="00982B2D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hu-HU"/>
        </w:rPr>
        <w:t>Mire figyeljek?</w:t>
      </w:r>
    </w:p>
    <w:p w14:paraId="4F90B246" w14:textId="05AC13FB" w:rsidR="00E660C4" w:rsidRPr="00F93079" w:rsidRDefault="00E660C4" w:rsidP="00982B2D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PIN kódot soha ne tartsa kártyája közelében, a hitelkártyát úgy használja, hogy sem kártyája, sem PIN kódja idegen számára hozzáférhető ne legyen, ha a Forgalmi kivonaton a tényleges kártyahasználattól eltérő adatokat talál, azt a H</w:t>
      </w:r>
      <w:r w:rsidR="00982B2D">
        <w:rPr>
          <w:rFonts w:ascii="Arial" w:hAnsi="Arial" w:cs="Arial"/>
          <w:sz w:val="18"/>
          <w:szCs w:val="18"/>
        </w:rPr>
        <w:t>itelintézetnek azonnal jelezze.</w:t>
      </w:r>
    </w:p>
    <w:p w14:paraId="7D13F7E6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Hogyan tilthatom le a kártyámat, ha az kikerült a birtokomból?</w:t>
      </w:r>
    </w:p>
    <w:p w14:paraId="021A35E8" w14:textId="48CAD308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lastRenderedPageBreak/>
        <w:t xml:space="preserve">Ha elveszítette a kártyáját, vagy azt ellopták Öntől, vagy a PIN kód kikerült birtokából, vagy harmadik személy tudomására juthatott, ennek tényéről haladéktalanul értesítse a Hitelintézetet, és tiltassa le kártyáját! A kártya letiltás bejelentését a Fő-, és Társkártya birtokos a hét bármely napján, a nap bármely szakában megteheti. A Főkártya-birtokos a fő – és társkártyát, a Társkártya-birtokos kizárólag a társkártyát tilthatja le. Belföldről hívja a </w:t>
      </w:r>
      <w:r w:rsidR="00975FD0" w:rsidRPr="00975FD0">
        <w:rPr>
          <w:rFonts w:ascii="Arial" w:hAnsi="Arial" w:cs="Arial"/>
          <w:sz w:val="18"/>
          <w:szCs w:val="18"/>
        </w:rPr>
        <w:t>(+36) vagy (</w:t>
      </w:r>
      <w:r w:rsidR="00975FD0" w:rsidRPr="007C7D62">
        <w:rPr>
          <w:rFonts w:ascii="Arial" w:hAnsi="Arial"/>
          <w:sz w:val="18"/>
        </w:rPr>
        <w:t>06</w:t>
      </w:r>
      <w:r w:rsidR="00975FD0" w:rsidRPr="00975FD0">
        <w:rPr>
          <w:rFonts w:ascii="Arial" w:hAnsi="Arial" w:cs="Arial"/>
          <w:sz w:val="18"/>
          <w:szCs w:val="18"/>
        </w:rPr>
        <w:t>)/(</w:t>
      </w:r>
      <w:r w:rsidR="00975FD0" w:rsidRPr="007C7D62">
        <w:rPr>
          <w:rFonts w:ascii="Arial" w:hAnsi="Arial"/>
          <w:sz w:val="18"/>
        </w:rPr>
        <w:t>1</w:t>
      </w:r>
      <w:r w:rsidR="00975FD0" w:rsidRPr="00975FD0">
        <w:rPr>
          <w:rFonts w:ascii="Arial" w:hAnsi="Arial" w:cs="Arial"/>
          <w:sz w:val="18"/>
          <w:szCs w:val="18"/>
        </w:rPr>
        <w:t>) 212-0202</w:t>
      </w:r>
      <w:r w:rsidRPr="007C7D62">
        <w:rPr>
          <w:rFonts w:ascii="Arial" w:hAnsi="Arial"/>
          <w:sz w:val="18"/>
        </w:rPr>
        <w:t>-</w:t>
      </w:r>
      <w:r w:rsidR="00982B2D">
        <w:rPr>
          <w:rFonts w:ascii="Arial" w:hAnsi="Arial" w:cs="Arial"/>
          <w:sz w:val="18"/>
          <w:szCs w:val="18"/>
        </w:rPr>
        <w:t>es telefonszámot!</w:t>
      </w:r>
    </w:p>
    <w:p w14:paraId="4292C8CB" w14:textId="77777777" w:rsidR="00E660C4" w:rsidRPr="00F93079" w:rsidRDefault="00E660C4" w:rsidP="00982B2D">
      <w:pPr>
        <w:spacing w:before="240"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hu-HU"/>
        </w:rPr>
      </w:pPr>
      <w:r w:rsidRPr="00F93079">
        <w:rPr>
          <w:rFonts w:ascii="Arial" w:eastAsia="Times New Roman" w:hAnsi="Arial" w:cs="Arial"/>
          <w:b/>
          <w:bCs/>
          <w:sz w:val="23"/>
          <w:szCs w:val="23"/>
          <w:lang w:eastAsia="hu-HU"/>
        </w:rPr>
        <w:t>Hol tudok hitelkártyát igényelni?</w:t>
      </w:r>
    </w:p>
    <w:p w14:paraId="142DE07A" w14:textId="12252E41" w:rsidR="00E660C4" w:rsidRPr="00F93079" w:rsidRDefault="00E660C4" w:rsidP="00982B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Hitelkártya igénylésére a Hitelintézet fiókjaiban, - amelyek listáját megtalálja a Hitelintézet honlapján, </w:t>
      </w:r>
      <w:r w:rsidR="00A15B8A" w:rsidRPr="00F93079">
        <w:rPr>
          <w:rFonts w:ascii="Arial" w:hAnsi="Arial" w:cs="Arial"/>
          <w:sz w:val="18"/>
          <w:szCs w:val="18"/>
        </w:rPr>
        <w:t>a</w:t>
      </w:r>
      <w:r w:rsidR="00A15B8A">
        <w:rPr>
          <w:rFonts w:ascii="Arial" w:hAnsi="Arial" w:cs="Arial"/>
          <w:sz w:val="18"/>
          <w:szCs w:val="18"/>
        </w:rPr>
        <w:t xml:space="preserve"> </w:t>
      </w:r>
      <w:r w:rsidR="0060328F">
        <w:rPr>
          <w:rFonts w:ascii="Arial" w:hAnsi="Arial" w:cs="Arial"/>
          <w:sz w:val="18"/>
          <w:szCs w:val="18"/>
        </w:rPr>
        <w:t>www.</w:t>
      </w:r>
      <w:r w:rsidR="00A15B8A">
        <w:rPr>
          <w:rFonts w:ascii="Arial" w:hAnsi="Arial" w:cs="Arial"/>
          <w:sz w:val="18"/>
          <w:szCs w:val="18"/>
        </w:rPr>
        <w:t xml:space="preserve">takarekbank.hu </w:t>
      </w:r>
      <w:r w:rsidR="00924DA2">
        <w:rPr>
          <w:rFonts w:ascii="Arial" w:hAnsi="Arial" w:cs="Arial"/>
          <w:sz w:val="18"/>
          <w:szCs w:val="18"/>
        </w:rPr>
        <w:t xml:space="preserve">weboldalon,- </w:t>
      </w:r>
      <w:r w:rsidRPr="00F93079">
        <w:rPr>
          <w:rFonts w:ascii="Arial" w:hAnsi="Arial" w:cs="Arial"/>
          <w:sz w:val="18"/>
          <w:szCs w:val="18"/>
        </w:rPr>
        <w:t>van lehetősége.</w:t>
      </w:r>
    </w:p>
    <w:p w14:paraId="3F0972CD" w14:textId="77777777" w:rsidR="00E660C4" w:rsidRPr="00F93079" w:rsidRDefault="00E660C4" w:rsidP="00982B2D">
      <w:pPr>
        <w:spacing w:before="240"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hu-HU"/>
        </w:rPr>
      </w:pPr>
      <w:bookmarkStart w:id="3" w:name="_Toc181524794"/>
      <w:bookmarkEnd w:id="3"/>
      <w:r w:rsidRPr="00F93079">
        <w:rPr>
          <w:rFonts w:ascii="Arial" w:eastAsia="Times New Roman" w:hAnsi="Arial" w:cs="Arial"/>
          <w:b/>
          <w:sz w:val="23"/>
          <w:szCs w:val="23"/>
          <w:lang w:eastAsia="hu-HU"/>
        </w:rPr>
        <w:t xml:space="preserve">Milyen kondíciók mellett bocsátja a </w:t>
      </w:r>
      <w:r w:rsidR="00C171CB" w:rsidRPr="00F93079">
        <w:rPr>
          <w:rFonts w:ascii="Arial" w:eastAsia="Times New Roman" w:hAnsi="Arial" w:cs="Arial"/>
          <w:b/>
          <w:sz w:val="23"/>
          <w:szCs w:val="23"/>
          <w:lang w:eastAsia="hu-HU"/>
        </w:rPr>
        <w:t xml:space="preserve">Hitelintézet </w:t>
      </w:r>
      <w:r w:rsidRPr="00F93079">
        <w:rPr>
          <w:rFonts w:ascii="Arial" w:eastAsia="Times New Roman" w:hAnsi="Arial" w:cs="Arial"/>
          <w:b/>
          <w:sz w:val="23"/>
          <w:szCs w:val="23"/>
          <w:lang w:eastAsia="hu-HU"/>
        </w:rPr>
        <w:t>rendelkezésemre a hitelkártyát és a hitelkeretet?</w:t>
      </w:r>
    </w:p>
    <w:p w14:paraId="6885EB13" w14:textId="22E71FDD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 xml:space="preserve">A lakossági hitelkártya mindenkor hatályos díjtételeit a Lakossági Hitelkártya Hirdetmény tartalmazza, melyet megtalálhat a Hitelintézet fiókjaiban, illetve a </w:t>
      </w:r>
      <w:r w:rsidR="00D860AF">
        <w:rPr>
          <w:rFonts w:ascii="Arial" w:hAnsi="Arial" w:cs="Arial"/>
          <w:sz w:val="18"/>
          <w:szCs w:val="18"/>
        </w:rPr>
        <w:t>Hitelintézet internetes oldalán.</w:t>
      </w:r>
    </w:p>
    <w:p w14:paraId="0EBB94D6" w14:textId="160D5B02" w:rsidR="00E660C4" w:rsidRPr="00F93079" w:rsidRDefault="00E660C4" w:rsidP="00982B2D">
      <w:pPr>
        <w:pStyle w:val="Szvegtrzs"/>
        <w:ind w:left="-142"/>
        <w:jc w:val="both"/>
        <w:rPr>
          <w:rFonts w:ascii="Arial" w:hAnsi="Arial" w:cs="Arial"/>
          <w:b/>
          <w:bCs/>
          <w:u w:val="single"/>
        </w:rPr>
      </w:pPr>
      <w:r w:rsidRPr="00F93079">
        <w:rPr>
          <w:rFonts w:ascii="Arial" w:hAnsi="Arial" w:cs="Arial"/>
          <w:b/>
          <w:bCs/>
          <w:u w:val="single"/>
        </w:rPr>
        <w:t>Reprezentatív példa: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5319"/>
      </w:tblGrid>
      <w:tr w:rsidR="00E660C4" w:rsidRPr="00F93079" w14:paraId="3777987A" w14:textId="77777777" w:rsidTr="00982B2D">
        <w:trPr>
          <w:trHeight w:val="94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  <w:vAlign w:val="bottom"/>
          </w:tcPr>
          <w:p w14:paraId="4D499A9A" w14:textId="77777777" w:rsidR="00E660C4" w:rsidRPr="007C7D62" w:rsidRDefault="00E660C4" w:rsidP="00A1785D">
            <w:pPr>
              <w:pStyle w:val="Szvegtrzs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428A"/>
            <w:vAlign w:val="center"/>
            <w:hideMark/>
          </w:tcPr>
          <w:p w14:paraId="1BBCDD04" w14:textId="77777777" w:rsidR="00E660C4" w:rsidRPr="007C7D62" w:rsidRDefault="00E660C4" w:rsidP="00A1785D">
            <w:pPr>
              <w:pStyle w:val="Szvegtrzs"/>
              <w:spacing w:after="0"/>
              <w:jc w:val="center"/>
              <w:rPr>
                <w:rFonts w:ascii="Arial" w:hAnsi="Arial"/>
                <w:color w:val="FFFFFF"/>
                <w:sz w:val="18"/>
              </w:rPr>
            </w:pPr>
            <w:r w:rsidRPr="007C7D62">
              <w:rPr>
                <w:rFonts w:ascii="Arial" w:hAnsi="Arial"/>
                <w:b/>
                <w:color w:val="FFFFFF"/>
                <w:sz w:val="18"/>
              </w:rPr>
              <w:t xml:space="preserve">Takarék Hitelkártya </w:t>
            </w:r>
          </w:p>
        </w:tc>
      </w:tr>
      <w:tr w:rsidR="00E660C4" w:rsidRPr="00F93079" w14:paraId="03F1C026" w14:textId="77777777" w:rsidTr="00F34975">
        <w:trPr>
          <w:trHeight w:hRule="exact" w:val="31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022158BD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Devizanem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60B06" w14:textId="77777777" w:rsidR="00E660C4" w:rsidRPr="007C7D62" w:rsidRDefault="00E660C4" w:rsidP="00A1785D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7C7D62">
              <w:rPr>
                <w:rFonts w:ascii="Arial" w:hAnsi="Arial"/>
                <w:sz w:val="18"/>
              </w:rPr>
              <w:t>HUF</w:t>
            </w:r>
          </w:p>
        </w:tc>
      </w:tr>
      <w:tr w:rsidR="00E660C4" w:rsidRPr="00F93079" w14:paraId="642A8E3F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6C65298D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Hitelkeret összege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E574" w14:textId="77777777" w:rsidR="00E660C4" w:rsidRPr="007C7D62" w:rsidRDefault="00E660C4" w:rsidP="00A1785D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7C7D62">
              <w:rPr>
                <w:rFonts w:ascii="Arial" w:hAnsi="Arial"/>
                <w:sz w:val="18"/>
              </w:rPr>
              <w:t>375 000 Ft</w:t>
            </w:r>
          </w:p>
        </w:tc>
      </w:tr>
      <w:tr w:rsidR="00E660C4" w:rsidRPr="00F93079" w14:paraId="2DA7F86C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4F9FF182" w14:textId="58010D53" w:rsidR="00E660C4" w:rsidRPr="00F34975" w:rsidRDefault="00982B2D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Havi hitelkamat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F446" w14:textId="7D6DF027" w:rsidR="00E660C4" w:rsidRPr="007C7D62" w:rsidRDefault="00E660C4" w:rsidP="000F0E1C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7C7D62">
              <w:rPr>
                <w:rFonts w:ascii="Arial" w:hAnsi="Arial"/>
                <w:sz w:val="18"/>
              </w:rPr>
              <w:t>2,</w:t>
            </w:r>
            <w:r w:rsidR="007108F1" w:rsidRPr="007108F1">
              <w:rPr>
                <w:rFonts w:ascii="Arial" w:hAnsi="Arial" w:cs="Arial"/>
                <w:sz w:val="18"/>
                <w:szCs w:val="18"/>
              </w:rPr>
              <w:t>2</w:t>
            </w:r>
            <w:r w:rsidR="008C49CC">
              <w:rPr>
                <w:rFonts w:ascii="Arial" w:hAnsi="Arial" w:cs="Arial"/>
                <w:sz w:val="18"/>
                <w:szCs w:val="18"/>
              </w:rPr>
              <w:t>2</w:t>
            </w:r>
            <w:r w:rsidR="00B63670">
              <w:rPr>
                <w:rFonts w:ascii="Arial" w:hAnsi="Arial" w:cs="Arial"/>
                <w:sz w:val="18"/>
                <w:szCs w:val="18"/>
              </w:rPr>
              <w:t>6</w:t>
            </w:r>
            <w:r w:rsidRPr="007C7D62">
              <w:rPr>
                <w:rFonts w:ascii="Arial" w:hAnsi="Arial"/>
                <w:sz w:val="18"/>
              </w:rPr>
              <w:t>%</w:t>
            </w:r>
          </w:p>
        </w:tc>
      </w:tr>
      <w:tr w:rsidR="00E660C4" w:rsidRPr="00F93079" w14:paraId="4F4E243E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1FF21CA8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Kamat típusa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20F35" w14:textId="77777777" w:rsidR="00E660C4" w:rsidRPr="007C7D62" w:rsidRDefault="00E660C4" w:rsidP="00A1785D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7C7D62">
              <w:rPr>
                <w:rFonts w:ascii="Arial" w:hAnsi="Arial"/>
                <w:sz w:val="18"/>
              </w:rPr>
              <w:t>változó</w:t>
            </w:r>
          </w:p>
        </w:tc>
      </w:tr>
      <w:tr w:rsidR="00E660C4" w:rsidRPr="00F93079" w14:paraId="5F271C1D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03D13D03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Futamidő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E5171" w14:textId="77777777" w:rsidR="00E660C4" w:rsidRPr="007C7D62" w:rsidRDefault="00E660C4" w:rsidP="00A1785D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7C7D62">
              <w:rPr>
                <w:rFonts w:ascii="Arial" w:hAnsi="Arial"/>
                <w:sz w:val="18"/>
              </w:rPr>
              <w:t>egy év</w:t>
            </w:r>
          </w:p>
        </w:tc>
      </w:tr>
      <w:tr w:rsidR="00E660C4" w:rsidRPr="00F93079" w14:paraId="006BA361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7A6E69FC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THM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4E680" w14:textId="6B8A038A" w:rsidR="00E660C4" w:rsidRPr="007C7D62" w:rsidRDefault="000F0E1C" w:rsidP="007108F1">
            <w:pPr>
              <w:pStyle w:val="Szvegtrzs"/>
              <w:jc w:val="center"/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="00B614A6">
              <w:rPr>
                <w:rFonts w:ascii="Arial" w:hAnsi="Arial" w:cs="Arial"/>
                <w:sz w:val="18"/>
                <w:szCs w:val="18"/>
              </w:rPr>
              <w:t>,0</w:t>
            </w:r>
            <w:r w:rsidR="00190406">
              <w:rPr>
                <w:rFonts w:ascii="Arial" w:hAnsi="Arial" w:cs="Arial"/>
                <w:sz w:val="18"/>
                <w:szCs w:val="18"/>
              </w:rPr>
              <w:t>6</w:t>
            </w:r>
            <w:r w:rsidR="00E660C4" w:rsidRPr="007C7D62">
              <w:rPr>
                <w:rFonts w:ascii="Arial" w:hAnsi="Arial"/>
                <w:sz w:val="18"/>
              </w:rPr>
              <w:t>%</w:t>
            </w:r>
          </w:p>
        </w:tc>
      </w:tr>
      <w:tr w:rsidR="00E660C4" w:rsidRPr="00F93079" w14:paraId="0F951BF0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3C6782DA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Hitel teljes díja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3AB07" w14:textId="35030DEA" w:rsidR="00E660C4" w:rsidRPr="007C7D62" w:rsidRDefault="00190406" w:rsidP="000F0E1C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B97965">
              <w:rPr>
                <w:rFonts w:ascii="Arial" w:hAnsi="Arial"/>
                <w:sz w:val="18"/>
              </w:rPr>
              <w:t>92</w:t>
            </w:r>
            <w:r>
              <w:rPr>
                <w:rFonts w:ascii="Arial" w:hAnsi="Arial"/>
                <w:sz w:val="18"/>
              </w:rPr>
              <w:t> </w:t>
            </w:r>
            <w:r w:rsidRPr="00B97965">
              <w:rPr>
                <w:rFonts w:ascii="Arial" w:hAnsi="Arial"/>
                <w:sz w:val="18"/>
              </w:rPr>
              <w:t>961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B97965">
              <w:rPr>
                <w:rFonts w:ascii="Arial" w:hAnsi="Arial"/>
                <w:sz w:val="18"/>
              </w:rPr>
              <w:t>Ft</w:t>
            </w:r>
            <w:r w:rsidRPr="00B97965" w:rsidDel="00590200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E660C4" w:rsidRPr="00F93079" w14:paraId="78CB338B" w14:textId="77777777" w:rsidTr="00F34975">
        <w:trPr>
          <w:trHeight w:hRule="exact" w:val="238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8200"/>
            <w:vAlign w:val="bottom"/>
            <w:hideMark/>
          </w:tcPr>
          <w:p w14:paraId="665D8B58" w14:textId="77777777" w:rsidR="00E660C4" w:rsidRPr="00F34975" w:rsidRDefault="00E660C4" w:rsidP="00A1785D">
            <w:pPr>
              <w:pStyle w:val="Szvegtrzs"/>
              <w:jc w:val="both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F34975">
              <w:rPr>
                <w:rFonts w:ascii="Arial" w:hAnsi="Arial"/>
                <w:b/>
                <w:color w:val="FFFFFF" w:themeColor="background1"/>
                <w:sz w:val="18"/>
              </w:rPr>
              <w:t>Fogyasztó által fizetendő teljes összeg*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7A1E9" w14:textId="0FC3B84D" w:rsidR="00E660C4" w:rsidRPr="007C7D62" w:rsidRDefault="00190406" w:rsidP="000F0E1C">
            <w:pPr>
              <w:pStyle w:val="Szvegtrzs"/>
              <w:jc w:val="center"/>
              <w:rPr>
                <w:rFonts w:ascii="Arial" w:hAnsi="Arial"/>
                <w:sz w:val="18"/>
              </w:rPr>
            </w:pPr>
            <w:r w:rsidRPr="00B97965">
              <w:rPr>
                <w:rFonts w:ascii="Arial" w:hAnsi="Arial"/>
                <w:sz w:val="18"/>
              </w:rPr>
              <w:t>467 961 Ft</w:t>
            </w:r>
            <w:r w:rsidRPr="003C6326" w:rsidDel="005902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51E9391" w14:textId="0702EB66" w:rsidR="00E660C4" w:rsidRPr="00982B2D" w:rsidRDefault="00E660C4" w:rsidP="00982B2D">
      <w:pPr>
        <w:pStyle w:val="Szvegtrzs"/>
        <w:jc w:val="both"/>
        <w:rPr>
          <w:rFonts w:ascii="Arial" w:hAnsi="Arial"/>
          <w:sz w:val="18"/>
        </w:rPr>
      </w:pPr>
      <w:r w:rsidRPr="007C7D62">
        <w:rPr>
          <w:rFonts w:ascii="Arial" w:hAnsi="Arial"/>
          <w:sz w:val="18"/>
        </w:rPr>
        <w:t>* Hitel teljes díja és a hitel teljes összege</w:t>
      </w:r>
    </w:p>
    <w:p w14:paraId="61101D4E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A Reprezentatív példa kiszámításakor a Hitelintézet - a teljes hiteldíj mutató meghatározásáról, számításáról és közzétételéről szóló 83/2010. (III. 25.) Korm. rendeletben foglaltak alapján - az alábbi feltételeket vette továbbá figyelembe:</w:t>
      </w:r>
    </w:p>
    <w:p w14:paraId="42412E4D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1) a hitel futamidejét 1 évnek tekintette,</w:t>
      </w:r>
    </w:p>
    <w:p w14:paraId="599A0834" w14:textId="77777777" w:rsidR="00E660C4" w:rsidRPr="00F93079" w:rsidRDefault="00E660C4" w:rsidP="00E660C4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2) a hitelt a legkorábbi időpontban lehívottnak tekintette, a lehívás különböző módjainál az időtartamra vonatkozó korlátok figyelembevételével,</w:t>
      </w:r>
    </w:p>
    <w:p w14:paraId="0C6E2CE2" w14:textId="3A2A621E" w:rsidR="00B563CF" w:rsidRPr="00982B2D" w:rsidRDefault="00E660C4" w:rsidP="00982B2D">
      <w:pPr>
        <w:jc w:val="both"/>
        <w:rPr>
          <w:rFonts w:ascii="Arial" w:hAnsi="Arial" w:cs="Arial"/>
          <w:sz w:val="18"/>
          <w:szCs w:val="18"/>
        </w:rPr>
      </w:pPr>
      <w:r w:rsidRPr="00F93079">
        <w:rPr>
          <w:rFonts w:ascii="Arial" w:hAnsi="Arial" w:cs="Arial"/>
          <w:sz w:val="18"/>
          <w:szCs w:val="18"/>
        </w:rPr>
        <w:t>3) a törlesztések kapcsán úgy tekintette, hogy az egyes törlesztőrészletek összege, azonos a minimum visszafizetendő összegekkel, majd a hitel lejáratakor fizetendő utolsó visszafizetés alkalmával a teljes fennmaradó összeg kerül visszafizetésre.</w:t>
      </w:r>
    </w:p>
    <w:sectPr w:rsidR="00B563CF" w:rsidRPr="00982B2D" w:rsidSect="00487365">
      <w:headerReference w:type="default" r:id="rId11"/>
      <w:footerReference w:type="default" r:id="rId12"/>
      <w:pgSz w:w="11906" w:h="16838"/>
      <w:pgMar w:top="1077" w:right="567" w:bottom="107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4DC66" w14:textId="77777777" w:rsidR="00167088" w:rsidRDefault="00167088">
      <w:pPr>
        <w:spacing w:after="0" w:line="240" w:lineRule="auto"/>
      </w:pPr>
      <w:r>
        <w:separator/>
      </w:r>
    </w:p>
  </w:endnote>
  <w:endnote w:type="continuationSeparator" w:id="0">
    <w:p w14:paraId="3897423B" w14:textId="77777777" w:rsidR="00167088" w:rsidRDefault="00167088">
      <w:pPr>
        <w:spacing w:after="0" w:line="240" w:lineRule="auto"/>
      </w:pPr>
      <w:r>
        <w:continuationSeparator/>
      </w:r>
    </w:p>
  </w:endnote>
  <w:endnote w:type="continuationNotice" w:id="1">
    <w:p w14:paraId="03D24190" w14:textId="77777777" w:rsidR="00167088" w:rsidRDefault="00167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B2F8D" w14:textId="1F908952" w:rsidR="001677A8" w:rsidRPr="00DE541C" w:rsidRDefault="00DF3A97" w:rsidP="008276AD">
    <w:pPr>
      <w:pStyle w:val="llb"/>
      <w:pBdr>
        <w:top w:val="single" w:sz="4" w:space="1" w:color="auto"/>
      </w:pBdr>
      <w:tabs>
        <w:tab w:val="clear" w:pos="9072"/>
        <w:tab w:val="right" w:pos="10632"/>
      </w:tabs>
      <w:jc w:val="both"/>
      <w:rPr>
        <w:rFonts w:ascii="Times New Roman" w:hAnsi="Times New Roman"/>
        <w:sz w:val="16"/>
        <w:szCs w:val="16"/>
      </w:rPr>
    </w:pPr>
    <w:r>
      <w:rPr>
        <w:rStyle w:val="Oldalszm"/>
        <w:rFonts w:ascii="Times New Roman" w:hAnsi="Times New Roman"/>
        <w:sz w:val="16"/>
        <w:szCs w:val="16"/>
      </w:rPr>
      <w:t>201</w:t>
    </w:r>
    <w:r w:rsidR="008C49CC">
      <w:rPr>
        <w:rStyle w:val="Oldalszm"/>
        <w:rFonts w:ascii="Times New Roman" w:hAnsi="Times New Roman"/>
        <w:sz w:val="16"/>
        <w:szCs w:val="16"/>
        <w:lang w:val="hu-HU"/>
      </w:rPr>
      <w:t>9</w:t>
    </w:r>
    <w:r w:rsidR="000F0E1C">
      <w:rPr>
        <w:rStyle w:val="Oldalszm"/>
        <w:rFonts w:ascii="Times New Roman" w:hAnsi="Times New Roman"/>
        <w:sz w:val="16"/>
        <w:szCs w:val="16"/>
        <w:lang w:val="hu-HU"/>
      </w:rPr>
      <w:t xml:space="preserve"> </w:t>
    </w:r>
    <w:r w:rsidR="00DD0966">
      <w:rPr>
        <w:rStyle w:val="Oldalszm"/>
        <w:rFonts w:ascii="Times New Roman" w:hAnsi="Times New Roman"/>
        <w:sz w:val="16"/>
        <w:szCs w:val="16"/>
        <w:lang w:val="hu-HU"/>
      </w:rPr>
      <w:t>november 01</w:t>
    </w:r>
    <w:r w:rsidR="000B1E97">
      <w:rPr>
        <w:rStyle w:val="Oldalszm"/>
        <w:rFonts w:ascii="Times New Roman" w:hAnsi="Times New Roman"/>
        <w:sz w:val="16"/>
        <w:szCs w:val="16"/>
        <w:lang w:val="hu-HU"/>
      </w:rPr>
      <w:t>.</w:t>
    </w:r>
    <w:r w:rsidR="00F93079">
      <w:rPr>
        <w:rStyle w:val="Oldalszm"/>
        <w:rFonts w:ascii="Times New Roman" w:hAnsi="Times New Roman"/>
        <w:sz w:val="16"/>
        <w:szCs w:val="16"/>
      </w:rPr>
      <w:tab/>
    </w:r>
    <w:r w:rsidRPr="00DE541C">
      <w:rPr>
        <w:rStyle w:val="Oldalszm"/>
        <w:rFonts w:ascii="Times New Roman" w:hAnsi="Times New Roman"/>
        <w:sz w:val="16"/>
        <w:szCs w:val="16"/>
      </w:rPr>
      <w:fldChar w:fldCharType="begin"/>
    </w:r>
    <w:r w:rsidRPr="00DE541C">
      <w:rPr>
        <w:rStyle w:val="Oldalszm"/>
        <w:rFonts w:ascii="Times New Roman" w:hAnsi="Times New Roman"/>
        <w:sz w:val="16"/>
        <w:szCs w:val="16"/>
      </w:rPr>
      <w:instrText xml:space="preserve"> PAGE </w:instrText>
    </w:r>
    <w:r w:rsidRPr="00DE541C">
      <w:rPr>
        <w:rStyle w:val="Oldalszm"/>
        <w:rFonts w:ascii="Times New Roman" w:hAnsi="Times New Roman"/>
        <w:sz w:val="16"/>
        <w:szCs w:val="16"/>
      </w:rPr>
      <w:fldChar w:fldCharType="separate"/>
    </w:r>
    <w:r w:rsidR="00AD4675">
      <w:rPr>
        <w:rStyle w:val="Oldalszm"/>
        <w:rFonts w:ascii="Times New Roman" w:hAnsi="Times New Roman"/>
        <w:noProof/>
        <w:sz w:val="16"/>
        <w:szCs w:val="16"/>
      </w:rPr>
      <w:t>1</w:t>
    </w:r>
    <w:r w:rsidRPr="00DE541C">
      <w:rPr>
        <w:rStyle w:val="Oldalszm"/>
        <w:rFonts w:ascii="Times New Roman" w:hAnsi="Times New Roman"/>
        <w:sz w:val="16"/>
        <w:szCs w:val="16"/>
      </w:rPr>
      <w:fldChar w:fldCharType="end"/>
    </w:r>
    <w:r w:rsidRPr="00DE541C">
      <w:rPr>
        <w:rStyle w:val="Oldalszm"/>
        <w:rFonts w:ascii="Times New Roman" w:hAnsi="Times New Roman"/>
        <w:sz w:val="16"/>
        <w:szCs w:val="16"/>
      </w:rPr>
      <w:t>/</w:t>
    </w:r>
    <w:r w:rsidRPr="00DE541C">
      <w:rPr>
        <w:rStyle w:val="Oldalszm"/>
        <w:rFonts w:ascii="Times New Roman" w:hAnsi="Times New Roman"/>
        <w:sz w:val="16"/>
        <w:szCs w:val="16"/>
      </w:rPr>
      <w:fldChar w:fldCharType="begin"/>
    </w:r>
    <w:r w:rsidRPr="00DE541C">
      <w:rPr>
        <w:rStyle w:val="Oldalszm"/>
        <w:rFonts w:ascii="Times New Roman" w:hAnsi="Times New Roman"/>
        <w:sz w:val="16"/>
        <w:szCs w:val="16"/>
      </w:rPr>
      <w:instrText xml:space="preserve"> NUMPAGES </w:instrText>
    </w:r>
    <w:r w:rsidRPr="00DE541C">
      <w:rPr>
        <w:rStyle w:val="Oldalszm"/>
        <w:rFonts w:ascii="Times New Roman" w:hAnsi="Times New Roman"/>
        <w:sz w:val="16"/>
        <w:szCs w:val="16"/>
      </w:rPr>
      <w:fldChar w:fldCharType="separate"/>
    </w:r>
    <w:r w:rsidR="00AD4675">
      <w:rPr>
        <w:rStyle w:val="Oldalszm"/>
        <w:rFonts w:ascii="Times New Roman" w:hAnsi="Times New Roman"/>
        <w:noProof/>
        <w:sz w:val="16"/>
        <w:szCs w:val="16"/>
      </w:rPr>
      <w:t>3</w:t>
    </w:r>
    <w:r w:rsidRPr="00DE541C">
      <w:rPr>
        <w:rStyle w:val="Oldalszm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7ACA7" w14:textId="77777777" w:rsidR="00167088" w:rsidRDefault="00167088">
      <w:pPr>
        <w:spacing w:after="0" w:line="240" w:lineRule="auto"/>
      </w:pPr>
      <w:r>
        <w:separator/>
      </w:r>
    </w:p>
  </w:footnote>
  <w:footnote w:type="continuationSeparator" w:id="0">
    <w:p w14:paraId="4AE01759" w14:textId="77777777" w:rsidR="00167088" w:rsidRDefault="00167088">
      <w:pPr>
        <w:spacing w:after="0" w:line="240" w:lineRule="auto"/>
      </w:pPr>
      <w:r>
        <w:continuationSeparator/>
      </w:r>
    </w:p>
  </w:footnote>
  <w:footnote w:type="continuationNotice" w:id="1">
    <w:p w14:paraId="3C0578C0" w14:textId="77777777" w:rsidR="00167088" w:rsidRDefault="001670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C9D02" w14:textId="03976EAD" w:rsidR="001677A8" w:rsidRPr="004E6E39" w:rsidRDefault="00FB558D" w:rsidP="00DE541C">
    <w:pPr>
      <w:pStyle w:val="lfej"/>
      <w:pBdr>
        <w:bottom w:val="single" w:sz="4" w:space="1" w:color="auto"/>
      </w:pBdr>
      <w:rPr>
        <w:lang w:val="hu-HU"/>
      </w:rPr>
    </w:pPr>
    <w:r>
      <w:rPr>
        <w:noProof/>
        <w:lang w:val="hu-HU" w:eastAsia="hu-HU"/>
      </w:rPr>
      <w:drawing>
        <wp:inline distT="0" distB="0" distL="0" distR="0" wp14:anchorId="4FE73707" wp14:editId="6AB46AEA">
          <wp:extent cx="1898841" cy="265752"/>
          <wp:effectExtent l="0" t="0" r="635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karekBan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343" cy="2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5D9C"/>
    <w:multiLevelType w:val="hybridMultilevel"/>
    <w:tmpl w:val="FFF64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C4"/>
    <w:rsid w:val="000B1E97"/>
    <w:rsid w:val="000F0E1C"/>
    <w:rsid w:val="000F7847"/>
    <w:rsid w:val="00110303"/>
    <w:rsid w:val="00133D1F"/>
    <w:rsid w:val="00160258"/>
    <w:rsid w:val="00167088"/>
    <w:rsid w:val="00190406"/>
    <w:rsid w:val="001D708D"/>
    <w:rsid w:val="0028252F"/>
    <w:rsid w:val="0029250E"/>
    <w:rsid w:val="002C66FC"/>
    <w:rsid w:val="002D16CB"/>
    <w:rsid w:val="002E40D7"/>
    <w:rsid w:val="003C6326"/>
    <w:rsid w:val="004211FF"/>
    <w:rsid w:val="00482679"/>
    <w:rsid w:val="00590200"/>
    <w:rsid w:val="005D4E7F"/>
    <w:rsid w:val="0060328F"/>
    <w:rsid w:val="00627142"/>
    <w:rsid w:val="0064314C"/>
    <w:rsid w:val="0068707B"/>
    <w:rsid w:val="007108F1"/>
    <w:rsid w:val="00735570"/>
    <w:rsid w:val="00752FAC"/>
    <w:rsid w:val="007C7D62"/>
    <w:rsid w:val="008260FB"/>
    <w:rsid w:val="00883890"/>
    <w:rsid w:val="008963C1"/>
    <w:rsid w:val="008B1EE8"/>
    <w:rsid w:val="008C009C"/>
    <w:rsid w:val="008C49CC"/>
    <w:rsid w:val="00924DA2"/>
    <w:rsid w:val="00975FD0"/>
    <w:rsid w:val="00982B2D"/>
    <w:rsid w:val="00A15B8A"/>
    <w:rsid w:val="00AD4675"/>
    <w:rsid w:val="00B563CF"/>
    <w:rsid w:val="00B614A6"/>
    <w:rsid w:val="00B63670"/>
    <w:rsid w:val="00B97965"/>
    <w:rsid w:val="00BE2133"/>
    <w:rsid w:val="00C171CB"/>
    <w:rsid w:val="00C60313"/>
    <w:rsid w:val="00D01BF6"/>
    <w:rsid w:val="00D860AF"/>
    <w:rsid w:val="00D87F87"/>
    <w:rsid w:val="00DD0966"/>
    <w:rsid w:val="00DF3A97"/>
    <w:rsid w:val="00E4533E"/>
    <w:rsid w:val="00E660C4"/>
    <w:rsid w:val="00F34975"/>
    <w:rsid w:val="00F93079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EAF78"/>
  <w15:docId w15:val="{1469E63C-93FC-4882-AABB-E574E14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0C4"/>
    <w:pPr>
      <w:spacing w:after="12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660C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660C4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E660C4"/>
    <w:rPr>
      <w:rFonts w:ascii="Calibri" w:eastAsia="Calibri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E660C4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E660C4"/>
    <w:rPr>
      <w:rFonts w:ascii="Calibri" w:eastAsia="Calibri" w:hAnsi="Calibri" w:cs="Times New Roman"/>
      <w:lang w:val="x-none"/>
    </w:rPr>
  </w:style>
  <w:style w:type="paragraph" w:styleId="Cm">
    <w:name w:val="Title"/>
    <w:basedOn w:val="Norml"/>
    <w:next w:val="Norml"/>
    <w:link w:val="CmChar"/>
    <w:uiPriority w:val="10"/>
    <w:qFormat/>
    <w:rsid w:val="00E660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CmChar">
    <w:name w:val="Cím Char"/>
    <w:basedOn w:val="Bekezdsalapbettpusa"/>
    <w:link w:val="Cm"/>
    <w:uiPriority w:val="10"/>
    <w:rsid w:val="00E660C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styleId="Oldalszm">
    <w:name w:val="page number"/>
    <w:basedOn w:val="Bekezdsalapbettpusa"/>
    <w:rsid w:val="00E660C4"/>
  </w:style>
  <w:style w:type="paragraph" w:styleId="Szvegtrzs">
    <w:name w:val="Body Text"/>
    <w:basedOn w:val="Norml"/>
    <w:link w:val="SzvegtrzsChar"/>
    <w:rsid w:val="00E660C4"/>
    <w:pPr>
      <w:spacing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660C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71C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C171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1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1C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1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1CB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7C7D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F96E3ECCC949B94A560EECA4FB43" ma:contentTypeVersion="0" ma:contentTypeDescription="Create a new document." ma:contentTypeScope="" ma:versionID="cf1ae6bee2a25e618362065bf7d2d089">
  <xsd:schema xmlns:xsd="http://www.w3.org/2001/XMLSchema" xmlns:xs="http://www.w3.org/2001/XMLSchema" xmlns:p="http://schemas.microsoft.com/office/2006/metadata/properties" xmlns:ns2="7231af7d-08d0-439a-9b88-4d6252b448f2" targetNamespace="http://schemas.microsoft.com/office/2006/metadata/properties" ma:root="true" ma:fieldsID="d55c0b72eb1d218ea8d47edbf8897284" ns2:_="">
    <xsd:import namespace="7231af7d-08d0-439a-9b88-4d6252b448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af7d-08d0-439a-9b88-4d6252b448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31af7d-08d0-439a-9b88-4d6252b448f2">UKWV2PZSPCKD-1797567310-173712</_dlc_DocId>
    <_dlc_DocIdUrl xmlns="7231af7d-08d0-439a-9b88-4d6252b448f2">
      <Url>https://epifile.eir.hu/_layouts/15/DocIdRedir.aspx?ID=UKWV2PZSPCKD-1797567310-173712</Url>
      <Description>UKWV2PZSPCKD-1797567310-173712</Description>
    </_dlc_DocIdUrl>
  </documentManagement>
</p:properties>
</file>

<file path=customXml/itemProps1.xml><?xml version="1.0" encoding="utf-8"?>
<ds:datastoreItem xmlns:ds="http://schemas.openxmlformats.org/officeDocument/2006/customXml" ds:itemID="{DD22DECA-1484-4D8F-A63D-864BD38BA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9E551-F761-4188-81C6-096615F10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3DF83D-5428-4C2B-BCAD-D1A8229BD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1af7d-08d0-439a-9b88-4d6252b44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D567D-1770-4763-B824-4D524CAC31F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231af7d-08d0-439a-9b88-4d6252b448f2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12689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Nyikos Zsuzsanna Dr.</dc:creator>
  <cp:lastModifiedBy>Kiss Eszter (HW Stúdió Kft.)</cp:lastModifiedBy>
  <cp:revision>2</cp:revision>
  <dcterms:created xsi:type="dcterms:W3CDTF">2019-10-29T07:59:00Z</dcterms:created>
  <dcterms:modified xsi:type="dcterms:W3CDTF">2019-10-29T07:59:00Z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0x0101001FCCF96E3ECCC949B94A560EECA4FB43</vt:lpwstr>
  </property>
  <property fmtid="{D5CDD505-2E9C-101B-9397-08002B2CF9AE}" pid="3" name="_dlc_DocIdItemGuid">
    <vt:lpwstr>e1c51dda-2555-4edd-8178-2a93e383c33b</vt:lpwstr>
  </property>
</Properties>
</file>