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01B4" w14:textId="77777777" w:rsidR="004610D0" w:rsidRDefault="004610D0" w:rsidP="004610D0">
      <w:pPr>
        <w:spacing w:after="0" w:line="240" w:lineRule="auto"/>
        <w:jc w:val="center"/>
        <w:rPr>
          <w:rFonts w:ascii="Arial" w:hAnsi="Arial" w:cs="Arial"/>
          <w:b/>
          <w:bCs/>
          <w:color w:val="C00000"/>
          <w:sz w:val="40"/>
          <w:szCs w:val="40"/>
        </w:rPr>
      </w:pPr>
    </w:p>
    <w:p w14:paraId="2459F70A" w14:textId="67DDB009" w:rsidR="004610D0" w:rsidRDefault="004610D0" w:rsidP="004610D0">
      <w:pPr>
        <w:spacing w:after="0" w:line="240" w:lineRule="auto"/>
        <w:jc w:val="center"/>
        <w:rPr>
          <w:rFonts w:ascii="Arial" w:hAnsi="Arial" w:cs="Arial"/>
          <w:b/>
          <w:bCs/>
          <w:color w:val="C00000"/>
          <w:sz w:val="40"/>
          <w:szCs w:val="40"/>
        </w:rPr>
      </w:pPr>
    </w:p>
    <w:p w14:paraId="3EB7359E" w14:textId="05A8462A" w:rsidR="000940AF" w:rsidRDefault="000940AF" w:rsidP="004610D0">
      <w:pPr>
        <w:spacing w:after="0" w:line="240" w:lineRule="auto"/>
        <w:jc w:val="center"/>
        <w:rPr>
          <w:rFonts w:ascii="Arial" w:hAnsi="Arial" w:cs="Arial"/>
          <w:b/>
          <w:bCs/>
          <w:color w:val="C00000"/>
          <w:sz w:val="40"/>
          <w:szCs w:val="40"/>
        </w:rPr>
      </w:pPr>
    </w:p>
    <w:p w14:paraId="2398749A" w14:textId="076438B6" w:rsidR="000940AF" w:rsidRDefault="000940AF" w:rsidP="004610D0">
      <w:pPr>
        <w:spacing w:after="0" w:line="240" w:lineRule="auto"/>
        <w:jc w:val="center"/>
        <w:rPr>
          <w:rFonts w:ascii="Arial" w:hAnsi="Arial" w:cs="Arial"/>
          <w:b/>
          <w:bCs/>
          <w:color w:val="C00000"/>
          <w:sz w:val="40"/>
          <w:szCs w:val="40"/>
        </w:rPr>
      </w:pPr>
    </w:p>
    <w:p w14:paraId="2AE04B73" w14:textId="6AD20661" w:rsidR="000940AF" w:rsidRDefault="000940AF" w:rsidP="004610D0">
      <w:pPr>
        <w:spacing w:after="0" w:line="240" w:lineRule="auto"/>
        <w:jc w:val="center"/>
        <w:rPr>
          <w:rFonts w:ascii="Arial" w:hAnsi="Arial" w:cs="Arial"/>
          <w:b/>
          <w:bCs/>
          <w:color w:val="C00000"/>
          <w:sz w:val="40"/>
          <w:szCs w:val="40"/>
        </w:rPr>
      </w:pPr>
    </w:p>
    <w:p w14:paraId="164BB87E" w14:textId="77777777" w:rsidR="000940AF" w:rsidRDefault="000940AF" w:rsidP="004610D0">
      <w:pPr>
        <w:spacing w:after="0" w:line="240" w:lineRule="auto"/>
        <w:jc w:val="center"/>
        <w:rPr>
          <w:rFonts w:ascii="Arial" w:hAnsi="Arial" w:cs="Arial"/>
          <w:b/>
          <w:bCs/>
          <w:color w:val="C00000"/>
          <w:sz w:val="40"/>
          <w:szCs w:val="40"/>
        </w:rPr>
      </w:pPr>
    </w:p>
    <w:p w14:paraId="4E72642C" w14:textId="77777777" w:rsidR="004610D0" w:rsidRDefault="004610D0" w:rsidP="004610D0">
      <w:pPr>
        <w:spacing w:after="0" w:line="240" w:lineRule="auto"/>
        <w:jc w:val="center"/>
        <w:rPr>
          <w:rFonts w:ascii="Arial" w:hAnsi="Arial" w:cs="Arial"/>
          <w:b/>
          <w:bCs/>
          <w:color w:val="C00000"/>
          <w:sz w:val="40"/>
          <w:szCs w:val="40"/>
        </w:rPr>
      </w:pPr>
    </w:p>
    <w:p w14:paraId="06516B41" w14:textId="77777777" w:rsidR="004610D0" w:rsidRDefault="004610D0" w:rsidP="00CB37CA">
      <w:pPr>
        <w:spacing w:after="0" w:line="240" w:lineRule="auto"/>
        <w:rPr>
          <w:rFonts w:ascii="Arial" w:hAnsi="Arial" w:cs="Arial"/>
          <w:b/>
          <w:bCs/>
          <w:color w:val="C00000"/>
          <w:sz w:val="40"/>
          <w:szCs w:val="40"/>
        </w:rPr>
      </w:pPr>
    </w:p>
    <w:p w14:paraId="2CD28093" w14:textId="77777777" w:rsidR="004610D0" w:rsidRDefault="004610D0" w:rsidP="004610D0">
      <w:pPr>
        <w:spacing w:after="0" w:line="240" w:lineRule="auto"/>
        <w:jc w:val="center"/>
        <w:rPr>
          <w:rFonts w:ascii="Arial" w:hAnsi="Arial" w:cs="Arial"/>
          <w:b/>
          <w:bCs/>
          <w:color w:val="C00000"/>
          <w:sz w:val="40"/>
          <w:szCs w:val="40"/>
        </w:rPr>
      </w:pPr>
    </w:p>
    <w:p w14:paraId="59B882F1" w14:textId="4C6EBC03" w:rsidR="00D9444B" w:rsidRPr="00CB37CA" w:rsidRDefault="00185BA9" w:rsidP="004610D0">
      <w:pPr>
        <w:spacing w:after="0" w:line="240" w:lineRule="auto"/>
        <w:jc w:val="center"/>
        <w:rPr>
          <w:rFonts w:ascii="Arial" w:hAnsi="Arial" w:cs="Arial"/>
          <w:sz w:val="40"/>
          <w:szCs w:val="40"/>
        </w:rPr>
      </w:pPr>
      <w:r>
        <w:rPr>
          <w:rFonts w:ascii="Arial" w:hAnsi="Arial"/>
          <w:b/>
          <w:sz w:val="40"/>
        </w:rPr>
        <w:t xml:space="preserve">POLICY OF THE MBH </w:t>
      </w:r>
      <w:r w:rsidR="00C973EF">
        <w:rPr>
          <w:rFonts w:ascii="Arial" w:hAnsi="Arial"/>
          <w:b/>
          <w:sz w:val="40"/>
        </w:rPr>
        <w:t xml:space="preserve">GROUP ON </w:t>
      </w:r>
      <w:r>
        <w:rPr>
          <w:rFonts w:ascii="Arial" w:hAnsi="Arial"/>
          <w:b/>
          <w:sz w:val="40"/>
        </w:rPr>
        <w:t>THE PREVENTION AND COMBATING OF</w:t>
      </w:r>
      <w:r w:rsidR="00C973EF">
        <w:rPr>
          <w:rFonts w:ascii="Arial" w:hAnsi="Arial"/>
          <w:b/>
          <w:sz w:val="40"/>
        </w:rPr>
        <w:t xml:space="preserve"> MONEY LAUNDERING AND TERRORIST FINANCING</w:t>
      </w:r>
    </w:p>
    <w:p w14:paraId="0F0AD461" w14:textId="318949D4" w:rsidR="004610D0" w:rsidRDefault="004610D0">
      <w:pPr>
        <w:spacing w:after="0" w:line="240" w:lineRule="auto"/>
        <w:jc w:val="center"/>
        <w:rPr>
          <w:rFonts w:ascii="Arial" w:hAnsi="Arial" w:cs="Arial"/>
          <w:b/>
          <w:bCs/>
          <w:color w:val="C00000"/>
          <w:sz w:val="40"/>
          <w:szCs w:val="40"/>
        </w:rPr>
      </w:pPr>
    </w:p>
    <w:p w14:paraId="78024945" w14:textId="77777777" w:rsidR="004610D0" w:rsidRDefault="004610D0">
      <w:pPr>
        <w:spacing w:after="0" w:line="240" w:lineRule="auto"/>
        <w:jc w:val="center"/>
        <w:rPr>
          <w:rFonts w:ascii="Arial" w:hAnsi="Arial" w:cs="Arial"/>
          <w:b/>
          <w:bCs/>
          <w:color w:val="C00000"/>
          <w:sz w:val="40"/>
          <w:szCs w:val="40"/>
        </w:rPr>
      </w:pPr>
    </w:p>
    <w:p w14:paraId="4B7985D0" w14:textId="1519BB8E" w:rsidR="004610D0" w:rsidRDefault="004610D0">
      <w:pPr>
        <w:spacing w:after="0" w:line="240" w:lineRule="auto"/>
        <w:jc w:val="center"/>
        <w:rPr>
          <w:rFonts w:ascii="Arial" w:hAnsi="Arial" w:cs="Arial"/>
          <w:b/>
          <w:bCs/>
          <w:color w:val="C00000"/>
          <w:sz w:val="40"/>
          <w:szCs w:val="40"/>
        </w:rPr>
      </w:pPr>
    </w:p>
    <w:p w14:paraId="173CED49" w14:textId="1A3BC6A2" w:rsidR="00D9444B" w:rsidRDefault="00D9444B">
      <w:pPr>
        <w:spacing w:after="0" w:line="240" w:lineRule="auto"/>
        <w:jc w:val="center"/>
        <w:rPr>
          <w:rFonts w:ascii="Arial" w:hAnsi="Arial" w:cs="Arial"/>
          <w:b/>
          <w:bCs/>
          <w:color w:val="C00000"/>
          <w:sz w:val="40"/>
          <w:szCs w:val="40"/>
        </w:rPr>
      </w:pPr>
    </w:p>
    <w:p w14:paraId="024002A2" w14:textId="6CB1A2CB" w:rsidR="00D9444B" w:rsidRDefault="00D9444B">
      <w:pPr>
        <w:spacing w:after="0" w:line="240" w:lineRule="auto"/>
        <w:jc w:val="center"/>
        <w:rPr>
          <w:rFonts w:ascii="Arial" w:hAnsi="Arial" w:cs="Arial"/>
          <w:b/>
          <w:bCs/>
          <w:color w:val="C00000"/>
          <w:sz w:val="40"/>
          <w:szCs w:val="40"/>
        </w:rPr>
      </w:pPr>
    </w:p>
    <w:p w14:paraId="75BF2A73" w14:textId="41CC737D" w:rsidR="00D9444B" w:rsidRDefault="00D9444B">
      <w:pPr>
        <w:spacing w:after="0" w:line="240" w:lineRule="auto"/>
        <w:jc w:val="center"/>
        <w:rPr>
          <w:rFonts w:ascii="Arial" w:hAnsi="Arial" w:cs="Arial"/>
          <w:b/>
          <w:bCs/>
          <w:color w:val="C00000"/>
          <w:sz w:val="40"/>
          <w:szCs w:val="40"/>
        </w:rPr>
      </w:pPr>
    </w:p>
    <w:p w14:paraId="5B776A09" w14:textId="0F2BBD21" w:rsidR="00D9444B" w:rsidRDefault="00D9444B">
      <w:pPr>
        <w:spacing w:after="0" w:line="240" w:lineRule="auto"/>
        <w:jc w:val="center"/>
        <w:rPr>
          <w:rFonts w:ascii="Arial" w:hAnsi="Arial" w:cs="Arial"/>
          <w:b/>
          <w:bCs/>
          <w:color w:val="C00000"/>
          <w:sz w:val="40"/>
          <w:szCs w:val="40"/>
        </w:rPr>
      </w:pPr>
    </w:p>
    <w:p w14:paraId="1C035702" w14:textId="472DAE29" w:rsidR="00D9444B" w:rsidRDefault="00D9444B">
      <w:pPr>
        <w:spacing w:after="0" w:line="240" w:lineRule="auto"/>
        <w:jc w:val="center"/>
        <w:rPr>
          <w:rFonts w:ascii="Arial" w:hAnsi="Arial" w:cs="Arial"/>
          <w:b/>
          <w:bCs/>
          <w:color w:val="C00000"/>
          <w:sz w:val="40"/>
          <w:szCs w:val="40"/>
        </w:rPr>
      </w:pPr>
    </w:p>
    <w:p w14:paraId="3E7F2AD8" w14:textId="2F9B730B" w:rsidR="00D9444B" w:rsidRDefault="00D9444B">
      <w:pPr>
        <w:spacing w:after="0" w:line="240" w:lineRule="auto"/>
        <w:jc w:val="center"/>
        <w:rPr>
          <w:rFonts w:ascii="Arial" w:hAnsi="Arial" w:cs="Arial"/>
          <w:b/>
          <w:bCs/>
          <w:color w:val="C00000"/>
          <w:sz w:val="40"/>
          <w:szCs w:val="40"/>
        </w:rPr>
      </w:pPr>
    </w:p>
    <w:p w14:paraId="799926EA" w14:textId="0376C883" w:rsidR="00D9444B" w:rsidRDefault="00D9444B">
      <w:pPr>
        <w:spacing w:after="0" w:line="240" w:lineRule="auto"/>
        <w:jc w:val="center"/>
        <w:rPr>
          <w:rFonts w:ascii="Arial" w:hAnsi="Arial" w:cs="Arial"/>
          <w:b/>
          <w:bCs/>
          <w:color w:val="C00000"/>
          <w:sz w:val="40"/>
          <w:szCs w:val="40"/>
        </w:rPr>
      </w:pPr>
    </w:p>
    <w:p w14:paraId="48463569" w14:textId="487BEA9D" w:rsidR="00D9444B" w:rsidRDefault="00D9444B">
      <w:pPr>
        <w:spacing w:after="0" w:line="240" w:lineRule="auto"/>
        <w:jc w:val="center"/>
        <w:rPr>
          <w:rFonts w:ascii="Arial" w:hAnsi="Arial" w:cs="Arial"/>
          <w:b/>
          <w:bCs/>
          <w:color w:val="C00000"/>
          <w:sz w:val="40"/>
          <w:szCs w:val="40"/>
        </w:rPr>
      </w:pPr>
    </w:p>
    <w:p w14:paraId="625B63A5" w14:textId="670AA11B" w:rsidR="00D9444B" w:rsidRDefault="00D9444B">
      <w:pPr>
        <w:spacing w:after="0" w:line="240" w:lineRule="auto"/>
        <w:jc w:val="center"/>
        <w:rPr>
          <w:rFonts w:ascii="Arial" w:hAnsi="Arial" w:cs="Arial"/>
          <w:b/>
          <w:bCs/>
          <w:color w:val="C00000"/>
          <w:sz w:val="40"/>
          <w:szCs w:val="40"/>
        </w:rPr>
      </w:pPr>
    </w:p>
    <w:p w14:paraId="087F5D14" w14:textId="192289D5" w:rsidR="00F903E6" w:rsidRDefault="00F903E6" w:rsidP="00CB37CA">
      <w:pPr>
        <w:spacing w:after="120" w:line="240" w:lineRule="auto"/>
        <w:jc w:val="center"/>
        <w:rPr>
          <w:rFonts w:ascii="Arial" w:hAnsi="Arial" w:cs="Arial"/>
          <w:i/>
          <w:iCs/>
          <w:sz w:val="40"/>
          <w:szCs w:val="40"/>
        </w:rPr>
      </w:pPr>
    </w:p>
    <w:p w14:paraId="5D0E6161" w14:textId="2C9E7AC7" w:rsidR="00F903E6" w:rsidRDefault="00F903E6" w:rsidP="00CB37CA">
      <w:pPr>
        <w:spacing w:after="120" w:line="240" w:lineRule="auto"/>
        <w:jc w:val="center"/>
        <w:rPr>
          <w:rFonts w:ascii="Arial" w:hAnsi="Arial" w:cs="Arial"/>
          <w:i/>
          <w:iCs/>
          <w:sz w:val="40"/>
          <w:szCs w:val="40"/>
        </w:rPr>
      </w:pPr>
    </w:p>
    <w:p w14:paraId="56D8F6F0" w14:textId="34A92CDF" w:rsidR="00C973EF" w:rsidRDefault="00C973EF" w:rsidP="00CB37CA">
      <w:pPr>
        <w:spacing w:after="120" w:line="240" w:lineRule="auto"/>
        <w:jc w:val="center"/>
        <w:rPr>
          <w:rFonts w:ascii="Arial" w:hAnsi="Arial" w:cs="Arial"/>
          <w:i/>
          <w:iCs/>
          <w:sz w:val="40"/>
          <w:szCs w:val="40"/>
        </w:rPr>
      </w:pPr>
    </w:p>
    <w:p w14:paraId="592B286C" w14:textId="670F86AA" w:rsidR="00C973EF" w:rsidRDefault="00C973EF" w:rsidP="00CB37CA">
      <w:pPr>
        <w:spacing w:after="120" w:line="240" w:lineRule="auto"/>
        <w:jc w:val="center"/>
        <w:rPr>
          <w:rFonts w:ascii="Arial" w:hAnsi="Arial" w:cs="Arial"/>
          <w:i/>
          <w:iCs/>
          <w:sz w:val="40"/>
          <w:szCs w:val="40"/>
        </w:rPr>
      </w:pPr>
    </w:p>
    <w:p w14:paraId="59AE1441" w14:textId="77777777" w:rsidR="00C973EF" w:rsidRDefault="00C973EF" w:rsidP="00CB37CA">
      <w:pPr>
        <w:spacing w:after="120" w:line="240" w:lineRule="auto"/>
        <w:jc w:val="center"/>
        <w:rPr>
          <w:rFonts w:ascii="Arial" w:hAnsi="Arial" w:cs="Arial"/>
          <w:i/>
          <w:iCs/>
          <w:sz w:val="40"/>
          <w:szCs w:val="40"/>
        </w:rPr>
      </w:pPr>
    </w:p>
    <w:p w14:paraId="162AFC6F" w14:textId="0A22F031" w:rsidR="00F903E6" w:rsidRDefault="00F903E6" w:rsidP="00CB37CA">
      <w:pPr>
        <w:spacing w:after="120" w:line="240" w:lineRule="auto"/>
        <w:jc w:val="center"/>
        <w:rPr>
          <w:rFonts w:ascii="Arial" w:hAnsi="Arial" w:cs="Arial"/>
          <w:i/>
          <w:iCs/>
          <w:sz w:val="40"/>
          <w:szCs w:val="40"/>
        </w:rPr>
      </w:pPr>
    </w:p>
    <w:p w14:paraId="779483C3" w14:textId="77777777" w:rsidR="0093520B" w:rsidRDefault="0093520B" w:rsidP="00CB37CA">
      <w:pPr>
        <w:pStyle w:val="Default"/>
        <w:spacing w:after="120"/>
        <w:rPr>
          <w:rFonts w:ascii="Arial" w:hAnsi="Arial" w:cs="Arial"/>
          <w:b/>
          <w:bCs/>
          <w:color w:val="auto"/>
          <w:sz w:val="22"/>
          <w:szCs w:val="22"/>
        </w:rPr>
      </w:pPr>
    </w:p>
    <w:p w14:paraId="3673270F" w14:textId="41410CCA" w:rsidR="00A902EF" w:rsidRPr="008B0101" w:rsidRDefault="00CC22D8" w:rsidP="00CB37CA">
      <w:pPr>
        <w:pStyle w:val="Default"/>
        <w:spacing w:after="120"/>
        <w:rPr>
          <w:rFonts w:ascii="Arial" w:hAnsi="Arial" w:cs="Arial"/>
          <w:b/>
          <w:bCs/>
          <w:color w:val="auto"/>
        </w:rPr>
      </w:pPr>
      <w:r>
        <w:rPr>
          <w:rFonts w:ascii="Arial" w:hAnsi="Arial"/>
          <w:b/>
          <w:color w:val="auto"/>
        </w:rPr>
        <w:t>PREAMBLE</w:t>
      </w:r>
    </w:p>
    <w:p w14:paraId="71EBBE8D" w14:textId="4B082B3F" w:rsidR="0044646E" w:rsidRPr="007C13A1" w:rsidRDefault="00D73F4E" w:rsidP="0044646E">
      <w:pPr>
        <w:spacing w:after="120" w:line="276" w:lineRule="auto"/>
        <w:jc w:val="both"/>
        <w:rPr>
          <w:rFonts w:ascii="Arial" w:hAnsi="Arial" w:cs="Arial"/>
          <w:sz w:val="24"/>
          <w:szCs w:val="24"/>
        </w:rPr>
      </w:pPr>
      <w:r>
        <w:rPr>
          <w:rFonts w:ascii="Arial" w:hAnsi="Arial"/>
          <w:sz w:val="24"/>
        </w:rPr>
        <w:t xml:space="preserve">MBH Bank </w:t>
      </w:r>
      <w:proofErr w:type="spellStart"/>
      <w:r>
        <w:rPr>
          <w:rFonts w:ascii="Arial" w:hAnsi="Arial"/>
          <w:sz w:val="24"/>
        </w:rPr>
        <w:t>Nyrt</w:t>
      </w:r>
      <w:proofErr w:type="spellEnd"/>
      <w:r>
        <w:rPr>
          <w:rFonts w:ascii="Arial" w:hAnsi="Arial"/>
          <w:sz w:val="24"/>
        </w:rPr>
        <w:t>. and the MBH Banking Group (collectively: the MBH Group) will actively combat money laundering and terrorist financing using the means at its disposal and will participate in the fight aimed at preventing, deterring and detecting economic crime.</w:t>
      </w:r>
    </w:p>
    <w:p w14:paraId="785AD023" w14:textId="45442ED0" w:rsidR="0044646E" w:rsidRPr="007C13A1" w:rsidRDefault="003A1C43" w:rsidP="0044646E">
      <w:pPr>
        <w:spacing w:after="120" w:line="276" w:lineRule="auto"/>
        <w:jc w:val="both"/>
        <w:rPr>
          <w:rFonts w:ascii="Arial" w:hAnsi="Arial" w:cs="Arial"/>
          <w:sz w:val="24"/>
          <w:szCs w:val="24"/>
        </w:rPr>
      </w:pPr>
      <w:r>
        <w:rPr>
          <w:rFonts w:ascii="Arial" w:hAnsi="Arial"/>
          <w:sz w:val="24"/>
        </w:rPr>
        <w:t>The MBH Group takes preventive measures in order to prevent its products and services from being used for money laundering or terrorist financing or for committing criminal offences, in particular fraud, bribery or corruption.</w:t>
      </w:r>
    </w:p>
    <w:p w14:paraId="32BD399E" w14:textId="0EDA838A" w:rsidR="003A1C43" w:rsidRPr="007C13A1" w:rsidRDefault="003A1C43" w:rsidP="0044646E">
      <w:pPr>
        <w:spacing w:after="0" w:line="276" w:lineRule="auto"/>
        <w:jc w:val="both"/>
        <w:rPr>
          <w:rFonts w:ascii="Arial" w:hAnsi="Arial" w:cs="Arial"/>
          <w:sz w:val="24"/>
          <w:szCs w:val="24"/>
        </w:rPr>
      </w:pPr>
      <w:r w:rsidRPr="00185BA9">
        <w:rPr>
          <w:rFonts w:asciiTheme="minorBidi" w:hAnsiTheme="minorBidi"/>
          <w:sz w:val="24"/>
        </w:rPr>
        <w:t xml:space="preserve">The MBH Group's policy on the prevention </w:t>
      </w:r>
      <w:r w:rsidR="00900C23">
        <w:rPr>
          <w:rFonts w:asciiTheme="minorBidi" w:hAnsiTheme="minorBidi"/>
          <w:sz w:val="24"/>
        </w:rPr>
        <w:t xml:space="preserve">and combating </w:t>
      </w:r>
      <w:r w:rsidRPr="00185BA9">
        <w:rPr>
          <w:rFonts w:asciiTheme="minorBidi" w:hAnsiTheme="minorBidi"/>
          <w:sz w:val="24"/>
        </w:rPr>
        <w:t xml:space="preserve">of money laundering and </w:t>
      </w:r>
      <w:r w:rsidR="00FB6534">
        <w:rPr>
          <w:rFonts w:asciiTheme="minorBidi" w:hAnsiTheme="minorBidi"/>
          <w:sz w:val="24"/>
        </w:rPr>
        <w:t>terrorist financing</w:t>
      </w:r>
      <w:r w:rsidRPr="00185BA9">
        <w:rPr>
          <w:rFonts w:asciiTheme="minorBidi" w:hAnsiTheme="minorBidi"/>
          <w:sz w:val="24"/>
        </w:rPr>
        <w:t xml:space="preserve"> (hereinafter: the "Policy") is aimed at ensuring compliance with Act LII of 201</w:t>
      </w:r>
      <w:r>
        <w:rPr>
          <w:rFonts w:ascii="Arial" w:hAnsi="Arial"/>
          <w:sz w:val="24"/>
        </w:rPr>
        <w:t xml:space="preserve">7 (hereinafter the "Money Laundering Act") and HMB </w:t>
      </w:r>
      <w:r w:rsidR="00185BA9">
        <w:rPr>
          <w:rFonts w:ascii="Arial" w:hAnsi="Arial"/>
          <w:sz w:val="24"/>
        </w:rPr>
        <w:t>Decree</w:t>
      </w:r>
      <w:r>
        <w:rPr>
          <w:rFonts w:ascii="Arial" w:hAnsi="Arial"/>
          <w:sz w:val="24"/>
        </w:rPr>
        <w:t xml:space="preserve"> 26/2020 (VIII.25.)</w:t>
      </w:r>
      <w:r w:rsidR="00185BA9">
        <w:rPr>
          <w:rStyle w:val="Lbjegyzet-hivatkozs"/>
          <w:rFonts w:ascii="Arial" w:hAnsi="Arial"/>
          <w:sz w:val="24"/>
        </w:rPr>
        <w:footnoteReference w:id="1"/>
      </w:r>
      <w:r>
        <w:rPr>
          <w:rFonts w:ascii="Arial" w:hAnsi="Arial"/>
          <w:sz w:val="24"/>
        </w:rPr>
        <w:t>, as well as the relevant international standards ensuring the prudent and transparent operation of the Bank.</w:t>
      </w:r>
    </w:p>
    <w:p w14:paraId="3BD8AA74" w14:textId="783F3BE9" w:rsidR="0024715F" w:rsidRPr="007C13A1" w:rsidRDefault="0017165C" w:rsidP="0044646E">
      <w:pPr>
        <w:pStyle w:val="Default"/>
        <w:spacing w:before="120" w:after="240" w:line="276" w:lineRule="auto"/>
        <w:jc w:val="both"/>
        <w:rPr>
          <w:rFonts w:ascii="Arial" w:hAnsi="Arial" w:cs="Arial"/>
        </w:rPr>
      </w:pPr>
      <w:r>
        <w:rPr>
          <w:rFonts w:ascii="Arial" w:hAnsi="Arial"/>
        </w:rPr>
        <w:t>The scope of the Policy extends to all functional units of the MBH Group and to all employees involved in the provision, management and control of the financial and investment services and products of the MBH Group.</w:t>
      </w:r>
    </w:p>
    <w:p w14:paraId="65A53330" w14:textId="35912B10" w:rsidR="00E325CB" w:rsidRPr="008B0101" w:rsidRDefault="00C973EF" w:rsidP="00E325CB">
      <w:pPr>
        <w:pStyle w:val="Default"/>
        <w:spacing w:after="240"/>
        <w:rPr>
          <w:rFonts w:ascii="Arial" w:hAnsi="Arial" w:cs="Arial"/>
          <w:b/>
          <w:bCs/>
          <w:color w:val="auto"/>
        </w:rPr>
      </w:pPr>
      <w:r>
        <w:rPr>
          <w:rFonts w:ascii="Arial" w:hAnsi="Arial"/>
          <w:b/>
          <w:color w:val="auto"/>
        </w:rPr>
        <w:t>BASIC PRINCIPLES OF THE MBH BANKING GROUP</w:t>
      </w:r>
    </w:p>
    <w:p w14:paraId="358A8220" w14:textId="05BF80B2" w:rsidR="00BE6CC6" w:rsidRDefault="008B0101" w:rsidP="002B7320">
      <w:pPr>
        <w:pStyle w:val="Default"/>
        <w:spacing w:after="120"/>
        <w:rPr>
          <w:rFonts w:ascii="Arial" w:hAnsi="Arial" w:cs="Arial"/>
          <w:b/>
          <w:bCs/>
          <w:color w:val="auto"/>
          <w:sz w:val="22"/>
          <w:szCs w:val="22"/>
        </w:rPr>
      </w:pPr>
      <w:r>
        <w:rPr>
          <w:rFonts w:ascii="Arial" w:hAnsi="Arial"/>
          <w:b/>
          <w:color w:val="auto"/>
          <w:sz w:val="22"/>
        </w:rPr>
        <w:t xml:space="preserve">OBLIGATION TO CONDUCT CUSTOMER DUE DILIGENCE </w:t>
      </w:r>
    </w:p>
    <w:p w14:paraId="7D135E76" w14:textId="6361CA6A" w:rsidR="007C13A1" w:rsidRDefault="007B47D6" w:rsidP="007C13A1">
      <w:pPr>
        <w:autoSpaceDE w:val="0"/>
        <w:autoSpaceDN w:val="0"/>
        <w:adjustRightInd w:val="0"/>
        <w:spacing w:after="120" w:line="320" w:lineRule="exact"/>
        <w:jc w:val="both"/>
        <w:rPr>
          <w:rFonts w:ascii="Arial" w:eastAsia="Times New Roman" w:hAnsi="Arial" w:cs="Arial"/>
          <w:sz w:val="24"/>
          <w:szCs w:val="24"/>
        </w:rPr>
      </w:pPr>
      <w:r>
        <w:rPr>
          <w:rFonts w:ascii="Arial" w:hAnsi="Arial"/>
          <w:sz w:val="24"/>
        </w:rPr>
        <w:t xml:space="preserve">The MBH Group is required to </w:t>
      </w:r>
      <w:r w:rsidR="00900C23">
        <w:rPr>
          <w:rFonts w:ascii="Arial" w:hAnsi="Arial"/>
          <w:sz w:val="24"/>
        </w:rPr>
        <w:t>implement</w:t>
      </w:r>
      <w:r>
        <w:rPr>
          <w:rFonts w:ascii="Arial" w:hAnsi="Arial"/>
          <w:sz w:val="24"/>
        </w:rPr>
        <w:t xml:space="preserve"> customer due diligence measures, which include customer identification, identity verification, identifying the beneficial owner and verifying the beneficial owner's details, and risk-rating the customer. The details of the business relationship </w:t>
      </w:r>
      <w:r w:rsidR="00900C23">
        <w:rPr>
          <w:rFonts w:ascii="Arial" w:hAnsi="Arial"/>
          <w:sz w:val="24"/>
        </w:rPr>
        <w:t>are</w:t>
      </w:r>
      <w:r>
        <w:rPr>
          <w:rFonts w:ascii="Arial" w:hAnsi="Arial"/>
          <w:sz w:val="24"/>
        </w:rPr>
        <w:t xml:space="preserve"> recorded </w:t>
      </w:r>
      <w:r w:rsidR="00900C23">
        <w:rPr>
          <w:rFonts w:ascii="Arial" w:hAnsi="Arial"/>
          <w:sz w:val="24"/>
        </w:rPr>
        <w:t>based on</w:t>
      </w:r>
      <w:r>
        <w:rPr>
          <w:rFonts w:ascii="Arial" w:hAnsi="Arial"/>
          <w:sz w:val="24"/>
        </w:rPr>
        <w:t xml:space="preserve"> the identification, the transaction order and the business relationship are monitored on an ongoing basis. The MBH Group keeps up-to-date records of customer data in its systems. </w:t>
      </w:r>
    </w:p>
    <w:p w14:paraId="1EB8D01C" w14:textId="33296F5A" w:rsidR="007B47D6" w:rsidRDefault="00DE0F89" w:rsidP="00DE0F89">
      <w:pPr>
        <w:autoSpaceDE w:val="0"/>
        <w:autoSpaceDN w:val="0"/>
        <w:adjustRightInd w:val="0"/>
        <w:spacing w:after="0" w:line="320" w:lineRule="exact"/>
        <w:jc w:val="both"/>
        <w:rPr>
          <w:rFonts w:ascii="Arial" w:hAnsi="Arial" w:cs="Arial"/>
          <w:sz w:val="24"/>
          <w:szCs w:val="24"/>
        </w:rPr>
      </w:pPr>
      <w:r>
        <w:rPr>
          <w:rFonts w:ascii="Arial" w:hAnsi="Arial"/>
          <w:sz w:val="24"/>
        </w:rPr>
        <w:t xml:space="preserve">The MBH Group may obtain additional information on transactions, dealings and counterparties to transactions executed on the client's account beyond the information available. </w:t>
      </w:r>
    </w:p>
    <w:p w14:paraId="3C1C2C7A" w14:textId="77777777" w:rsidR="00DE0F89" w:rsidRPr="00DE0F89" w:rsidRDefault="00DE0F89" w:rsidP="00DE0F89">
      <w:pPr>
        <w:autoSpaceDE w:val="0"/>
        <w:autoSpaceDN w:val="0"/>
        <w:adjustRightInd w:val="0"/>
        <w:spacing w:after="0" w:line="320" w:lineRule="exact"/>
        <w:jc w:val="both"/>
        <w:rPr>
          <w:rFonts w:ascii="Arial" w:hAnsi="Arial" w:cs="Arial"/>
          <w:sz w:val="24"/>
          <w:szCs w:val="24"/>
        </w:rPr>
      </w:pPr>
    </w:p>
    <w:p w14:paraId="37C369E5" w14:textId="73BDA292" w:rsidR="008B0101" w:rsidRPr="00185BA9" w:rsidRDefault="008B0101" w:rsidP="008B0101">
      <w:pPr>
        <w:pStyle w:val="Default"/>
        <w:spacing w:after="120"/>
        <w:rPr>
          <w:rFonts w:ascii="Arial" w:hAnsi="Arial" w:cs="Arial"/>
          <w:b/>
          <w:bCs/>
          <w:color w:val="auto"/>
        </w:rPr>
      </w:pPr>
      <w:r w:rsidRPr="00185BA9">
        <w:rPr>
          <w:rFonts w:ascii="Arial" w:hAnsi="Arial"/>
          <w:b/>
          <w:color w:val="auto"/>
          <w:szCs w:val="28"/>
        </w:rPr>
        <w:t>Know Your Customer – KYC</w:t>
      </w:r>
    </w:p>
    <w:p w14:paraId="54737C07" w14:textId="325AB17C" w:rsidR="007B47D6" w:rsidRDefault="008B0101" w:rsidP="008B0101">
      <w:pPr>
        <w:pStyle w:val="Default"/>
        <w:spacing w:before="120" w:after="120" w:line="276" w:lineRule="auto"/>
        <w:jc w:val="both"/>
        <w:rPr>
          <w:rFonts w:ascii="Arial" w:hAnsi="Arial" w:cs="Arial"/>
        </w:rPr>
      </w:pPr>
      <w:r>
        <w:rPr>
          <w:rFonts w:ascii="Arial" w:hAnsi="Arial"/>
        </w:rPr>
        <w:t xml:space="preserve">The MBH Group is committed to taking action against the use of its services and products for the purpose of conducting suspicious transactions and against the causing of material or moral damage to the MBH Group, its owners or its customers. In order to ensure full compliance with this principle, the MBH Group pays particular attention to getting to know its customers as well as possible, and all employees shall therefore comply with their obligations set out in the </w:t>
      </w:r>
      <w:r w:rsidR="00900C23">
        <w:rPr>
          <w:rFonts w:ascii="Arial" w:hAnsi="Arial"/>
        </w:rPr>
        <w:t>Anti-</w:t>
      </w:r>
      <w:r>
        <w:rPr>
          <w:rFonts w:ascii="Arial" w:hAnsi="Arial"/>
        </w:rPr>
        <w:t>Money Laundering Act and the Policy, in order to facilitate legitim</w:t>
      </w:r>
      <w:r w:rsidR="00185BA9">
        <w:rPr>
          <w:rFonts w:ascii="Arial" w:hAnsi="Arial"/>
        </w:rPr>
        <w:t>a</w:t>
      </w:r>
      <w:r>
        <w:rPr>
          <w:rFonts w:ascii="Arial" w:hAnsi="Arial"/>
        </w:rPr>
        <w:t xml:space="preserve">te activities. </w:t>
      </w:r>
    </w:p>
    <w:p w14:paraId="160879D1" w14:textId="09176173" w:rsidR="007B47D6" w:rsidRPr="0044646E" w:rsidRDefault="007B47D6" w:rsidP="007B47D6">
      <w:pPr>
        <w:pStyle w:val="Cmsor2"/>
        <w:rPr>
          <w:rFonts w:ascii="Arial" w:eastAsiaTheme="minorHAnsi" w:hAnsi="Arial" w:cs="Arial"/>
          <w:color w:val="auto"/>
          <w:sz w:val="22"/>
          <w:szCs w:val="22"/>
        </w:rPr>
      </w:pPr>
      <w:bookmarkStart w:id="0" w:name="_Toc98507100"/>
      <w:r>
        <w:rPr>
          <w:rFonts w:ascii="Arial" w:hAnsi="Arial"/>
          <w:color w:val="auto"/>
          <w:sz w:val="22"/>
        </w:rPr>
        <w:lastRenderedPageBreak/>
        <w:t>Customer Due Diligence</w:t>
      </w:r>
      <w:bookmarkEnd w:id="0"/>
      <w:r>
        <w:rPr>
          <w:rFonts w:ascii="Arial" w:hAnsi="Arial"/>
          <w:color w:val="auto"/>
          <w:sz w:val="22"/>
        </w:rPr>
        <w:t xml:space="preserve"> </w:t>
      </w:r>
    </w:p>
    <w:p w14:paraId="1340CCEE" w14:textId="44953B65" w:rsidR="007B47D6" w:rsidRDefault="008B0101" w:rsidP="007C13A1">
      <w:pPr>
        <w:pStyle w:val="Default"/>
        <w:spacing w:before="120" w:after="240" w:line="276" w:lineRule="auto"/>
        <w:jc w:val="both"/>
        <w:rPr>
          <w:rFonts w:ascii="Arial" w:hAnsi="Arial" w:cs="Arial"/>
        </w:rPr>
      </w:pPr>
      <w:r>
        <w:rPr>
          <w:rFonts w:ascii="Arial" w:hAnsi="Arial"/>
        </w:rPr>
        <w:t>In order to prevent money laundering and terrorist financing, the MBH Group makes every effort to be aware of the customer's activities and financial habits when establishing and maintaining a business relationship with a customer.</w:t>
      </w:r>
    </w:p>
    <w:p w14:paraId="16059BCC" w14:textId="5B6A5A40" w:rsidR="008B0101" w:rsidRDefault="00DE6C59" w:rsidP="008B0101">
      <w:pPr>
        <w:pStyle w:val="Default"/>
        <w:spacing w:after="120"/>
        <w:rPr>
          <w:rFonts w:ascii="Arial" w:hAnsi="Arial" w:cs="Arial"/>
          <w:b/>
          <w:bCs/>
          <w:color w:val="auto"/>
          <w:sz w:val="22"/>
          <w:szCs w:val="22"/>
        </w:rPr>
      </w:pPr>
      <w:r>
        <w:rPr>
          <w:rFonts w:ascii="Arial" w:hAnsi="Arial"/>
          <w:b/>
          <w:color w:val="auto"/>
          <w:sz w:val="22"/>
        </w:rPr>
        <w:t>Risk assessment</w:t>
      </w:r>
    </w:p>
    <w:p w14:paraId="705CD3A8" w14:textId="0A788801" w:rsidR="00C05F88" w:rsidRDefault="008B0101" w:rsidP="008B0101">
      <w:pPr>
        <w:pStyle w:val="Default"/>
        <w:spacing w:after="120" w:line="276" w:lineRule="auto"/>
        <w:jc w:val="both"/>
        <w:rPr>
          <w:rFonts w:ascii="Arial" w:eastAsia="Times New Roman" w:hAnsi="Arial" w:cs="Arial"/>
        </w:rPr>
      </w:pPr>
      <w:r>
        <w:rPr>
          <w:rFonts w:ascii="Arial" w:hAnsi="Arial"/>
        </w:rPr>
        <w:t xml:space="preserve">The MBH Group conducts an internal risk assessment in accordance with the requirements of the </w:t>
      </w:r>
      <w:r w:rsidR="002327C1">
        <w:rPr>
          <w:rFonts w:ascii="Arial" w:hAnsi="Arial"/>
        </w:rPr>
        <w:t>Anti-</w:t>
      </w:r>
      <w:r>
        <w:rPr>
          <w:rFonts w:ascii="Arial" w:hAnsi="Arial"/>
        </w:rPr>
        <w:t xml:space="preserve">Money Laundering Act, taking into account domestic and international economic conditions and customs, as well as known risk factors. </w:t>
      </w:r>
    </w:p>
    <w:p w14:paraId="17D2C9FE" w14:textId="399F2876" w:rsidR="0003470E" w:rsidRDefault="008B0101" w:rsidP="00DE0F89">
      <w:pPr>
        <w:pStyle w:val="Default"/>
        <w:spacing w:after="120" w:line="276" w:lineRule="auto"/>
        <w:jc w:val="both"/>
        <w:rPr>
          <w:rFonts w:ascii="Arial" w:eastAsia="Times New Roman" w:hAnsi="Arial" w:cs="Arial"/>
        </w:rPr>
      </w:pPr>
      <w:r>
        <w:rPr>
          <w:rFonts w:ascii="Arial" w:hAnsi="Arial"/>
        </w:rPr>
        <w:t>The MBH Group applies appropriate risk rating based on the business relationship or the nature and amount of the transaction order, as well as the customer, product, service, instrument used and geographical location. In the event of higher risk factors arising, enhanced customer due diligence and/or enhanced procedures are undertaken.</w:t>
      </w:r>
    </w:p>
    <w:p w14:paraId="180E1F58" w14:textId="6BBB6DBE" w:rsidR="002B7320" w:rsidRDefault="00DE0F89" w:rsidP="002B7320">
      <w:pPr>
        <w:autoSpaceDE w:val="0"/>
        <w:autoSpaceDN w:val="0"/>
        <w:adjustRightInd w:val="0"/>
        <w:spacing w:after="240" w:line="320" w:lineRule="exact"/>
        <w:jc w:val="both"/>
        <w:rPr>
          <w:rFonts w:ascii="Arial" w:hAnsi="Arial" w:cs="Arial"/>
          <w:sz w:val="24"/>
          <w:szCs w:val="24"/>
        </w:rPr>
      </w:pPr>
      <w:r>
        <w:rPr>
          <w:rFonts w:ascii="Arial" w:hAnsi="Arial"/>
          <w:sz w:val="24"/>
        </w:rPr>
        <w:t>The MBH Group reserves the right to refuse to enter into any customer relationship, to terminate any existing customer relationship, and to refuse any transaction or transaction order if it is not in line with its risk appetite.</w:t>
      </w:r>
    </w:p>
    <w:p w14:paraId="62C03C32" w14:textId="678D85F5" w:rsidR="002B7320" w:rsidRPr="00751BF8" w:rsidRDefault="002B7320" w:rsidP="002B7320">
      <w:pPr>
        <w:autoSpaceDE w:val="0"/>
        <w:autoSpaceDN w:val="0"/>
        <w:adjustRightInd w:val="0"/>
        <w:spacing w:after="120" w:line="320" w:lineRule="exact"/>
        <w:rPr>
          <w:rFonts w:ascii="Arial" w:hAnsi="Arial" w:cs="Arial"/>
          <w:sz w:val="24"/>
          <w:szCs w:val="24"/>
        </w:rPr>
      </w:pPr>
      <w:r>
        <w:rPr>
          <w:rFonts w:ascii="Arial" w:hAnsi="Arial"/>
          <w:sz w:val="24"/>
        </w:rPr>
        <w:t xml:space="preserve">The MBH Group will not establish a customer relationship with: </w:t>
      </w:r>
    </w:p>
    <w:p w14:paraId="03D2407B" w14:textId="364AC042" w:rsidR="002B7320" w:rsidRPr="00395535" w:rsidRDefault="002B7320" w:rsidP="0068467E">
      <w:pPr>
        <w:pStyle w:val="Listaszerbekezds"/>
        <w:numPr>
          <w:ilvl w:val="0"/>
          <w:numId w:val="14"/>
        </w:numPr>
        <w:autoSpaceDE w:val="0"/>
        <w:autoSpaceDN w:val="0"/>
        <w:adjustRightInd w:val="0"/>
        <w:spacing w:after="0" w:line="276" w:lineRule="auto"/>
        <w:jc w:val="both"/>
        <w:rPr>
          <w:rFonts w:ascii="Arial" w:hAnsi="Arial" w:cs="Arial"/>
          <w:sz w:val="24"/>
          <w:szCs w:val="24"/>
        </w:rPr>
      </w:pPr>
      <w:r>
        <w:rPr>
          <w:rFonts w:ascii="Arial" w:hAnsi="Arial"/>
          <w:sz w:val="24"/>
        </w:rPr>
        <w:t>Shell banks,</w:t>
      </w:r>
    </w:p>
    <w:p w14:paraId="34005AE4" w14:textId="606120F5" w:rsidR="002B7320" w:rsidRPr="00185BA9" w:rsidRDefault="002B7320" w:rsidP="0068467E">
      <w:pPr>
        <w:pStyle w:val="Listaszerbekezds"/>
        <w:numPr>
          <w:ilvl w:val="0"/>
          <w:numId w:val="14"/>
        </w:numPr>
        <w:autoSpaceDE w:val="0"/>
        <w:autoSpaceDN w:val="0"/>
        <w:adjustRightInd w:val="0"/>
        <w:spacing w:after="0" w:line="276" w:lineRule="auto"/>
        <w:jc w:val="both"/>
        <w:rPr>
          <w:rFonts w:asciiTheme="minorBidi" w:hAnsiTheme="minorBidi"/>
          <w:sz w:val="28"/>
          <w:szCs w:val="28"/>
        </w:rPr>
      </w:pPr>
      <w:r w:rsidRPr="00185BA9">
        <w:rPr>
          <w:rFonts w:asciiTheme="minorBidi" w:hAnsiTheme="minorBidi"/>
          <w:sz w:val="24"/>
          <w:szCs w:val="24"/>
        </w:rPr>
        <w:t>Foundations established abroad,</w:t>
      </w:r>
    </w:p>
    <w:p w14:paraId="0CABBD1D" w14:textId="71D6AACD" w:rsidR="002B7320" w:rsidRPr="00751BF8" w:rsidRDefault="002B7320" w:rsidP="0068467E">
      <w:pPr>
        <w:pStyle w:val="Listaszerbekezds"/>
        <w:numPr>
          <w:ilvl w:val="0"/>
          <w:numId w:val="14"/>
        </w:numPr>
        <w:autoSpaceDE w:val="0"/>
        <w:autoSpaceDN w:val="0"/>
        <w:adjustRightInd w:val="0"/>
        <w:spacing w:after="0" w:line="276" w:lineRule="auto"/>
        <w:jc w:val="both"/>
        <w:rPr>
          <w:rFonts w:ascii="Arial" w:hAnsi="Arial" w:cs="Arial"/>
          <w:sz w:val="24"/>
          <w:szCs w:val="24"/>
        </w:rPr>
      </w:pPr>
      <w:r>
        <w:rPr>
          <w:rFonts w:ascii="Arial" w:hAnsi="Arial"/>
          <w:sz w:val="24"/>
        </w:rPr>
        <w:t>Iranian nationals who do not have a documented Hungarian connection, such as: a permanent residence permit, a residence permit, an identity card issued by a Hungarian authority to a foreign national and an official certificate of residence or Hungarian citizenship,</w:t>
      </w:r>
    </w:p>
    <w:p w14:paraId="3382C4AC" w14:textId="29E01C8C" w:rsidR="002B7320" w:rsidRPr="00395535" w:rsidRDefault="002B7320" w:rsidP="0068467E">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If the customer is a company whose shares include bearer shares - directly or indirectly, where it is not possible to verify and identify the </w:t>
      </w:r>
      <w:r w:rsidR="002327C1">
        <w:rPr>
          <w:rFonts w:ascii="Arial" w:hAnsi="Arial"/>
          <w:sz w:val="24"/>
        </w:rPr>
        <w:t xml:space="preserve">beneficial </w:t>
      </w:r>
      <w:r>
        <w:rPr>
          <w:rFonts w:ascii="Arial" w:hAnsi="Arial"/>
          <w:sz w:val="24"/>
        </w:rPr>
        <w:t>owners,</w:t>
      </w:r>
    </w:p>
    <w:p w14:paraId="3ABFCABC" w14:textId="093A363E" w:rsidR="002B7320" w:rsidRPr="00395535" w:rsidRDefault="002B7320" w:rsidP="0068467E">
      <w:pPr>
        <w:pStyle w:val="Listaszerbekezds"/>
        <w:numPr>
          <w:ilvl w:val="0"/>
          <w:numId w:val="14"/>
        </w:numPr>
        <w:spacing w:after="200" w:line="276" w:lineRule="auto"/>
        <w:jc w:val="both"/>
        <w:rPr>
          <w:rFonts w:ascii="Arial" w:hAnsi="Arial" w:cs="Arial"/>
          <w:sz w:val="24"/>
          <w:szCs w:val="24"/>
        </w:rPr>
      </w:pPr>
      <w:r>
        <w:rPr>
          <w:rFonts w:ascii="Arial" w:hAnsi="Arial"/>
          <w:sz w:val="24"/>
        </w:rPr>
        <w:t>If the customer is a company where the shareholder is represented by a proxy.</w:t>
      </w:r>
    </w:p>
    <w:p w14:paraId="18ADE894" w14:textId="1B427919" w:rsidR="002B7320" w:rsidRPr="000939C0" w:rsidRDefault="000939C0" w:rsidP="000939C0">
      <w:pPr>
        <w:autoSpaceDE w:val="0"/>
        <w:autoSpaceDN w:val="0"/>
        <w:adjustRightInd w:val="0"/>
        <w:spacing w:after="120" w:line="276" w:lineRule="auto"/>
        <w:jc w:val="both"/>
        <w:rPr>
          <w:rFonts w:ascii="Arial" w:hAnsi="Arial" w:cs="Arial"/>
          <w:sz w:val="24"/>
          <w:szCs w:val="24"/>
        </w:rPr>
      </w:pPr>
      <w:r>
        <w:rPr>
          <w:rFonts w:ascii="Arial" w:hAnsi="Arial"/>
          <w:sz w:val="24"/>
        </w:rPr>
        <w:t>Furthermore, as a general rule, MBH Group does not enter into business relationships with legal entities or unincorporated entities having their registered seat in a foreign country, which do not have a business connection, a contractual business partner or an activity in Hungary and only intend to use account management services.</w:t>
      </w:r>
    </w:p>
    <w:p w14:paraId="7CBF6E36" w14:textId="24B591CB" w:rsidR="00554E44" w:rsidRDefault="008E5C87" w:rsidP="00DF12F0">
      <w:pPr>
        <w:autoSpaceDE w:val="0"/>
        <w:autoSpaceDN w:val="0"/>
        <w:adjustRightInd w:val="0"/>
        <w:spacing w:after="0" w:line="276" w:lineRule="auto"/>
        <w:jc w:val="both"/>
        <w:rPr>
          <w:rFonts w:ascii="Arial" w:hAnsi="Arial" w:cs="Arial"/>
          <w:sz w:val="24"/>
          <w:szCs w:val="24"/>
        </w:rPr>
      </w:pPr>
      <w:r>
        <w:rPr>
          <w:rFonts w:ascii="Arial" w:hAnsi="Arial"/>
          <w:sz w:val="24"/>
        </w:rPr>
        <w:t>The MBH Group reserves the right to request additional documentation when establishing a customer relationship for customers identified as high risk based on the internal risk assessment of the Bank in order to better understand the nature of the customer's business.</w:t>
      </w:r>
    </w:p>
    <w:p w14:paraId="703F07A1" w14:textId="77777777" w:rsidR="00C973EF" w:rsidRDefault="00C973EF" w:rsidP="00554E44">
      <w:pPr>
        <w:autoSpaceDE w:val="0"/>
        <w:autoSpaceDN w:val="0"/>
        <w:adjustRightInd w:val="0"/>
        <w:spacing w:after="0" w:line="320" w:lineRule="exact"/>
        <w:jc w:val="both"/>
        <w:rPr>
          <w:rFonts w:ascii="Arial" w:hAnsi="Arial" w:cs="Arial"/>
          <w:sz w:val="24"/>
          <w:szCs w:val="24"/>
        </w:rPr>
      </w:pPr>
    </w:p>
    <w:p w14:paraId="6D3B922B" w14:textId="15B3ECFF" w:rsidR="00554E44" w:rsidRPr="00395535" w:rsidRDefault="008E5C87" w:rsidP="008E5C87">
      <w:pPr>
        <w:autoSpaceDE w:val="0"/>
        <w:autoSpaceDN w:val="0"/>
        <w:adjustRightInd w:val="0"/>
        <w:spacing w:after="120" w:line="320" w:lineRule="exact"/>
        <w:jc w:val="both"/>
        <w:rPr>
          <w:rFonts w:ascii="Arial" w:hAnsi="Arial" w:cs="Arial"/>
          <w:sz w:val="24"/>
          <w:szCs w:val="24"/>
        </w:rPr>
      </w:pPr>
      <w:r>
        <w:rPr>
          <w:rFonts w:ascii="Arial" w:hAnsi="Arial"/>
          <w:sz w:val="24"/>
        </w:rPr>
        <w:t xml:space="preserve">Sectors </w:t>
      </w:r>
      <w:r w:rsidR="002327C1">
        <w:rPr>
          <w:rFonts w:ascii="Arial" w:hAnsi="Arial"/>
          <w:sz w:val="24"/>
        </w:rPr>
        <w:t xml:space="preserve">representing </w:t>
      </w:r>
      <w:r>
        <w:rPr>
          <w:rFonts w:ascii="Arial" w:hAnsi="Arial"/>
          <w:sz w:val="24"/>
        </w:rPr>
        <w:t>high risk:</w:t>
      </w:r>
    </w:p>
    <w:p w14:paraId="2163602D" w14:textId="73D8C286" w:rsidR="00554E44" w:rsidRPr="00C63EAF"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Undertaking engaged in organising games of chance,</w:t>
      </w:r>
    </w:p>
    <w:p w14:paraId="7C6D6F31" w14:textId="15B87257"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Business trust undertaking,</w:t>
      </w:r>
    </w:p>
    <w:p w14:paraId="0D4FAAA2" w14:textId="015A6515"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Business trust legal relationship,</w:t>
      </w:r>
    </w:p>
    <w:p w14:paraId="4451B7D5" w14:textId="4EF023C9"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lastRenderedPageBreak/>
        <w:t>Payment service provider,</w:t>
      </w:r>
    </w:p>
    <w:p w14:paraId="0E063BF3" w14:textId="3B1F068D"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Service provider issuing electronic money, </w:t>
      </w:r>
    </w:p>
    <w:p w14:paraId="20369D64" w14:textId="4FF44B27"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Financial service provider operating a payment system,</w:t>
      </w:r>
    </w:p>
    <w:p w14:paraId="6A40BD13" w14:textId="51DB8415"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Not-for-profit business company not owned by the State or municipality,</w:t>
      </w:r>
    </w:p>
    <w:p w14:paraId="50A26123" w14:textId="237FBE48"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A company engaged in the manufacturing or trading of dual-use items,</w:t>
      </w:r>
    </w:p>
    <w:p w14:paraId="00755063" w14:textId="63FAFF6A"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An undertaking engaged in the production and/or trade of petroleum products,</w:t>
      </w:r>
    </w:p>
    <w:p w14:paraId="2F99A32F" w14:textId="47F5A8EF"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An undertaking trading in tobacco, </w:t>
      </w:r>
    </w:p>
    <w:p w14:paraId="341604EA" w14:textId="6B85A395"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An undertaking trading in precious metals,</w:t>
      </w:r>
    </w:p>
    <w:p w14:paraId="4BC744E2" w14:textId="64D7BE31"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an undertaking engaged in the trade of cultural goods, goods carrying archaeological, historical, cultural, religious or major scientific value,</w:t>
      </w:r>
    </w:p>
    <w:p w14:paraId="36AA7951" w14:textId="4D2EBAD5" w:rsidR="00554E44" w:rsidRPr="00395535" w:rsidRDefault="00C63EAF" w:rsidP="00C63EAF">
      <w:pPr>
        <w:pStyle w:val="Listaszerbekezds"/>
        <w:numPr>
          <w:ilvl w:val="0"/>
          <w:numId w:val="14"/>
        </w:numPr>
        <w:spacing w:after="200" w:line="276" w:lineRule="auto"/>
        <w:jc w:val="both"/>
        <w:rPr>
          <w:rFonts w:ascii="Arial" w:hAnsi="Arial" w:cs="Arial"/>
          <w:sz w:val="24"/>
          <w:szCs w:val="24"/>
        </w:rPr>
      </w:pPr>
      <w:r>
        <w:rPr>
          <w:rFonts w:ascii="Arial" w:hAnsi="Arial"/>
          <w:sz w:val="24"/>
        </w:rPr>
        <w:t>an undertaking registered with a home provider,</w:t>
      </w:r>
    </w:p>
    <w:p w14:paraId="4A75D166" w14:textId="500F90C8" w:rsidR="0068467E" w:rsidRPr="00121AFF" w:rsidRDefault="00C63EAF" w:rsidP="00121AFF">
      <w:pPr>
        <w:pStyle w:val="Listaszerbekezds"/>
        <w:numPr>
          <w:ilvl w:val="0"/>
          <w:numId w:val="14"/>
        </w:numPr>
        <w:spacing w:after="200" w:line="276" w:lineRule="auto"/>
        <w:jc w:val="both"/>
        <w:rPr>
          <w:rFonts w:ascii="Arial" w:hAnsi="Arial" w:cs="Arial"/>
          <w:sz w:val="24"/>
          <w:szCs w:val="24"/>
        </w:rPr>
      </w:pPr>
      <w:r>
        <w:rPr>
          <w:rFonts w:ascii="Arial" w:hAnsi="Arial"/>
          <w:sz w:val="24"/>
        </w:rPr>
        <w:t>an undertaking with an excessively (unduly) complex ownership structure.</w:t>
      </w:r>
    </w:p>
    <w:p w14:paraId="250B568F" w14:textId="3F521798" w:rsidR="00554E44" w:rsidRPr="00395535" w:rsidRDefault="00554E44" w:rsidP="00446858">
      <w:pPr>
        <w:autoSpaceDE w:val="0"/>
        <w:autoSpaceDN w:val="0"/>
        <w:adjustRightInd w:val="0"/>
        <w:spacing w:after="240" w:line="320" w:lineRule="exact"/>
        <w:jc w:val="both"/>
        <w:rPr>
          <w:rFonts w:ascii="Arial" w:hAnsi="Arial" w:cs="Arial"/>
          <w:sz w:val="24"/>
          <w:szCs w:val="24"/>
        </w:rPr>
      </w:pPr>
      <w:r>
        <w:rPr>
          <w:rFonts w:ascii="Arial" w:hAnsi="Arial"/>
          <w:sz w:val="24"/>
        </w:rPr>
        <w:t>The following customer and product risks also represent high risk and are therefore subject to enhanced customer due diligence and/or enhanced procedures,</w:t>
      </w:r>
    </w:p>
    <w:p w14:paraId="3F0468B7" w14:textId="2531C443" w:rsidR="00554E44" w:rsidRPr="00395535" w:rsidRDefault="00446858" w:rsidP="00446858">
      <w:pPr>
        <w:pStyle w:val="Listaszerbekezds"/>
        <w:numPr>
          <w:ilvl w:val="0"/>
          <w:numId w:val="14"/>
        </w:numPr>
        <w:spacing w:after="200" w:line="276" w:lineRule="auto"/>
        <w:jc w:val="both"/>
        <w:rPr>
          <w:rFonts w:ascii="Arial" w:hAnsi="Arial" w:cs="Arial"/>
          <w:sz w:val="24"/>
          <w:szCs w:val="24"/>
        </w:rPr>
      </w:pPr>
      <w:r>
        <w:rPr>
          <w:rFonts w:ascii="Arial" w:hAnsi="Arial"/>
          <w:sz w:val="24"/>
        </w:rPr>
        <w:t>A politically exposed person, a close relative of a politically exposed person or a person with a close (business) relationship with a politically exposed person,</w:t>
      </w:r>
    </w:p>
    <w:p w14:paraId="27321A3C" w14:textId="0142F784" w:rsidR="00554E44" w:rsidRPr="00395535" w:rsidRDefault="00446858" w:rsidP="00446858">
      <w:pPr>
        <w:pStyle w:val="Listaszerbekezds"/>
        <w:numPr>
          <w:ilvl w:val="0"/>
          <w:numId w:val="14"/>
        </w:numPr>
        <w:spacing w:after="200" w:line="276" w:lineRule="auto"/>
        <w:jc w:val="both"/>
        <w:rPr>
          <w:rFonts w:ascii="Arial" w:hAnsi="Arial" w:cs="Arial"/>
          <w:sz w:val="24"/>
          <w:szCs w:val="24"/>
        </w:rPr>
      </w:pPr>
      <w:r>
        <w:rPr>
          <w:rFonts w:ascii="Arial" w:hAnsi="Arial"/>
          <w:sz w:val="24"/>
        </w:rPr>
        <w:t>A customer relationship established by means other than personal appearance (on the basis of a copy of a document provided in the form of a public deed),</w:t>
      </w:r>
    </w:p>
    <w:p w14:paraId="48253CE6" w14:textId="71BE1D8A" w:rsidR="00554E44" w:rsidRPr="00395535" w:rsidRDefault="00446858" w:rsidP="00446858">
      <w:pPr>
        <w:pStyle w:val="Listaszerbekezds"/>
        <w:numPr>
          <w:ilvl w:val="0"/>
          <w:numId w:val="14"/>
        </w:numPr>
        <w:spacing w:after="200" w:line="276" w:lineRule="auto"/>
        <w:jc w:val="both"/>
        <w:rPr>
          <w:rFonts w:ascii="Arial" w:hAnsi="Arial" w:cs="Arial"/>
          <w:sz w:val="24"/>
          <w:szCs w:val="24"/>
        </w:rPr>
      </w:pPr>
      <w:r>
        <w:rPr>
          <w:rFonts w:ascii="Arial" w:hAnsi="Arial"/>
          <w:sz w:val="24"/>
        </w:rPr>
        <w:t>Establishing a correspondent relationship (vostro/nostro, RMA)</w:t>
      </w:r>
      <w:r w:rsidR="00185BA9">
        <w:rPr>
          <w:rFonts w:ascii="Arial" w:hAnsi="Arial"/>
          <w:sz w:val="24"/>
        </w:rPr>
        <w:t>,</w:t>
      </w:r>
    </w:p>
    <w:p w14:paraId="579E19DF" w14:textId="40FBC759" w:rsidR="00554E44" w:rsidRDefault="00446858" w:rsidP="00446858">
      <w:pPr>
        <w:pStyle w:val="Listaszerbekezds"/>
        <w:numPr>
          <w:ilvl w:val="0"/>
          <w:numId w:val="14"/>
        </w:numPr>
        <w:spacing w:after="200" w:line="276" w:lineRule="auto"/>
        <w:jc w:val="both"/>
        <w:rPr>
          <w:rFonts w:ascii="Arial" w:hAnsi="Arial" w:cs="Arial"/>
          <w:sz w:val="24"/>
          <w:szCs w:val="24"/>
        </w:rPr>
      </w:pPr>
      <w:r>
        <w:rPr>
          <w:rFonts w:ascii="Arial" w:hAnsi="Arial"/>
          <w:sz w:val="24"/>
        </w:rPr>
        <w:t>Customers using a bag deposit service</w:t>
      </w:r>
      <w:r w:rsidR="00185BA9">
        <w:rPr>
          <w:rFonts w:ascii="Arial" w:hAnsi="Arial"/>
          <w:sz w:val="24"/>
        </w:rPr>
        <w:t>,</w:t>
      </w:r>
    </w:p>
    <w:p w14:paraId="5CD0AC6D" w14:textId="7A865A95" w:rsidR="00DE0F89" w:rsidRDefault="00446858" w:rsidP="000971D6">
      <w:pPr>
        <w:pStyle w:val="Listaszerbekezds"/>
        <w:numPr>
          <w:ilvl w:val="0"/>
          <w:numId w:val="14"/>
        </w:numPr>
        <w:spacing w:after="200" w:line="276" w:lineRule="auto"/>
        <w:jc w:val="both"/>
        <w:rPr>
          <w:rFonts w:ascii="Arial" w:hAnsi="Arial" w:cs="Arial"/>
          <w:sz w:val="24"/>
          <w:szCs w:val="24"/>
        </w:rPr>
      </w:pPr>
      <w:r w:rsidRPr="00185BA9">
        <w:rPr>
          <w:rFonts w:asciiTheme="minorBidi" w:hAnsiTheme="minorBidi"/>
          <w:sz w:val="24"/>
          <w:szCs w:val="24"/>
        </w:rPr>
        <w:t>The customer’s registered office, place of business, branch office address, correspondence address, place of activity, nationality, the country of birth or residence/residence of the beneficial owner or managing director of the customer is in Russia or one of the successor states of the Soviet Union</w:t>
      </w:r>
      <w:r>
        <w:t>.</w:t>
      </w:r>
    </w:p>
    <w:p w14:paraId="3369B5A0" w14:textId="0B5A08AC" w:rsidR="00C973EF" w:rsidRDefault="008D1885" w:rsidP="00185BA9">
      <w:pPr>
        <w:autoSpaceDE w:val="0"/>
        <w:autoSpaceDN w:val="0"/>
        <w:adjustRightInd w:val="0"/>
        <w:spacing w:after="120" w:line="320" w:lineRule="exact"/>
        <w:jc w:val="both"/>
        <w:rPr>
          <w:rFonts w:ascii="Arial" w:hAnsi="Arial" w:cs="Arial"/>
          <w:sz w:val="24"/>
          <w:szCs w:val="24"/>
        </w:rPr>
      </w:pPr>
      <w:r>
        <w:rPr>
          <w:rFonts w:ascii="Arial" w:hAnsi="Arial"/>
          <w:sz w:val="24"/>
        </w:rPr>
        <w:t>The MBH Group does not maintain a business relationship with customers that pose a reputational risk and only has business relationships with customers who use its products for legitimate purposes only and whose identity can be determined and verified beyond reasonable doubt.</w:t>
      </w:r>
    </w:p>
    <w:p w14:paraId="1C8E3DBC" w14:textId="3AD90A37" w:rsidR="008D1885" w:rsidRPr="00395535" w:rsidRDefault="008D1885" w:rsidP="008D1885">
      <w:pPr>
        <w:autoSpaceDE w:val="0"/>
        <w:autoSpaceDN w:val="0"/>
        <w:adjustRightInd w:val="0"/>
        <w:spacing w:after="0" w:line="320" w:lineRule="exact"/>
        <w:jc w:val="both"/>
        <w:rPr>
          <w:rFonts w:ascii="Arial" w:hAnsi="Arial" w:cs="Arial"/>
          <w:sz w:val="24"/>
          <w:szCs w:val="24"/>
        </w:rPr>
      </w:pPr>
      <w:r>
        <w:rPr>
          <w:rFonts w:ascii="Arial" w:hAnsi="Arial"/>
          <w:sz w:val="24"/>
        </w:rPr>
        <w:t>Reputational risks include, but are not limited to, a natural person, legal entity or unincorporated entity that:</w:t>
      </w:r>
    </w:p>
    <w:p w14:paraId="17E32686" w14:textId="77777777" w:rsidR="008D1885" w:rsidRPr="00395535" w:rsidRDefault="008D1885" w:rsidP="008D1885">
      <w:pPr>
        <w:autoSpaceDE w:val="0"/>
        <w:autoSpaceDN w:val="0"/>
        <w:adjustRightInd w:val="0"/>
        <w:spacing w:after="0" w:line="320" w:lineRule="exact"/>
        <w:jc w:val="both"/>
        <w:rPr>
          <w:rFonts w:ascii="Arial" w:hAnsi="Arial" w:cs="Arial"/>
          <w:sz w:val="24"/>
          <w:szCs w:val="24"/>
        </w:rPr>
      </w:pPr>
    </w:p>
    <w:p w14:paraId="00499243" w14:textId="77777777" w:rsidR="008D1885" w:rsidRPr="00395535" w:rsidRDefault="008D1885" w:rsidP="008D1885">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intentionally violates statutes, rules or procedures designed to prevent financial crime or has a deliberate reckless disregard to the same, </w:t>
      </w:r>
    </w:p>
    <w:p w14:paraId="217CD4EE" w14:textId="3297A6B7" w:rsidR="008D1885" w:rsidRPr="00395535" w:rsidRDefault="008D1885" w:rsidP="008D1885">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Uses </w:t>
      </w:r>
      <w:r w:rsidR="002327C1">
        <w:rPr>
          <w:rFonts w:ascii="Arial" w:hAnsi="Arial"/>
          <w:sz w:val="24"/>
        </w:rPr>
        <w:t>their</w:t>
      </w:r>
      <w:r>
        <w:rPr>
          <w:rFonts w:ascii="Arial" w:hAnsi="Arial"/>
          <w:sz w:val="24"/>
        </w:rPr>
        <w:t xml:space="preserve"> bank account with the Bank for money laundering or terrorist financing, fraud or any other illegal </w:t>
      </w:r>
      <w:proofErr w:type="gramStart"/>
      <w:r>
        <w:rPr>
          <w:rFonts w:ascii="Arial" w:hAnsi="Arial"/>
          <w:sz w:val="24"/>
        </w:rPr>
        <w:t>purpose;</w:t>
      </w:r>
      <w:proofErr w:type="gramEnd"/>
    </w:p>
    <w:p w14:paraId="4D0177F7" w14:textId="77777777" w:rsidR="008D1885" w:rsidRPr="00395535" w:rsidRDefault="008D1885" w:rsidP="008D1885">
      <w:pPr>
        <w:pStyle w:val="Listaszerbekezds"/>
        <w:numPr>
          <w:ilvl w:val="0"/>
          <w:numId w:val="14"/>
        </w:numPr>
        <w:spacing w:after="200" w:line="276" w:lineRule="auto"/>
        <w:jc w:val="both"/>
        <w:rPr>
          <w:rFonts w:ascii="Arial" w:hAnsi="Arial" w:cs="Arial"/>
          <w:sz w:val="24"/>
          <w:szCs w:val="24"/>
        </w:rPr>
      </w:pPr>
      <w:r>
        <w:rPr>
          <w:rFonts w:ascii="Arial" w:hAnsi="Arial"/>
          <w:sz w:val="24"/>
        </w:rPr>
        <w:t xml:space="preserve">Engages in any business activity that may be construed as a tax or other criminal offence, </w:t>
      </w:r>
    </w:p>
    <w:p w14:paraId="182B6A54" w14:textId="7EE3772B" w:rsidR="008D1885" w:rsidRDefault="008D1885" w:rsidP="008D1885">
      <w:pPr>
        <w:pStyle w:val="Listaszerbekezds"/>
        <w:numPr>
          <w:ilvl w:val="0"/>
          <w:numId w:val="14"/>
        </w:numPr>
        <w:spacing w:after="240" w:line="276" w:lineRule="auto"/>
        <w:ind w:left="714" w:hanging="357"/>
        <w:jc w:val="both"/>
        <w:rPr>
          <w:rFonts w:ascii="Arial" w:hAnsi="Arial" w:cs="Arial"/>
          <w:sz w:val="24"/>
          <w:szCs w:val="24"/>
        </w:rPr>
      </w:pPr>
      <w:r>
        <w:rPr>
          <w:rFonts w:ascii="Arial" w:hAnsi="Arial"/>
          <w:sz w:val="24"/>
        </w:rPr>
        <w:t xml:space="preserve">is known to engage in any of the following activities, or </w:t>
      </w:r>
      <w:r w:rsidR="002327C1">
        <w:rPr>
          <w:rFonts w:ascii="Arial" w:hAnsi="Arial"/>
          <w:sz w:val="24"/>
        </w:rPr>
        <w:t>their</w:t>
      </w:r>
      <w:r>
        <w:rPr>
          <w:rFonts w:ascii="Arial" w:hAnsi="Arial"/>
          <w:sz w:val="24"/>
        </w:rPr>
        <w:t xml:space="preserve"> account reflects signs indicating any of the following:</w:t>
      </w:r>
    </w:p>
    <w:p w14:paraId="7F8AEC55" w14:textId="0EE36F4C"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lastRenderedPageBreak/>
        <w:t>Arms trafficking (without any background related to the Hungarian State),</w:t>
      </w:r>
    </w:p>
    <w:p w14:paraId="20B05E34" w14:textId="46316810"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Drug-related activities,</w:t>
      </w:r>
    </w:p>
    <w:p w14:paraId="06A309DA" w14:textId="70720327"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Use of an account with the Bank as a "Payable through account",</w:t>
      </w:r>
    </w:p>
    <w:p w14:paraId="02B76B65" w14:textId="60EFEB19"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Pornography, "adult entertainment" activities,</w:t>
      </w:r>
    </w:p>
    <w:p w14:paraId="450AA9DA" w14:textId="6F1B08B4"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Activities related to smuggling,</w:t>
      </w:r>
    </w:p>
    <w:p w14:paraId="4645BF51" w14:textId="7B29CD6F"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Activities related to illegal gambling,</w:t>
      </w:r>
    </w:p>
    <w:p w14:paraId="70FCE98A" w14:textId="0A0CF146"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Trading in protected species</w:t>
      </w:r>
      <w:r w:rsidR="00185BA9">
        <w:rPr>
          <w:rFonts w:ascii="Arial" w:hAnsi="Arial"/>
          <w:sz w:val="24"/>
        </w:rPr>
        <w:t>,</w:t>
      </w:r>
    </w:p>
    <w:p w14:paraId="41FFF84D" w14:textId="23652F61"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Ivory trafficking</w:t>
      </w:r>
      <w:r w:rsidR="00185BA9">
        <w:rPr>
          <w:rFonts w:ascii="Arial" w:hAnsi="Arial"/>
          <w:sz w:val="24"/>
        </w:rPr>
        <w:t>,</w:t>
      </w:r>
    </w:p>
    <w:p w14:paraId="01C8EC7E" w14:textId="6BE4D0AD" w:rsid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Child labour activities,</w:t>
      </w:r>
    </w:p>
    <w:p w14:paraId="3E56DF86" w14:textId="44265FD4" w:rsidR="008D1885" w:rsidRPr="008D1885" w:rsidRDefault="008D1885" w:rsidP="008D1885">
      <w:pPr>
        <w:pStyle w:val="Listaszerbekezds"/>
        <w:numPr>
          <w:ilvl w:val="1"/>
          <w:numId w:val="14"/>
        </w:numPr>
        <w:spacing w:after="200" w:line="276" w:lineRule="auto"/>
        <w:jc w:val="both"/>
        <w:rPr>
          <w:rFonts w:ascii="Arial" w:hAnsi="Arial" w:cs="Arial"/>
          <w:sz w:val="24"/>
          <w:szCs w:val="24"/>
        </w:rPr>
      </w:pPr>
      <w:r>
        <w:rPr>
          <w:rFonts w:ascii="Arial" w:hAnsi="Arial"/>
          <w:sz w:val="24"/>
        </w:rPr>
        <w:t>Trafficking in "blood diamonds.</w:t>
      </w:r>
    </w:p>
    <w:p w14:paraId="1C910D5A" w14:textId="01690682" w:rsidR="00CB2250" w:rsidRDefault="0003470E" w:rsidP="000971D6">
      <w:pPr>
        <w:autoSpaceDE w:val="0"/>
        <w:autoSpaceDN w:val="0"/>
        <w:adjustRightInd w:val="0"/>
        <w:spacing w:after="120" w:line="276" w:lineRule="auto"/>
        <w:jc w:val="both"/>
        <w:rPr>
          <w:rFonts w:ascii="Arial" w:hAnsi="Arial" w:cs="Arial"/>
          <w:sz w:val="24"/>
          <w:szCs w:val="24"/>
        </w:rPr>
      </w:pPr>
      <w:r>
        <w:rPr>
          <w:rFonts w:ascii="Arial" w:hAnsi="Arial"/>
          <w:sz w:val="24"/>
        </w:rPr>
        <w:t>The MBH Group has identified cash transactions as a high risk, in particular cash flows of large volume or high intensity, and therefore controls such flows with increased vigilance.</w:t>
      </w:r>
    </w:p>
    <w:p w14:paraId="2963B8C0" w14:textId="5A11E843" w:rsidR="00737A8B" w:rsidRPr="0044646E" w:rsidRDefault="00CB2250" w:rsidP="0044646E">
      <w:pPr>
        <w:autoSpaceDE w:val="0"/>
        <w:autoSpaceDN w:val="0"/>
        <w:adjustRightInd w:val="0"/>
        <w:spacing w:after="240" w:line="320" w:lineRule="exact"/>
        <w:jc w:val="both"/>
        <w:rPr>
          <w:rFonts w:ascii="Arial" w:hAnsi="Arial" w:cs="Arial"/>
          <w:sz w:val="24"/>
          <w:szCs w:val="24"/>
        </w:rPr>
      </w:pPr>
      <w:r>
        <w:rPr>
          <w:rFonts w:ascii="Arial" w:hAnsi="Arial"/>
          <w:sz w:val="24"/>
        </w:rPr>
        <w:t>The MBH Group revises its procedures and in-process controls on a regular basis in order to effectively manage new risks arising along with the change of international trends.</w:t>
      </w:r>
    </w:p>
    <w:p w14:paraId="06E01FEF" w14:textId="58ED79BA" w:rsidR="00737A8B" w:rsidRDefault="00737A8B" w:rsidP="00737A8B">
      <w:pPr>
        <w:pStyle w:val="Default"/>
        <w:spacing w:after="120"/>
        <w:rPr>
          <w:rFonts w:ascii="Arial" w:hAnsi="Arial" w:cs="Arial"/>
          <w:b/>
          <w:bCs/>
          <w:color w:val="auto"/>
        </w:rPr>
      </w:pPr>
      <w:r>
        <w:rPr>
          <w:rFonts w:ascii="Arial" w:hAnsi="Arial"/>
          <w:b/>
          <w:color w:val="auto"/>
        </w:rPr>
        <w:t>AWARENESS</w:t>
      </w:r>
    </w:p>
    <w:p w14:paraId="21581431" w14:textId="63E23C42" w:rsidR="0044646E" w:rsidRDefault="00737A8B" w:rsidP="0044646E">
      <w:pPr>
        <w:pStyle w:val="Default"/>
        <w:spacing w:after="120" w:line="276" w:lineRule="auto"/>
        <w:jc w:val="both"/>
        <w:rPr>
          <w:rFonts w:ascii="Arial" w:eastAsia="Times New Roman" w:hAnsi="Arial" w:cs="Arial"/>
        </w:rPr>
      </w:pPr>
      <w:r>
        <w:rPr>
          <w:rFonts w:ascii="Arial" w:hAnsi="Arial"/>
        </w:rPr>
        <w:t xml:space="preserve">All MBH Group employees are involved in activities aimed at the prevention of money laundering and terrorist financing. Employees are expected to recognise the possible signs of money laundering and terrorist financing and to act in accordance with the provisions of the law and the applicable internal regulatory documents if they become aware of any circumstances indicating money laundering or terrorist financing. </w:t>
      </w:r>
    </w:p>
    <w:p w14:paraId="31C32FE3" w14:textId="43A841FB" w:rsidR="00C973EF" w:rsidRDefault="00737A8B" w:rsidP="001214DF">
      <w:pPr>
        <w:pStyle w:val="Default"/>
        <w:spacing w:after="240" w:line="276" w:lineRule="auto"/>
        <w:jc w:val="both"/>
        <w:rPr>
          <w:rFonts w:ascii="Arial" w:hAnsi="Arial" w:cs="Arial"/>
          <w:b/>
          <w:bCs/>
          <w:color w:val="auto"/>
        </w:rPr>
      </w:pPr>
      <w:r>
        <w:rPr>
          <w:rFonts w:ascii="Arial" w:hAnsi="Arial"/>
        </w:rPr>
        <w:t>To ensure awareness, the MBH Group will organise mandatory training for all employees and will arrange for its proper documentation and assessment.</w:t>
      </w:r>
    </w:p>
    <w:p w14:paraId="2D49AF09" w14:textId="75434BE3" w:rsidR="00B513A3" w:rsidRPr="0044646E" w:rsidRDefault="00B513A3" w:rsidP="0044646E">
      <w:pPr>
        <w:pStyle w:val="Default"/>
        <w:spacing w:after="120"/>
        <w:rPr>
          <w:rFonts w:ascii="Arial" w:hAnsi="Arial" w:cs="Arial"/>
          <w:b/>
          <w:bCs/>
          <w:color w:val="auto"/>
        </w:rPr>
      </w:pPr>
      <w:r>
        <w:rPr>
          <w:rFonts w:ascii="Arial" w:hAnsi="Arial"/>
          <w:b/>
          <w:color w:val="auto"/>
        </w:rPr>
        <w:t>SUPERVISION, MEASURES</w:t>
      </w:r>
    </w:p>
    <w:p w14:paraId="7ECCA9EF" w14:textId="33949000" w:rsidR="00B513A3" w:rsidRPr="00310B5B" w:rsidRDefault="00B513A3" w:rsidP="00DF12F0">
      <w:pPr>
        <w:pStyle w:val="Default"/>
        <w:spacing w:after="240" w:line="276" w:lineRule="auto"/>
        <w:jc w:val="both"/>
        <w:rPr>
          <w:rFonts w:ascii="Arial" w:eastAsia="Times New Roman" w:hAnsi="Arial" w:cs="Arial"/>
        </w:rPr>
      </w:pPr>
      <w:r>
        <w:rPr>
          <w:rFonts w:ascii="Arial" w:hAnsi="Arial"/>
        </w:rPr>
        <w:t>In its activities aimed at preventing money laundering and terrorist financing, the MBH Group will cooperate with the authorities and other official bodies acting as financial intelligence units.</w:t>
      </w:r>
    </w:p>
    <w:p w14:paraId="7AEC8C3C" w14:textId="618160F2" w:rsidR="008B0101" w:rsidRDefault="008607F8" w:rsidP="008B0101">
      <w:pPr>
        <w:pStyle w:val="Default"/>
        <w:spacing w:after="120"/>
        <w:rPr>
          <w:rFonts w:ascii="Arial" w:hAnsi="Arial" w:cs="Arial"/>
          <w:b/>
          <w:bCs/>
          <w:color w:val="auto"/>
        </w:rPr>
      </w:pPr>
      <w:r>
        <w:rPr>
          <w:rFonts w:ascii="Arial" w:hAnsi="Arial"/>
          <w:b/>
          <w:color w:val="auto"/>
        </w:rPr>
        <w:t>REGULATION</w:t>
      </w:r>
    </w:p>
    <w:p w14:paraId="1C1C74DC" w14:textId="2D33A3DD" w:rsidR="002B7320" w:rsidRPr="008D1885" w:rsidRDefault="0028632D" w:rsidP="008D1885">
      <w:pPr>
        <w:pStyle w:val="Default"/>
        <w:spacing w:after="120" w:line="276" w:lineRule="auto"/>
        <w:jc w:val="both"/>
        <w:rPr>
          <w:rFonts w:ascii="Arial" w:hAnsi="Arial" w:cs="Arial"/>
          <w:b/>
          <w:bCs/>
          <w:color w:val="auto"/>
        </w:rPr>
      </w:pPr>
      <w:r>
        <w:rPr>
          <w:rFonts w:ascii="Arial" w:hAnsi="Arial"/>
        </w:rPr>
        <w:t xml:space="preserve">The MBH Group will establish an internal regulatory document for its anti-money laundering and counter-terrorist financing activities in accordance with the applicable legal provisions, regulatory requirements, international standards, market best practices and the principles set out in the Policy. </w:t>
      </w:r>
      <w:r w:rsidR="002327C1">
        <w:rPr>
          <w:rFonts w:ascii="Arial" w:hAnsi="Arial"/>
        </w:rPr>
        <w:t>For that purpose,</w:t>
      </w:r>
      <w:r>
        <w:rPr>
          <w:rFonts w:ascii="Arial" w:hAnsi="Arial"/>
        </w:rPr>
        <w:t xml:space="preserve"> the MBH Group operates a control system, develops procedures, performs internal </w:t>
      </w:r>
      <w:proofErr w:type="gramStart"/>
      <w:r>
        <w:rPr>
          <w:rFonts w:ascii="Arial" w:hAnsi="Arial"/>
        </w:rPr>
        <w:t>audits</w:t>
      </w:r>
      <w:proofErr w:type="gramEnd"/>
      <w:r>
        <w:rPr>
          <w:rFonts w:ascii="Arial" w:hAnsi="Arial"/>
        </w:rPr>
        <w:t xml:space="preserve"> and conducts transaction investigations.</w:t>
      </w:r>
    </w:p>
    <w:sectPr w:rsidR="002B7320" w:rsidRPr="008D1885" w:rsidSect="00CB37CA">
      <w:headerReference w:type="default" r:id="rId8"/>
      <w:footerReference w:type="default" r:id="rId9"/>
      <w:headerReference w:type="first" r:id="rId10"/>
      <w:pgSz w:w="11906" w:h="16838"/>
      <w:pgMar w:top="1417" w:right="1417" w:bottom="851" w:left="1417"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C1A8" w14:textId="77777777" w:rsidR="00F1554A" w:rsidRDefault="00F1554A">
      <w:pPr>
        <w:spacing w:after="0" w:line="240" w:lineRule="auto"/>
      </w:pPr>
      <w:r>
        <w:separator/>
      </w:r>
    </w:p>
  </w:endnote>
  <w:endnote w:type="continuationSeparator" w:id="0">
    <w:p w14:paraId="46BA6AE4" w14:textId="77777777" w:rsidR="00F1554A" w:rsidRDefault="00F1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256384"/>
      <w:docPartObj>
        <w:docPartGallery w:val="Page Numbers (Bottom of Page)"/>
        <w:docPartUnique/>
      </w:docPartObj>
    </w:sdtPr>
    <w:sdtEndPr/>
    <w:sdtContent>
      <w:p w14:paraId="6CBCD4C9" w14:textId="67360A97" w:rsidR="000626B9" w:rsidRDefault="00384D0B">
        <w:pPr>
          <w:pStyle w:val="llb"/>
          <w:jc w:val="right"/>
        </w:pPr>
        <w:r>
          <w:fldChar w:fldCharType="begin"/>
        </w:r>
        <w:r>
          <w:instrText>PAGE   \* MERGEFORMAT</w:instrText>
        </w:r>
        <w:r>
          <w:fldChar w:fldCharType="separate"/>
        </w:r>
        <w:r w:rsidR="002327C1">
          <w:rPr>
            <w:noProof/>
          </w:rPr>
          <w:t>5</w:t>
        </w:r>
        <w:r>
          <w:fldChar w:fldCharType="end"/>
        </w:r>
      </w:p>
    </w:sdtContent>
  </w:sdt>
  <w:p w14:paraId="233C21BA" w14:textId="77777777" w:rsidR="000626B9" w:rsidRDefault="006723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27DB" w14:textId="77777777" w:rsidR="00F1554A" w:rsidRDefault="00F1554A">
      <w:pPr>
        <w:spacing w:after="0" w:line="240" w:lineRule="auto"/>
      </w:pPr>
      <w:r>
        <w:separator/>
      </w:r>
    </w:p>
  </w:footnote>
  <w:footnote w:type="continuationSeparator" w:id="0">
    <w:p w14:paraId="5531FF10" w14:textId="77777777" w:rsidR="00F1554A" w:rsidRDefault="00F1554A">
      <w:pPr>
        <w:spacing w:after="0" w:line="240" w:lineRule="auto"/>
      </w:pPr>
      <w:r>
        <w:continuationSeparator/>
      </w:r>
    </w:p>
  </w:footnote>
  <w:footnote w:id="1">
    <w:p w14:paraId="6DFF8BAB" w14:textId="07EF6ADE" w:rsidR="00185BA9" w:rsidRPr="00185BA9" w:rsidRDefault="00185BA9">
      <w:pPr>
        <w:pStyle w:val="Lbjegyzetszveg"/>
      </w:pPr>
      <w:r>
        <w:rPr>
          <w:rStyle w:val="Lbjegyzet-hivatkozs"/>
        </w:rPr>
        <w:footnoteRef/>
      </w:r>
      <w:r>
        <w:t xml:space="preserve"> </w:t>
      </w:r>
      <w:r w:rsidR="00900C23">
        <w:rPr>
          <w:rFonts w:ascii="Arial" w:hAnsi="Arial"/>
          <w:sz w:val="16"/>
        </w:rPr>
        <w:t>NBH</w:t>
      </w:r>
      <w:r w:rsidR="00900C23" w:rsidRPr="00185BA9">
        <w:rPr>
          <w:rFonts w:ascii="Arial" w:hAnsi="Arial"/>
          <w:sz w:val="16"/>
        </w:rPr>
        <w:t xml:space="preserve"> </w:t>
      </w:r>
      <w:r w:rsidRPr="00185BA9">
        <w:rPr>
          <w:rFonts w:ascii="Arial" w:hAnsi="Arial"/>
          <w:sz w:val="16"/>
        </w:rPr>
        <w:t xml:space="preserve">Decree 26/2020 (25 August) on the detailed rules for the development and operation of the minimum requirements for the implementation of the Act on the Prevention and Combating of Money Laundering and Terrorist Financing for service providers supervised by the </w:t>
      </w:r>
      <w:r w:rsidR="00900C23">
        <w:rPr>
          <w:rFonts w:ascii="Arial" w:hAnsi="Arial"/>
          <w:sz w:val="16"/>
        </w:rPr>
        <w:t>NBH</w:t>
      </w:r>
      <w:r w:rsidR="00900C23" w:rsidRPr="00185BA9">
        <w:rPr>
          <w:rFonts w:ascii="Arial" w:hAnsi="Arial"/>
          <w:sz w:val="16"/>
        </w:rPr>
        <w:t xml:space="preserve"> </w:t>
      </w:r>
      <w:r w:rsidRPr="00185BA9">
        <w:rPr>
          <w:rFonts w:ascii="Arial" w:hAnsi="Arial"/>
          <w:sz w:val="16"/>
        </w:rPr>
        <w:t>and the Act on the Implementation of Financial and Asset Restriction Measures Ordered by the European Union and the United Nations Security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3220" w14:textId="5E911C45" w:rsidR="002912C7" w:rsidRPr="002912C7" w:rsidRDefault="00C973EF" w:rsidP="0000179C">
    <w:pPr>
      <w:pStyle w:val="lfej"/>
      <w:rPr>
        <w:rFonts w:ascii="Arial" w:hAnsi="Arial" w:cs="Arial"/>
      </w:rPr>
    </w:pPr>
    <w:r>
      <w:rPr>
        <w:rFonts w:ascii="Arial" w:hAnsi="Arial"/>
      </w:rPr>
      <w:t>MBH Group - Policy on the Prevention of Money Laundering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EF5F" w14:textId="29522CCD" w:rsidR="001D6DFC" w:rsidRDefault="00C973EF">
    <w:pPr>
      <w:pStyle w:val="lfej"/>
    </w:pPr>
    <w:r>
      <w:rPr>
        <w:b/>
        <w:noProof/>
        <w:color w:val="203667"/>
        <w:lang w:eastAsia="en-GB"/>
      </w:rPr>
      <w:drawing>
        <wp:inline distT="0" distB="0" distL="0" distR="0" wp14:anchorId="7FFCE667" wp14:editId="1009B9C1">
          <wp:extent cx="2064204" cy="390525"/>
          <wp:effectExtent l="0" t="0" r="0" b="0"/>
          <wp:docPr id="1" name="Kép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 descr="Ic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7940" cy="393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904DB"/>
    <w:multiLevelType w:val="hybridMultilevel"/>
    <w:tmpl w:val="3DA8C99C"/>
    <w:lvl w:ilvl="0" w:tplc="E8662980">
      <w:start w:val="1"/>
      <w:numFmt w:val="bullet"/>
      <w:lvlText w:val=""/>
      <w:lvlJc w:val="left"/>
      <w:pPr>
        <w:ind w:left="1986" w:hanging="360"/>
      </w:pPr>
      <w:rPr>
        <w:rFonts w:ascii="Wingdings" w:hAnsi="Wingdings" w:hint="default"/>
        <w:color w:val="auto"/>
        <w:sz w:val="32"/>
        <w:szCs w:val="32"/>
      </w:rPr>
    </w:lvl>
    <w:lvl w:ilvl="1" w:tplc="040E0003" w:tentative="1">
      <w:start w:val="1"/>
      <w:numFmt w:val="bullet"/>
      <w:lvlText w:val="o"/>
      <w:lvlJc w:val="left"/>
      <w:pPr>
        <w:ind w:left="2706" w:hanging="360"/>
      </w:pPr>
      <w:rPr>
        <w:rFonts w:ascii="Courier New" w:hAnsi="Courier New" w:cs="Courier New" w:hint="default"/>
      </w:rPr>
    </w:lvl>
    <w:lvl w:ilvl="2" w:tplc="040E0005" w:tentative="1">
      <w:start w:val="1"/>
      <w:numFmt w:val="bullet"/>
      <w:lvlText w:val=""/>
      <w:lvlJc w:val="left"/>
      <w:pPr>
        <w:ind w:left="3426" w:hanging="360"/>
      </w:pPr>
      <w:rPr>
        <w:rFonts w:ascii="Wingdings" w:hAnsi="Wingdings" w:hint="default"/>
      </w:rPr>
    </w:lvl>
    <w:lvl w:ilvl="3" w:tplc="040E0001" w:tentative="1">
      <w:start w:val="1"/>
      <w:numFmt w:val="bullet"/>
      <w:lvlText w:val=""/>
      <w:lvlJc w:val="left"/>
      <w:pPr>
        <w:ind w:left="4146" w:hanging="360"/>
      </w:pPr>
      <w:rPr>
        <w:rFonts w:ascii="Symbol" w:hAnsi="Symbol" w:hint="default"/>
      </w:rPr>
    </w:lvl>
    <w:lvl w:ilvl="4" w:tplc="040E0003" w:tentative="1">
      <w:start w:val="1"/>
      <w:numFmt w:val="bullet"/>
      <w:lvlText w:val="o"/>
      <w:lvlJc w:val="left"/>
      <w:pPr>
        <w:ind w:left="4866" w:hanging="360"/>
      </w:pPr>
      <w:rPr>
        <w:rFonts w:ascii="Courier New" w:hAnsi="Courier New" w:cs="Courier New" w:hint="default"/>
      </w:rPr>
    </w:lvl>
    <w:lvl w:ilvl="5" w:tplc="040E0005" w:tentative="1">
      <w:start w:val="1"/>
      <w:numFmt w:val="bullet"/>
      <w:lvlText w:val=""/>
      <w:lvlJc w:val="left"/>
      <w:pPr>
        <w:ind w:left="5586" w:hanging="360"/>
      </w:pPr>
      <w:rPr>
        <w:rFonts w:ascii="Wingdings" w:hAnsi="Wingdings" w:hint="default"/>
      </w:rPr>
    </w:lvl>
    <w:lvl w:ilvl="6" w:tplc="040E0001" w:tentative="1">
      <w:start w:val="1"/>
      <w:numFmt w:val="bullet"/>
      <w:lvlText w:val=""/>
      <w:lvlJc w:val="left"/>
      <w:pPr>
        <w:ind w:left="6306" w:hanging="360"/>
      </w:pPr>
      <w:rPr>
        <w:rFonts w:ascii="Symbol" w:hAnsi="Symbol" w:hint="default"/>
      </w:rPr>
    </w:lvl>
    <w:lvl w:ilvl="7" w:tplc="040E0003" w:tentative="1">
      <w:start w:val="1"/>
      <w:numFmt w:val="bullet"/>
      <w:lvlText w:val="o"/>
      <w:lvlJc w:val="left"/>
      <w:pPr>
        <w:ind w:left="7026" w:hanging="360"/>
      </w:pPr>
      <w:rPr>
        <w:rFonts w:ascii="Courier New" w:hAnsi="Courier New" w:cs="Courier New" w:hint="default"/>
      </w:rPr>
    </w:lvl>
    <w:lvl w:ilvl="8" w:tplc="040E0005" w:tentative="1">
      <w:start w:val="1"/>
      <w:numFmt w:val="bullet"/>
      <w:lvlText w:val=""/>
      <w:lvlJc w:val="left"/>
      <w:pPr>
        <w:ind w:left="7746" w:hanging="360"/>
      </w:pPr>
      <w:rPr>
        <w:rFonts w:ascii="Wingdings" w:hAnsi="Wingdings" w:hint="default"/>
      </w:rPr>
    </w:lvl>
  </w:abstractNum>
  <w:abstractNum w:abstractNumId="1" w15:restartNumberingAfterBreak="0">
    <w:nsid w:val="0A8667FD"/>
    <w:multiLevelType w:val="hybridMultilevel"/>
    <w:tmpl w:val="5DAC03E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78427E"/>
    <w:multiLevelType w:val="multilevel"/>
    <w:tmpl w:val="4D00606C"/>
    <w:lvl w:ilvl="0">
      <w:start w:val="1"/>
      <w:numFmt w:val="upperRoman"/>
      <w:lvlText w:val="%1."/>
      <w:lvlJc w:val="left"/>
      <w:pPr>
        <w:tabs>
          <w:tab w:val="num" w:pos="720"/>
        </w:tabs>
        <w:ind w:left="284" w:hanging="284"/>
      </w:pPr>
      <w:rPr>
        <w:rFonts w:hint="default"/>
      </w:rPr>
    </w:lvl>
    <w:lvl w:ilvl="1">
      <w:start w:val="1"/>
      <w:numFmt w:val="decimal"/>
      <w:lvlText w:val="%2."/>
      <w:lvlJc w:val="left"/>
      <w:pPr>
        <w:tabs>
          <w:tab w:val="num" w:pos="360"/>
        </w:tabs>
        <w:ind w:left="340" w:hanging="340"/>
      </w:pPr>
      <w:rPr>
        <w:rFonts w:hint="default"/>
      </w:rPr>
    </w:lvl>
    <w:lvl w:ilvl="2">
      <w:start w:val="1"/>
      <w:numFmt w:val="decimal"/>
      <w:lvlText w:val="%2.%3."/>
      <w:lvlJc w:val="left"/>
      <w:pPr>
        <w:tabs>
          <w:tab w:val="num" w:pos="510"/>
        </w:tabs>
        <w:ind w:left="510" w:hanging="510"/>
      </w:pPr>
      <w:rPr>
        <w:rFonts w:hint="default"/>
      </w:rPr>
    </w:lvl>
    <w:lvl w:ilvl="3">
      <w:start w:val="1"/>
      <w:numFmt w:val="decimal"/>
      <w:lvlText w:val="%2.%3.%4"/>
      <w:lvlJc w:val="left"/>
      <w:pPr>
        <w:tabs>
          <w:tab w:val="num" w:pos="720"/>
        </w:tabs>
        <w:ind w:left="91" w:hanging="91"/>
      </w:pPr>
      <w:rPr>
        <w:rFonts w:hint="default"/>
      </w:rPr>
    </w:lvl>
    <w:lvl w:ilvl="4">
      <w:start w:val="1"/>
      <w:numFmt w:val="decimal"/>
      <w:lvlText w:val="5.2.3.%5"/>
      <w:lvlJc w:val="left"/>
      <w:pPr>
        <w:tabs>
          <w:tab w:val="num" w:pos="2520"/>
        </w:tabs>
        <w:ind w:left="2232" w:hanging="792"/>
      </w:pPr>
      <w:rPr>
        <w:rFonts w:hint="default"/>
      </w:rPr>
    </w:lvl>
    <w:lvl w:ilvl="5">
      <w:start w:val="1"/>
      <w:numFmt w:val="decimal"/>
      <w:lvlText w:val="%5.%2.%3.%4.%6."/>
      <w:lvlJc w:val="left"/>
      <w:pPr>
        <w:tabs>
          <w:tab w:val="num" w:pos="3240"/>
        </w:tabs>
        <w:ind w:left="2736" w:hanging="936"/>
      </w:pPr>
      <w:rPr>
        <w:rFonts w:hint="default"/>
      </w:rPr>
    </w:lvl>
    <w:lvl w:ilvl="6">
      <w:start w:val="1"/>
      <w:numFmt w:val="decimal"/>
      <w:lvlText w:val="%6.%2.%3.%4.%5.%7."/>
      <w:lvlJc w:val="left"/>
      <w:pPr>
        <w:tabs>
          <w:tab w:val="num" w:pos="3960"/>
        </w:tabs>
        <w:ind w:left="3240" w:hanging="1080"/>
      </w:pPr>
      <w:rPr>
        <w:rFonts w:hint="default"/>
      </w:rPr>
    </w:lvl>
    <w:lvl w:ilvl="7">
      <w:start w:val="1"/>
      <w:numFmt w:val="decimal"/>
      <w:lvlText w:val="%7.%2.%3.%4.%5.%6.%8."/>
      <w:lvlJc w:val="left"/>
      <w:pPr>
        <w:tabs>
          <w:tab w:val="num" w:pos="4680"/>
        </w:tabs>
        <w:ind w:left="3744" w:hanging="1224"/>
      </w:pPr>
      <w:rPr>
        <w:rFonts w:hint="default"/>
      </w:rPr>
    </w:lvl>
    <w:lvl w:ilvl="8">
      <w:start w:val="1"/>
      <w:numFmt w:val="decimal"/>
      <w:lvlText w:val="%8.%2.%3.%4.%5.%6.%7.%9."/>
      <w:lvlJc w:val="left"/>
      <w:pPr>
        <w:tabs>
          <w:tab w:val="num" w:pos="5040"/>
        </w:tabs>
        <w:ind w:left="4320" w:hanging="1440"/>
      </w:pPr>
      <w:rPr>
        <w:rFonts w:hint="default"/>
      </w:rPr>
    </w:lvl>
  </w:abstractNum>
  <w:abstractNum w:abstractNumId="3" w15:restartNumberingAfterBreak="0">
    <w:nsid w:val="18813143"/>
    <w:multiLevelType w:val="hybridMultilevel"/>
    <w:tmpl w:val="590694BE"/>
    <w:lvl w:ilvl="0" w:tplc="B582EF28">
      <w:start w:val="1"/>
      <w:numFmt w:val="bullet"/>
      <w:lvlText w:val=""/>
      <w:lvlJc w:val="left"/>
      <w:pPr>
        <w:ind w:left="1004" w:hanging="360"/>
      </w:pPr>
      <w:rPr>
        <w:rFonts w:ascii="Wingdings" w:hAnsi="Wingdings" w:hint="default"/>
        <w:color w:val="B10A32"/>
        <w:sz w:val="32"/>
        <w:szCs w:val="32"/>
      </w:rPr>
    </w:lvl>
    <w:lvl w:ilvl="1" w:tplc="B582EF28">
      <w:start w:val="1"/>
      <w:numFmt w:val="bullet"/>
      <w:lvlText w:val=""/>
      <w:lvlJc w:val="left"/>
      <w:pPr>
        <w:ind w:left="1724" w:hanging="360"/>
      </w:pPr>
      <w:rPr>
        <w:rFonts w:ascii="Wingdings" w:hAnsi="Wingdings" w:hint="default"/>
        <w:color w:val="B10A32"/>
        <w:sz w:val="32"/>
        <w:szCs w:val="32"/>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1F4E3059"/>
    <w:multiLevelType w:val="hybridMultilevel"/>
    <w:tmpl w:val="D9C630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AD5686"/>
    <w:multiLevelType w:val="hybridMultilevel"/>
    <w:tmpl w:val="3236C6A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B3259B8"/>
    <w:multiLevelType w:val="multilevel"/>
    <w:tmpl w:val="749028AA"/>
    <w:lvl w:ilvl="0">
      <w:start w:val="1"/>
      <w:numFmt w:val="bullet"/>
      <w:lvlText w:val=""/>
      <w:lvlJc w:val="left"/>
      <w:pPr>
        <w:tabs>
          <w:tab w:val="num" w:pos="720"/>
        </w:tabs>
        <w:ind w:left="720" w:hanging="360"/>
      </w:pPr>
      <w:rPr>
        <w:rFonts w:ascii="Wingdings" w:hAnsi="Wingdings" w:hint="default"/>
        <w:color w:val="B10A32"/>
        <w:sz w:val="32"/>
        <w:szCs w:val="32"/>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F3FA4"/>
    <w:multiLevelType w:val="hybridMultilevel"/>
    <w:tmpl w:val="4F64FF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BA0380"/>
    <w:multiLevelType w:val="hybridMultilevel"/>
    <w:tmpl w:val="B296BBF0"/>
    <w:lvl w:ilvl="0" w:tplc="B582EF28">
      <w:start w:val="1"/>
      <w:numFmt w:val="bullet"/>
      <w:lvlText w:val=""/>
      <w:lvlJc w:val="left"/>
      <w:pPr>
        <w:ind w:left="720" w:hanging="360"/>
      </w:pPr>
      <w:rPr>
        <w:rFonts w:ascii="Wingdings" w:hAnsi="Wingdings" w:hint="default"/>
        <w:color w:val="B10A32"/>
        <w:sz w:val="32"/>
        <w:szCs w:val="32"/>
      </w:rPr>
    </w:lvl>
    <w:lvl w:ilvl="1" w:tplc="8C369872">
      <w:start w:val="1"/>
      <w:numFmt w:val="upperRoman"/>
      <w:lvlText w:val="%2."/>
      <w:lvlJc w:val="left"/>
      <w:pPr>
        <w:ind w:left="1460" w:hanging="380"/>
      </w:pPr>
      <w:rPr>
        <w:rFonts w:hint="default"/>
        <w:i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5A4296"/>
    <w:multiLevelType w:val="hybridMultilevel"/>
    <w:tmpl w:val="DEB20048"/>
    <w:lvl w:ilvl="0" w:tplc="37262444">
      <w:start w:val="1"/>
      <w:numFmt w:val="bullet"/>
      <w:lvlText w:val=""/>
      <w:lvlJc w:val="left"/>
      <w:pPr>
        <w:ind w:left="720" w:hanging="360"/>
      </w:pPr>
      <w:rPr>
        <w:rFonts w:ascii="Wingdings" w:hAnsi="Wingdings" w:hint="default"/>
        <w:color w:val="auto"/>
        <w:sz w:val="32"/>
        <w:szCs w:val="3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F1167EB"/>
    <w:multiLevelType w:val="hybridMultilevel"/>
    <w:tmpl w:val="C3A649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A314B7"/>
    <w:multiLevelType w:val="hybridMultilevel"/>
    <w:tmpl w:val="D48EF912"/>
    <w:lvl w:ilvl="0" w:tplc="B582EF28">
      <w:start w:val="1"/>
      <w:numFmt w:val="bullet"/>
      <w:lvlText w:val=""/>
      <w:lvlJc w:val="left"/>
      <w:pPr>
        <w:ind w:left="720" w:hanging="360"/>
      </w:pPr>
      <w:rPr>
        <w:rFonts w:ascii="Wingdings" w:hAnsi="Wingdings" w:hint="default"/>
        <w:color w:val="B10A32"/>
        <w:sz w:val="32"/>
        <w:szCs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D5066EB"/>
    <w:multiLevelType w:val="hybridMultilevel"/>
    <w:tmpl w:val="55B47334"/>
    <w:lvl w:ilvl="0" w:tplc="310C0326">
      <w:start w:val="1"/>
      <w:numFmt w:val="bullet"/>
      <w:lvlText w:val=""/>
      <w:lvlJc w:val="left"/>
      <w:pPr>
        <w:ind w:left="720" w:hanging="360"/>
      </w:pPr>
      <w:rPr>
        <w:rFonts w:ascii="Wingdings" w:hAnsi="Wingdings"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2B450A"/>
    <w:multiLevelType w:val="hybridMultilevel"/>
    <w:tmpl w:val="C8E0B47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31C5301"/>
    <w:multiLevelType w:val="hybridMultilevel"/>
    <w:tmpl w:val="43D0FDB2"/>
    <w:lvl w:ilvl="0" w:tplc="1EE0D1CE">
      <w:start w:val="1"/>
      <w:numFmt w:val="bullet"/>
      <w:lvlText w:val=""/>
      <w:lvlJc w:val="left"/>
      <w:pPr>
        <w:ind w:left="720" w:hanging="360"/>
      </w:pPr>
      <w:rPr>
        <w:rFonts w:ascii="Wingdings" w:hAnsi="Wingdings" w:hint="default"/>
        <w:color w:val="auto"/>
        <w:sz w:val="32"/>
        <w:szCs w:val="3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AFA0D6E"/>
    <w:multiLevelType w:val="hybridMultilevel"/>
    <w:tmpl w:val="5AE0BF34"/>
    <w:lvl w:ilvl="0" w:tplc="A1C80BA2">
      <w:start w:val="1"/>
      <w:numFmt w:val="bullet"/>
      <w:lvlText w:val=""/>
      <w:lvlJc w:val="left"/>
      <w:pPr>
        <w:ind w:left="720" w:hanging="360"/>
      </w:pPr>
      <w:rPr>
        <w:rFonts w:ascii="Wingdings" w:hAnsi="Wingdings" w:hint="default"/>
        <w:color w:val="auto"/>
        <w:sz w:val="32"/>
        <w:szCs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2162973">
    <w:abstractNumId w:val="8"/>
  </w:num>
  <w:num w:numId="2" w16cid:durableId="1869636173">
    <w:abstractNumId w:val="11"/>
  </w:num>
  <w:num w:numId="3" w16cid:durableId="1142307309">
    <w:abstractNumId w:val="5"/>
  </w:num>
  <w:num w:numId="4" w16cid:durableId="1509444209">
    <w:abstractNumId w:val="7"/>
  </w:num>
  <w:num w:numId="5" w16cid:durableId="1022630080">
    <w:abstractNumId w:val="1"/>
  </w:num>
  <w:num w:numId="6" w16cid:durableId="2034115112">
    <w:abstractNumId w:val="15"/>
  </w:num>
  <w:num w:numId="7" w16cid:durableId="301346948">
    <w:abstractNumId w:val="3"/>
  </w:num>
  <w:num w:numId="8" w16cid:durableId="1835144160">
    <w:abstractNumId w:val="12"/>
  </w:num>
  <w:num w:numId="9" w16cid:durableId="157119772">
    <w:abstractNumId w:val="2"/>
  </w:num>
  <w:num w:numId="10" w16cid:durableId="2001955759">
    <w:abstractNumId w:val="6"/>
  </w:num>
  <w:num w:numId="11" w16cid:durableId="1742824395">
    <w:abstractNumId w:val="13"/>
  </w:num>
  <w:num w:numId="12" w16cid:durableId="1261254048">
    <w:abstractNumId w:val="14"/>
  </w:num>
  <w:num w:numId="13" w16cid:durableId="1727948771">
    <w:abstractNumId w:val="0"/>
  </w:num>
  <w:num w:numId="14" w16cid:durableId="397747292">
    <w:abstractNumId w:val="9"/>
  </w:num>
  <w:num w:numId="15" w16cid:durableId="801310888">
    <w:abstractNumId w:val="4"/>
  </w:num>
  <w:num w:numId="16" w16cid:durableId="1642491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B"/>
    <w:rsid w:val="0000179C"/>
    <w:rsid w:val="0002229D"/>
    <w:rsid w:val="0003470E"/>
    <w:rsid w:val="000939C0"/>
    <w:rsid w:val="000940AF"/>
    <w:rsid w:val="000971D6"/>
    <w:rsid w:val="000A0416"/>
    <w:rsid w:val="000F3E50"/>
    <w:rsid w:val="000F71D6"/>
    <w:rsid w:val="0012088C"/>
    <w:rsid w:val="001214DF"/>
    <w:rsid w:val="00121AFF"/>
    <w:rsid w:val="00153C47"/>
    <w:rsid w:val="0017165C"/>
    <w:rsid w:val="001768DA"/>
    <w:rsid w:val="001858CD"/>
    <w:rsid w:val="00185BA9"/>
    <w:rsid w:val="001D6DFC"/>
    <w:rsid w:val="002327C1"/>
    <w:rsid w:val="0024715F"/>
    <w:rsid w:val="00264004"/>
    <w:rsid w:val="0028632D"/>
    <w:rsid w:val="002912C7"/>
    <w:rsid w:val="002A1F98"/>
    <w:rsid w:val="002B1BE0"/>
    <w:rsid w:val="002B7320"/>
    <w:rsid w:val="002C1CBB"/>
    <w:rsid w:val="00320FE9"/>
    <w:rsid w:val="00323580"/>
    <w:rsid w:val="003751AE"/>
    <w:rsid w:val="00375B24"/>
    <w:rsid w:val="00384D0B"/>
    <w:rsid w:val="003A1C43"/>
    <w:rsid w:val="003A2A52"/>
    <w:rsid w:val="003B5989"/>
    <w:rsid w:val="003C33C1"/>
    <w:rsid w:val="003D0435"/>
    <w:rsid w:val="0041771A"/>
    <w:rsid w:val="0044646E"/>
    <w:rsid w:val="00446858"/>
    <w:rsid w:val="004610D0"/>
    <w:rsid w:val="0047364F"/>
    <w:rsid w:val="00477506"/>
    <w:rsid w:val="00484134"/>
    <w:rsid w:val="00490260"/>
    <w:rsid w:val="004A24EE"/>
    <w:rsid w:val="004D3D87"/>
    <w:rsid w:val="004E4D60"/>
    <w:rsid w:val="00533E93"/>
    <w:rsid w:val="00541376"/>
    <w:rsid w:val="00553F64"/>
    <w:rsid w:val="00554E44"/>
    <w:rsid w:val="00557841"/>
    <w:rsid w:val="005734C2"/>
    <w:rsid w:val="00574CEA"/>
    <w:rsid w:val="005C3196"/>
    <w:rsid w:val="005F4332"/>
    <w:rsid w:val="00606599"/>
    <w:rsid w:val="0064055C"/>
    <w:rsid w:val="00644AED"/>
    <w:rsid w:val="0065755E"/>
    <w:rsid w:val="0068467E"/>
    <w:rsid w:val="00684704"/>
    <w:rsid w:val="00691930"/>
    <w:rsid w:val="006E3A1E"/>
    <w:rsid w:val="006F1B80"/>
    <w:rsid w:val="006F2CC1"/>
    <w:rsid w:val="0070550B"/>
    <w:rsid w:val="00737A8B"/>
    <w:rsid w:val="0074329E"/>
    <w:rsid w:val="00765C75"/>
    <w:rsid w:val="00780DB8"/>
    <w:rsid w:val="00792ECE"/>
    <w:rsid w:val="0079749E"/>
    <w:rsid w:val="007A5266"/>
    <w:rsid w:val="007A6E65"/>
    <w:rsid w:val="007B47D6"/>
    <w:rsid w:val="007C13A1"/>
    <w:rsid w:val="007D681C"/>
    <w:rsid w:val="007E0B26"/>
    <w:rsid w:val="00811224"/>
    <w:rsid w:val="0082248A"/>
    <w:rsid w:val="008607F8"/>
    <w:rsid w:val="00874878"/>
    <w:rsid w:val="00882CA5"/>
    <w:rsid w:val="008B0101"/>
    <w:rsid w:val="008C0DBC"/>
    <w:rsid w:val="008C7CB8"/>
    <w:rsid w:val="008C7EF4"/>
    <w:rsid w:val="008D1885"/>
    <w:rsid w:val="008D3109"/>
    <w:rsid w:val="008D38A0"/>
    <w:rsid w:val="008D6793"/>
    <w:rsid w:val="008E5C87"/>
    <w:rsid w:val="008F0EE6"/>
    <w:rsid w:val="00900C23"/>
    <w:rsid w:val="0093520B"/>
    <w:rsid w:val="00971B13"/>
    <w:rsid w:val="00972B44"/>
    <w:rsid w:val="00995DB2"/>
    <w:rsid w:val="009A2ED2"/>
    <w:rsid w:val="009C6843"/>
    <w:rsid w:val="00A07105"/>
    <w:rsid w:val="00A1138D"/>
    <w:rsid w:val="00A172BC"/>
    <w:rsid w:val="00A902EF"/>
    <w:rsid w:val="00AB3D25"/>
    <w:rsid w:val="00AD7D0D"/>
    <w:rsid w:val="00B0248D"/>
    <w:rsid w:val="00B10C8D"/>
    <w:rsid w:val="00B3076B"/>
    <w:rsid w:val="00B513A3"/>
    <w:rsid w:val="00B607C5"/>
    <w:rsid w:val="00B83084"/>
    <w:rsid w:val="00BD2241"/>
    <w:rsid w:val="00BE6CC6"/>
    <w:rsid w:val="00C05F88"/>
    <w:rsid w:val="00C144D6"/>
    <w:rsid w:val="00C30E4D"/>
    <w:rsid w:val="00C63EAF"/>
    <w:rsid w:val="00C66DE6"/>
    <w:rsid w:val="00C973EF"/>
    <w:rsid w:val="00CA7854"/>
    <w:rsid w:val="00CB2250"/>
    <w:rsid w:val="00CB37CA"/>
    <w:rsid w:val="00CC22D8"/>
    <w:rsid w:val="00CE1141"/>
    <w:rsid w:val="00D73F4E"/>
    <w:rsid w:val="00D817F7"/>
    <w:rsid w:val="00D9444B"/>
    <w:rsid w:val="00DD4B0E"/>
    <w:rsid w:val="00DE0F89"/>
    <w:rsid w:val="00DE6C59"/>
    <w:rsid w:val="00DE6D89"/>
    <w:rsid w:val="00DF12F0"/>
    <w:rsid w:val="00E1369B"/>
    <w:rsid w:val="00E21409"/>
    <w:rsid w:val="00E325CB"/>
    <w:rsid w:val="00E707B5"/>
    <w:rsid w:val="00E86479"/>
    <w:rsid w:val="00E947A7"/>
    <w:rsid w:val="00F02C7B"/>
    <w:rsid w:val="00F1554A"/>
    <w:rsid w:val="00F259EC"/>
    <w:rsid w:val="00F608CE"/>
    <w:rsid w:val="00F70DC8"/>
    <w:rsid w:val="00F82041"/>
    <w:rsid w:val="00F903E6"/>
    <w:rsid w:val="00FA0099"/>
    <w:rsid w:val="00FA6A13"/>
    <w:rsid w:val="00FB6534"/>
    <w:rsid w:val="00FC1B08"/>
    <w:rsid w:val="00FF6E6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FD8E"/>
  <w15:chartTrackingRefBased/>
  <w15:docId w15:val="{CFDF28A5-911F-4D3B-9E8C-5939EA20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4D0B"/>
  </w:style>
  <w:style w:type="paragraph" w:styleId="Cmsor1">
    <w:name w:val="heading 1"/>
    <w:basedOn w:val="Norml"/>
    <w:next w:val="Norml"/>
    <w:link w:val="Cmsor1Char"/>
    <w:uiPriority w:val="9"/>
    <w:qFormat/>
    <w:rsid w:val="008D1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nhideWhenUsed/>
    <w:qFormat/>
    <w:rsid w:val="007B47D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84D0B"/>
    <w:rPr>
      <w:color w:val="0563C1" w:themeColor="hyperlink"/>
      <w:u w:val="single"/>
    </w:rPr>
  </w:style>
  <w:style w:type="paragraph" w:styleId="llb">
    <w:name w:val="footer"/>
    <w:basedOn w:val="Norml"/>
    <w:link w:val="llbChar"/>
    <w:uiPriority w:val="99"/>
    <w:unhideWhenUsed/>
    <w:rsid w:val="00384D0B"/>
    <w:pPr>
      <w:tabs>
        <w:tab w:val="center" w:pos="4536"/>
        <w:tab w:val="right" w:pos="9072"/>
      </w:tabs>
      <w:spacing w:after="0" w:line="240" w:lineRule="auto"/>
    </w:pPr>
  </w:style>
  <w:style w:type="character" w:customStyle="1" w:styleId="llbChar">
    <w:name w:val="Élőláb Char"/>
    <w:basedOn w:val="Bekezdsalapbettpusa"/>
    <w:link w:val="llb"/>
    <w:uiPriority w:val="99"/>
    <w:rsid w:val="00384D0B"/>
  </w:style>
  <w:style w:type="paragraph" w:customStyle="1" w:styleId="Default">
    <w:name w:val="Default"/>
    <w:rsid w:val="00384D0B"/>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5C31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C3196"/>
    <w:rPr>
      <w:rFonts w:ascii="Segoe UI" w:hAnsi="Segoe UI" w:cs="Segoe UI"/>
      <w:sz w:val="18"/>
      <w:szCs w:val="18"/>
    </w:rPr>
  </w:style>
  <w:style w:type="paragraph" w:styleId="lfej">
    <w:name w:val="header"/>
    <w:basedOn w:val="Norml"/>
    <w:link w:val="lfejChar"/>
    <w:uiPriority w:val="99"/>
    <w:unhideWhenUsed/>
    <w:rsid w:val="005C3196"/>
    <w:pPr>
      <w:tabs>
        <w:tab w:val="center" w:pos="4536"/>
        <w:tab w:val="right" w:pos="9072"/>
      </w:tabs>
      <w:spacing w:after="0" w:line="240" w:lineRule="auto"/>
    </w:pPr>
  </w:style>
  <w:style w:type="character" w:customStyle="1" w:styleId="lfejChar">
    <w:name w:val="Élőfej Char"/>
    <w:basedOn w:val="Bekezdsalapbettpusa"/>
    <w:link w:val="lfej"/>
    <w:uiPriority w:val="99"/>
    <w:rsid w:val="005C3196"/>
  </w:style>
  <w:style w:type="paragraph" w:styleId="Lbjegyzetszveg">
    <w:name w:val="footnote text"/>
    <w:basedOn w:val="Norml"/>
    <w:link w:val="LbjegyzetszvegChar"/>
    <w:uiPriority w:val="99"/>
    <w:unhideWhenUsed/>
    <w:rsid w:val="009A2ED2"/>
    <w:pPr>
      <w:spacing w:after="0" w:line="240" w:lineRule="auto"/>
    </w:pPr>
    <w:rPr>
      <w:sz w:val="20"/>
      <w:szCs w:val="20"/>
    </w:rPr>
  </w:style>
  <w:style w:type="character" w:customStyle="1" w:styleId="LbjegyzetszvegChar">
    <w:name w:val="Lábjegyzetszöveg Char"/>
    <w:basedOn w:val="Bekezdsalapbettpusa"/>
    <w:link w:val="Lbjegyzetszveg"/>
    <w:uiPriority w:val="99"/>
    <w:rsid w:val="009A2ED2"/>
    <w:rPr>
      <w:sz w:val="20"/>
      <w:szCs w:val="20"/>
    </w:rPr>
  </w:style>
  <w:style w:type="character" w:styleId="Lbjegyzet-hivatkozs">
    <w:name w:val="footnote reference"/>
    <w:basedOn w:val="Bekezdsalapbettpusa"/>
    <w:uiPriority w:val="99"/>
    <w:semiHidden/>
    <w:unhideWhenUsed/>
    <w:rsid w:val="009A2ED2"/>
    <w:rPr>
      <w:vertAlign w:val="superscript"/>
    </w:rPr>
  </w:style>
  <w:style w:type="character" w:customStyle="1" w:styleId="UnresolvedMention1">
    <w:name w:val="Unresolved Mention1"/>
    <w:basedOn w:val="Bekezdsalapbettpusa"/>
    <w:uiPriority w:val="99"/>
    <w:semiHidden/>
    <w:unhideWhenUsed/>
    <w:rsid w:val="00F02C7B"/>
    <w:rPr>
      <w:color w:val="605E5C"/>
      <w:shd w:val="clear" w:color="auto" w:fill="E1DFDD"/>
    </w:rPr>
  </w:style>
  <w:style w:type="character" w:styleId="Jegyzethivatkozs">
    <w:name w:val="annotation reference"/>
    <w:basedOn w:val="Bekezdsalapbettpusa"/>
    <w:uiPriority w:val="99"/>
    <w:semiHidden/>
    <w:unhideWhenUsed/>
    <w:rsid w:val="0082248A"/>
    <w:rPr>
      <w:sz w:val="16"/>
      <w:szCs w:val="16"/>
    </w:rPr>
  </w:style>
  <w:style w:type="paragraph" w:styleId="Jegyzetszveg">
    <w:name w:val="annotation text"/>
    <w:basedOn w:val="Norml"/>
    <w:link w:val="JegyzetszvegChar"/>
    <w:uiPriority w:val="99"/>
    <w:semiHidden/>
    <w:unhideWhenUsed/>
    <w:rsid w:val="0082248A"/>
    <w:pPr>
      <w:spacing w:line="240" w:lineRule="auto"/>
    </w:pPr>
    <w:rPr>
      <w:sz w:val="20"/>
      <w:szCs w:val="20"/>
    </w:rPr>
  </w:style>
  <w:style w:type="character" w:customStyle="1" w:styleId="JegyzetszvegChar">
    <w:name w:val="Jegyzetszöveg Char"/>
    <w:basedOn w:val="Bekezdsalapbettpusa"/>
    <w:link w:val="Jegyzetszveg"/>
    <w:uiPriority w:val="99"/>
    <w:semiHidden/>
    <w:rsid w:val="0082248A"/>
    <w:rPr>
      <w:sz w:val="20"/>
      <w:szCs w:val="20"/>
    </w:rPr>
  </w:style>
  <w:style w:type="paragraph" w:styleId="Megjegyzstrgya">
    <w:name w:val="annotation subject"/>
    <w:basedOn w:val="Jegyzetszveg"/>
    <w:next w:val="Jegyzetszveg"/>
    <w:link w:val="MegjegyzstrgyaChar"/>
    <w:uiPriority w:val="99"/>
    <w:semiHidden/>
    <w:unhideWhenUsed/>
    <w:rsid w:val="0082248A"/>
    <w:rPr>
      <w:b/>
      <w:bCs/>
    </w:rPr>
  </w:style>
  <w:style w:type="character" w:customStyle="1" w:styleId="MegjegyzstrgyaChar">
    <w:name w:val="Megjegyzés tárgya Char"/>
    <w:basedOn w:val="JegyzetszvegChar"/>
    <w:link w:val="Megjegyzstrgya"/>
    <w:uiPriority w:val="99"/>
    <w:semiHidden/>
    <w:rsid w:val="0082248A"/>
    <w:rPr>
      <w:b/>
      <w:bCs/>
      <w:sz w:val="20"/>
      <w:szCs w:val="20"/>
    </w:rPr>
  </w:style>
  <w:style w:type="paragraph" w:customStyle="1" w:styleId="CharChar">
    <w:name w:val="Char Char"/>
    <w:basedOn w:val="Norml"/>
    <w:rsid w:val="001D6DFC"/>
    <w:pPr>
      <w:spacing w:line="240" w:lineRule="exact"/>
    </w:pPr>
    <w:rPr>
      <w:rFonts w:ascii="Verdana" w:eastAsia="Times New Roman" w:hAnsi="Verdana" w:cs="Times New Roman"/>
      <w:sz w:val="20"/>
      <w:szCs w:val="20"/>
    </w:rPr>
  </w:style>
  <w:style w:type="character" w:customStyle="1" w:styleId="Cmsor2Char">
    <w:name w:val="Címsor 2 Char"/>
    <w:basedOn w:val="Bekezdsalapbettpusa"/>
    <w:link w:val="Cmsor2"/>
    <w:rsid w:val="007B47D6"/>
    <w:rPr>
      <w:rFonts w:asciiTheme="majorHAnsi" w:eastAsiaTheme="majorEastAsia" w:hAnsiTheme="majorHAnsi" w:cstheme="majorBidi"/>
      <w:b/>
      <w:bCs/>
      <w:color w:val="4472C4" w:themeColor="accent1"/>
      <w:sz w:val="26"/>
      <w:szCs w:val="26"/>
    </w:rPr>
  </w:style>
  <w:style w:type="paragraph" w:styleId="Listaszerbekezds">
    <w:name w:val="List Paragraph"/>
    <w:basedOn w:val="Norml"/>
    <w:uiPriority w:val="34"/>
    <w:qFormat/>
    <w:rsid w:val="007B47D6"/>
    <w:pPr>
      <w:ind w:left="720"/>
      <w:contextualSpacing/>
    </w:pPr>
  </w:style>
  <w:style w:type="paragraph" w:styleId="TJ1">
    <w:name w:val="toc 1"/>
    <w:basedOn w:val="Norml"/>
    <w:next w:val="Norml"/>
    <w:autoRedefine/>
    <w:uiPriority w:val="39"/>
    <w:unhideWhenUsed/>
    <w:rsid w:val="007B47D6"/>
    <w:pPr>
      <w:spacing w:after="100"/>
    </w:pPr>
  </w:style>
  <w:style w:type="character" w:customStyle="1" w:styleId="Cmsor1Char">
    <w:name w:val="Címsor 1 Char"/>
    <w:basedOn w:val="Bekezdsalapbettpusa"/>
    <w:link w:val="Cmsor1"/>
    <w:uiPriority w:val="9"/>
    <w:rsid w:val="008D1885"/>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FF6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97CD5.23966F40"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B28E-49FA-47F1-A2C5-0F9505B7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8012</Characters>
  <Application>Microsoft Office Word</Application>
  <DocSecurity>0</DocSecurity>
  <Lines>180</Lines>
  <Paragraphs>72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MKB Bank NyRt.</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Makai Ágnes;KR10</dc:creator>
  <cp:keywords/>
  <dc:description/>
  <cp:lastModifiedBy>Krisztina Szikra</cp:lastModifiedBy>
  <cp:revision>3</cp:revision>
  <dcterms:created xsi:type="dcterms:W3CDTF">2023-06-02T08:48:00Z</dcterms:created>
  <dcterms:modified xsi:type="dcterms:W3CDTF">2023-06-02T08:48:00Z</dcterms:modified>
</cp:coreProperties>
</file>